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DCD" w:rsidRPr="005F321A" w:rsidRDefault="008A2DCD" w:rsidP="008A2DCD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24292E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DA742"/>
          <w:spacing w:val="8"/>
          <w:kern w:val="0"/>
          <w:szCs w:val="23"/>
        </w:rPr>
        <w:t>9、Multi-hop Reading Comprehension across Multiple Documents by Reasoning over Heterogeneous Graphs（通过对异构图进行推理，实现跨多个文档的Multi-hop阅读理解）</w:t>
      </w:r>
    </w:p>
    <w:p w:rsidR="008A2DCD" w:rsidRPr="005F321A" w:rsidRDefault="008A2DCD" w:rsidP="008A2DCD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ACL ’19</w:t>
      </w:r>
    </w:p>
    <w:p w:rsidR="008A2DCD" w:rsidRDefault="008A2DCD" w:rsidP="008A2DCD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作者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：Ming Tu, Guangtao Wang, Jing Huang, Yun Tang, Xiaodong He, Bowen Zhou</w:t>
      </w:r>
    </w:p>
    <w:p w:rsidR="008A2DCD" w:rsidRPr="005F321A" w:rsidRDefault="008A2DCD" w:rsidP="008A2DCD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7"/>
        </w:rPr>
        <w:drawing>
          <wp:inline distT="0" distB="0" distL="0" distR="0" wp14:anchorId="4C654B83" wp14:editId="650EC571">
            <wp:extent cx="4916384" cy="1007791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65" cy="100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CD" w:rsidRDefault="008A2DCD" w:rsidP="008A2DCD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摘要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：</w:t>
      </w:r>
      <w:r w:rsidRPr="006F74EF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跨文档的Multi-hop阅读理解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(</w:t>
      </w:r>
      <w:r w:rsidRPr="006F74EF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RC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)</w:t>
      </w:r>
    </w:p>
    <w:p w:rsidR="008A2DCD" w:rsidRDefault="008A2DCD" w:rsidP="008A2DCD">
      <w:pPr>
        <w:widowControl/>
        <w:shd w:val="clear" w:color="auto" w:fill="FFFFFF"/>
        <w:adjustRightInd w:val="0"/>
        <w:snapToGrid w:val="0"/>
        <w:ind w:leftChars="337" w:left="708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>
        <w:rPr>
          <w:rFonts w:ascii="Microsoft YaHei UI" w:eastAsia="Microsoft YaHei UI" w:hAnsi="Microsoft YaHei UI" w:cs="宋体"/>
          <w:b/>
          <w:bCs/>
          <w:noProof/>
          <w:color w:val="333333"/>
          <w:spacing w:val="8"/>
          <w:kern w:val="0"/>
          <w:szCs w:val="23"/>
        </w:rPr>
        <w:drawing>
          <wp:inline distT="0" distB="0" distL="0" distR="0" wp14:anchorId="02B96CA0" wp14:editId="1E88F12C">
            <wp:extent cx="2199227" cy="223849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247" cy="22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CD" w:rsidRDefault="008A2DCD" w:rsidP="008A2DCD">
      <w:pPr>
        <w:widowControl/>
        <w:shd w:val="clear" w:color="auto" w:fill="FFFFFF"/>
        <w:adjustRightInd w:val="0"/>
        <w:snapToGrid w:val="0"/>
        <w:ind w:left="1560"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对单文本RC提出了新的挑战，因为它需要对多个文档进行推理才能得到最终答案。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在本文中，我们提出了一个新的模型来解决multi-hop RC问题。我们</w:t>
      </w:r>
    </w:p>
    <w:p w:rsidR="008A2DCD" w:rsidRDefault="008A2DCD" w:rsidP="008A2DCD">
      <w:pPr>
        <w:widowControl/>
        <w:shd w:val="clear" w:color="auto" w:fill="FFFFFF"/>
        <w:adjustRightInd w:val="0"/>
        <w:snapToGrid w:val="0"/>
        <w:ind w:leftChars="203" w:left="991" w:hangingChars="250" w:hanging="565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引入了具有不同类型的节点和边的</w:t>
      </w:r>
      <w:r w:rsidRPr="006F74EF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异构图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，称为异构文档-实体（</w:t>
      </w:r>
      <w:r w:rsidRPr="006F74EF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HDE</w:t>
      </w:r>
      <w:r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，</w:t>
      </w:r>
      <w:r>
        <w:rPr>
          <w:rFonts w:ascii="NimbusRomNo9L-Regu" w:hAnsi="NimbusRomNo9L-Regu" w:cs="NimbusRomNo9L-Regu"/>
          <w:kern w:val="0"/>
          <w:sz w:val="22"/>
        </w:rPr>
        <w:t>Heterogeneous Document-Entity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）图。HDE图的优点是它包含</w:t>
      </w:r>
      <w:r w:rsidRPr="006F74EF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不同粒度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级别的信息，包括特定文档上</w:t>
      </w:r>
      <w:r w:rsidRPr="006F74EF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下文中的候选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信息、文档和实体。我们提出的模型可以</w:t>
      </w:r>
    </w:p>
    <w:p w:rsidR="008A2DCD" w:rsidRDefault="008A2DCD" w:rsidP="008A2DCD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6"/>
        </w:rPr>
        <w:lastRenderedPageBreak/>
        <w:drawing>
          <wp:inline distT="0" distB="0" distL="0" distR="0" wp14:anchorId="0698DD90" wp14:editId="317886C0">
            <wp:extent cx="2285494" cy="3364230"/>
            <wp:effectExtent l="0" t="0" r="635" b="7620"/>
            <wp:docPr id="2" name="图片 2" descr="https://mmbiz.qpic.cn/mmbiz_png/AefvpgiaIPw1lqxQuntRYTnAmWAjqrLJe4nictoNDZyh67M8o3Uib6cvE1via6YiaJvDlvS8Ubl0aN6rPJzgXFQtBF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mbiz.qpic.cn/mmbiz_png/AefvpgiaIPw1lqxQuntRYTnAmWAjqrLJe4nictoNDZyh67M8o3Uib6cvE1via6YiaJvDlvS8Ubl0aN6rPJzgXFQtBF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649" cy="337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CD" w:rsidRDefault="008A2DCD" w:rsidP="008A2DCD">
      <w:pPr>
        <w:autoSpaceDE w:val="0"/>
        <w:autoSpaceDN w:val="0"/>
        <w:adjustRightInd w:val="0"/>
        <w:ind w:left="2100"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Figure 2: System diagram. </w:t>
      </w:r>
    </w:p>
    <w:p w:rsidR="008A2DCD" w:rsidRPr="005F321A" w:rsidRDefault="008A2DCD" w:rsidP="008A2DCD">
      <w:pPr>
        <w:autoSpaceDE w:val="0"/>
        <w:autoSpaceDN w:val="0"/>
        <w:adjustRightInd w:val="0"/>
        <w:ind w:left="2100" w:firstLine="42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>
        <w:rPr>
          <w:rFonts w:ascii="CMMI10" w:hAnsi="CMMI10" w:cs="CMMI10"/>
          <w:kern w:val="0"/>
          <w:sz w:val="20"/>
          <w:szCs w:val="20"/>
        </w:rPr>
        <w:t xml:space="preserve">S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kern w:val="0"/>
          <w:sz w:val="20"/>
          <w:szCs w:val="20"/>
        </w:rPr>
        <w:t xml:space="preserve">C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are the number of support documents and candidates respectively. We use </w:t>
      </w:r>
      <w:r w:rsidRPr="00975F67">
        <w:rPr>
          <w:rFonts w:ascii="NimbusRomNo9L-Regu" w:hAnsi="NimbusRomNo9L-Regu" w:cs="NimbusRomNo9L-Regu"/>
          <w:color w:val="FFC000"/>
          <w:kern w:val="0"/>
          <w:sz w:val="20"/>
          <w:szCs w:val="20"/>
        </w:rPr>
        <w:t>yellow nodes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to represent query-aware candidate representation, </w:t>
      </w:r>
      <w:r w:rsidRPr="00975F67">
        <w:rPr>
          <w:rFonts w:ascii="NimbusRomNo9L-Regu" w:hAnsi="NimbusRomNo9L-Regu" w:cs="NimbusRomNo9L-Regu"/>
          <w:color w:val="00B0F0"/>
          <w:kern w:val="0"/>
          <w:sz w:val="20"/>
          <w:szCs w:val="20"/>
        </w:rPr>
        <w:t>blue nodes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to represent extracted queryaware entity representation and </w:t>
      </w:r>
      <w:r w:rsidRPr="00975F67">
        <w:rPr>
          <w:rFonts w:ascii="NimbusRomNo9L-Regu" w:hAnsi="NimbusRomNo9L-Regu" w:cs="NimbusRomNo9L-Regu"/>
          <w:color w:val="00B050"/>
          <w:kern w:val="0"/>
          <w:sz w:val="20"/>
          <w:szCs w:val="20"/>
        </w:rPr>
        <w:t>green nodes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to represent query-aware document representation.</w:t>
      </w:r>
    </w:p>
    <w:p w:rsidR="008A2DCD" w:rsidRDefault="008A2DCD" w:rsidP="008A2DCD">
      <w:pPr>
        <w:widowControl/>
        <w:shd w:val="clear" w:color="auto" w:fill="FFFFFF"/>
        <w:adjustRightInd w:val="0"/>
        <w:snapToGrid w:val="0"/>
        <w:ind w:leftChars="203" w:left="976" w:hangingChars="250" w:hanging="550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【两大亮点】</w:t>
      </w:r>
    </w:p>
    <w:p w:rsidR="008A2DCD" w:rsidRPr="00975F67" w:rsidRDefault="008A2DCD" w:rsidP="008A2DCD">
      <w:pPr>
        <w:widowControl/>
        <w:shd w:val="clear" w:color="auto" w:fill="FFFFFF"/>
        <w:adjustRightInd w:val="0"/>
        <w:snapToGrid w:val="0"/>
        <w:ind w:leftChars="548" w:left="1701" w:hangingChars="250" w:hanging="550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</w:pPr>
      <w:r>
        <w:rPr>
          <w:rFonts w:ascii="NimbusRomNo9L-Regu" w:hAnsi="NimbusRomNo9L-Regu" w:cs="NimbusRomNo9L-Regu" w:hint="eastAsia"/>
          <w:kern w:val="0"/>
          <w:sz w:val="22"/>
        </w:rPr>
        <w:t>建图中，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基于</w:t>
      </w:r>
      <w:r w:rsidRPr="000440CE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co-attention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 xml:space="preserve">节点表示 和 </w:t>
      </w:r>
      <w:r>
        <w:rPr>
          <w:rFonts w:ascii="NimbusRomNo9L-Regu" w:hAnsi="NimbusRomNo9L-Regu" w:cs="NimbusRomNo9L-Regu" w:hint="eastAsia"/>
          <w:kern w:val="0"/>
          <w:sz w:val="22"/>
        </w:rPr>
        <w:t>基于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self-</w:t>
      </w:r>
      <w:r>
        <w:rPr>
          <w:rFonts w:ascii="NimbusRomNo9L-Regu" w:hAnsi="NimbusRomNo9L-Regu" w:cs="NimbusRomNo9L-Regu" w:hint="eastAsia"/>
          <w:kern w:val="0"/>
          <w:sz w:val="22"/>
        </w:rPr>
        <w:t>attention</w:t>
      </w:r>
      <w:r>
        <w:rPr>
          <w:rFonts w:ascii="NimbusRomNo9L-Regu" w:hAnsi="NimbusRomNo9L-Regu" w:cs="NimbusRomNo9L-Regu" w:hint="eastAsia"/>
          <w:kern w:val="0"/>
          <w:sz w:val="22"/>
        </w:rPr>
        <w:t>的</w:t>
      </w:r>
      <w:r>
        <w:rPr>
          <w:rFonts w:ascii="NimbusRomNo9L-Regu" w:hAnsi="NimbusRomNo9L-Regu" w:cs="NimbusRomNo9L-Regu" w:hint="eastAsia"/>
          <w:kern w:val="0"/>
          <w:sz w:val="22"/>
        </w:rPr>
        <w:t>p</w:t>
      </w:r>
      <w:r>
        <w:rPr>
          <w:rFonts w:ascii="NimbusRomNo9L-Regu" w:hAnsi="NimbusRomNo9L-Regu" w:cs="NimbusRomNo9L-Regu"/>
          <w:kern w:val="0"/>
          <w:sz w:val="22"/>
        </w:rPr>
        <w:t>ooling</w:t>
      </w:r>
    </w:p>
    <w:p w:rsidR="008A2DCD" w:rsidRDefault="008A2DCD" w:rsidP="008A2DCD">
      <w:pPr>
        <w:widowControl/>
        <w:shd w:val="clear" w:color="auto" w:fill="FFFFFF"/>
        <w:adjustRightInd w:val="0"/>
        <w:snapToGrid w:val="0"/>
        <w:ind w:leftChars="548" w:left="1151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对HDE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图进行推理</w:t>
      </w:r>
    </w:p>
    <w:p w:rsidR="008A2DCD" w:rsidRDefault="008A2DCD" w:rsidP="008A2DCD">
      <w:pPr>
        <w:widowControl/>
        <w:shd w:val="clear" w:color="auto" w:fill="FFFFFF"/>
        <w:adjustRightInd w:val="0"/>
        <w:snapToGrid w:val="0"/>
        <w:ind w:leftChars="696" w:left="1462" w:firstLine="109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我们使用基于图神经网络(GNN)的消息传递算法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 xml:space="preserve"> </w:t>
      </w:r>
    </w:p>
    <w:p w:rsidR="008A2DCD" w:rsidRDefault="008A2DCD" w:rsidP="008A2DCD">
      <w:pPr>
        <w:widowControl/>
        <w:shd w:val="clear" w:color="auto" w:fill="FFFFFF"/>
        <w:adjustRightInd w:val="0"/>
        <w:snapToGrid w:val="0"/>
        <w:ind w:leftChars="599" w:left="1258"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(针对异构图的信息聚合，门gate，的筛选机制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  <w:t>)</w:t>
      </w:r>
    </w:p>
    <w:p w:rsidR="008A2DCD" w:rsidRDefault="008A2DCD" w:rsidP="008A2DCD">
      <w:pPr>
        <w:widowControl/>
        <w:shd w:val="clear" w:color="auto" w:fill="FFFFFF"/>
        <w:adjustRightInd w:val="0"/>
        <w:snapToGrid w:val="0"/>
        <w:ind w:leftChars="696" w:left="1462" w:firstLine="109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在提出的HDE图上累积evidence</w:t>
      </w:r>
    </w:p>
    <w:p w:rsidR="008A2DCD" w:rsidRDefault="008A2DCD" w:rsidP="008A2DCD">
      <w:pPr>
        <w:widowControl/>
        <w:shd w:val="clear" w:color="auto" w:fill="FFFFFF"/>
        <w:adjustRightInd w:val="0"/>
        <w:snapToGrid w:val="0"/>
        <w:ind w:leftChars="599" w:left="1258"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（针对分类任务的评分算法，以及求和、最大值）</w:t>
      </w:r>
    </w:p>
    <w:p w:rsidR="008A2DCD" w:rsidRDefault="008A2DCD" w:rsidP="008A2DCD">
      <w:pPr>
        <w:widowControl/>
        <w:shd w:val="clear" w:color="auto" w:fill="FFFFFF"/>
        <w:adjustRightInd w:val="0"/>
        <w:snapToGrid w:val="0"/>
        <w:ind w:left="8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</w:pPr>
      <w:bookmarkStart w:id="0" w:name="_GoBack"/>
      <w:bookmarkEnd w:id="0"/>
    </w:p>
    <w:p w:rsidR="008A2DCD" w:rsidRDefault="008A2DCD" w:rsidP="008A2DCD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</w:p>
    <w:p w:rsidR="008A2DCD" w:rsidRPr="005F321A" w:rsidRDefault="008A2DCD" w:rsidP="008A2DCD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通过对Qangaroo WIKIHOP数据集的blind测试集的评估，我们的基于HDE图的单模型给出了具有竞争力的结果，并且集成模型达到了最先进的性能。</w:t>
      </w:r>
    </w:p>
    <w:p w:rsidR="008A2DCD" w:rsidRPr="005F321A" w:rsidRDefault="008A2DCD" w:rsidP="008A2DCD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Cs w:val="23"/>
        </w:rPr>
        <w:t>网址</w:t>
      </w:r>
      <w:r w:rsidRPr="005F321A">
        <w:rPr>
          <w:rFonts w:ascii="Microsoft YaHei UI" w:eastAsia="Microsoft YaHei UI" w:hAnsi="Microsoft YaHei UI" w:cs="宋体" w:hint="eastAsia"/>
          <w:color w:val="3E3E3E"/>
          <w:spacing w:val="8"/>
          <w:kern w:val="0"/>
          <w:szCs w:val="23"/>
        </w:rPr>
        <w:t>：</w:t>
      </w:r>
    </w:p>
    <w:p w:rsidR="008A2DCD" w:rsidRPr="005F321A" w:rsidRDefault="008A2DCD" w:rsidP="008A2DCD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color w:val="0052FF"/>
          <w:spacing w:val="8"/>
          <w:kern w:val="0"/>
          <w:szCs w:val="23"/>
        </w:rPr>
        <w:t>https://arxiv.org/abs/1905.07374</w:t>
      </w:r>
    </w:p>
    <w:p w:rsidR="0099783C" w:rsidRPr="008A2DCD" w:rsidRDefault="006225B6"/>
    <w:sectPr w:rsidR="0099783C" w:rsidRPr="008A2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5B6" w:rsidRDefault="006225B6" w:rsidP="008A2DCD">
      <w:r>
        <w:separator/>
      </w:r>
    </w:p>
  </w:endnote>
  <w:endnote w:type="continuationSeparator" w:id="0">
    <w:p w:rsidR="006225B6" w:rsidRDefault="006225B6" w:rsidP="008A2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5B6" w:rsidRDefault="006225B6" w:rsidP="008A2DCD">
      <w:r>
        <w:separator/>
      </w:r>
    </w:p>
  </w:footnote>
  <w:footnote w:type="continuationSeparator" w:id="0">
    <w:p w:rsidR="006225B6" w:rsidRDefault="006225B6" w:rsidP="008A2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C5"/>
    <w:rsid w:val="002405C5"/>
    <w:rsid w:val="002865D8"/>
    <w:rsid w:val="00386B81"/>
    <w:rsid w:val="003A562D"/>
    <w:rsid w:val="00490E5F"/>
    <w:rsid w:val="006225B6"/>
    <w:rsid w:val="007E5ED1"/>
    <w:rsid w:val="00882DE4"/>
    <w:rsid w:val="008A2DCD"/>
    <w:rsid w:val="009B6B66"/>
    <w:rsid w:val="00AF61A7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37F992-061F-48E2-B07B-3925AC63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D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D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2019-06-19T09:49:00Z</dcterms:created>
  <dcterms:modified xsi:type="dcterms:W3CDTF">2019-06-19T09:51:00Z</dcterms:modified>
</cp:coreProperties>
</file>