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00" w:after="240" w:line="240" w:lineRule="auto"/>
        <w:jc w:val="center"/>
      </w:pPr>
      <w:r>
        <w:rPr>
          <w:rFonts w:ascii="Arial" w:hAnsi="Arial" w:cs="Arial"/>
          <w:b/>
          <w:color w:val="17365D"/>
          <w:sz w:val="44"/>
        </w:rPr>
        <w:t>Reliability-Bounded Selective Vision-Language Reasoning</w:t>
        <w:br/>
        <w:t>for Industrial Anomaly Detection</w:t>
      </w:r>
    </w:p>
    <w:p>
      <w:pPr>
        <w:jc w:val="center"/>
      </w:pPr>
      <w:r>
        <w:t>Integrated Final Draft of SRB-QCR</w:t>
      </w:r>
    </w:p>
    <w:p/>
    <w:p>
      <w:pPr>
        <w:jc w:val="center"/>
      </w:pPr>
      <w:r>
        <w:rPr>
          <w:rFonts w:ascii="Times New Roman" w:hAnsi="Times New Roman" w:cs="Times New Roman"/>
          <w:sz w:val="22"/>
        </w:rPr>
        <w:t>Anonymous Author(s)</w:t>
      </w:r>
    </w:p>
    <w:p>
      <w:pPr>
        <w:jc w:val="center"/>
      </w:pPr>
      <w:r>
        <w:rPr>
          <w:rFonts w:ascii="Times New Roman" w:hAnsi="Times New Roman" w:cs="Times New Roman"/>
          <w:sz w:val="22"/>
        </w:rPr>
        <w:t>Affiliation: [To be completed]</w:t>
      </w:r>
    </w:p>
    <w:p>
      <w:pPr>
        <w:jc w:val="center"/>
      </w:pPr>
      <w:r>
        <w:rPr>
          <w:rFonts w:ascii="Times New Roman" w:hAnsi="Times New Roman" w:cs="Times New Roman"/>
          <w:sz w:val="22"/>
        </w:rPr>
        <w:t>E-mail: [To be completed]</w:t>
      </w:r>
    </w:p>
    <w:p>
      <w:pPr>
        <w:jc w:val="center"/>
      </w:pPr>
      <w:r>
        <w:rPr>
          <w:rFonts w:ascii="Times New Roman" w:hAnsi="Times New Roman" w:cs="Times New Roman"/>
          <w:sz w:val="22"/>
        </w:rPr>
        <w:t>Target venue: [To be determined]</w:t>
      </w:r>
    </w:p>
    <w:p>
      <w:pPr>
        <w:jc w:val="center"/>
      </w:pPr>
      <w:r>
        <w:t>Integrated draft date: 26 July 2026</w:t>
      </w:r>
    </w:p>
    <w:p/>
    <w:tbl>
      <w:tblPr>
        <w:tblStyle w:val="TableGrid"/>
        <w:tblW w:type="auto" w:w="0"/>
        <w:jc w:val="center"/>
        <w:tblLook w:firstColumn="1" w:firstRow="1" w:lastColumn="0" w:lastRow="0" w:noHBand="0" w:noVBand="1" w:val="04A0"/>
      </w:tblPr>
      <w:tblGrid>
        <w:gridCol w:w="9752"/>
      </w:tblGrid>
      <w:tr>
        <w:tc>
          <w:tcPr>
            <w:tcW w:type="dxa" w:w="9752"/>
            <w:shd w:fill="E2F0D9"/>
            <w:tcMar>
              <w:top w:w="120" w:type="dxa"/>
              <w:start w:w="160" w:type="dxa"/>
              <w:bottom w:w="120" w:type="dxa"/>
              <w:end w:w="160" w:type="dxa"/>
            </w:tcMar>
            <w:vAlign w:val="center"/>
          </w:tcPr>
          <w:p>
            <w:r>
              <w:rPr>
                <w:sz w:val="17"/>
              </w:rPr>
              <w:t>Draft status | INTEGRATED FINAL DRAFT — Experimental evidence through Stage 23-C2 is incorporated. Author identity, affiliation, target-venue formatting, and final bibliography style remain author-supplied.</w:t>
            </w:r>
          </w:p>
        </w:tc>
      </w:tr>
    </w:tbl>
    <w:p/>
    <w:p>
      <w:r>
        <w:br w:type="page"/>
      </w:r>
    </w:p>
    <w:p>
      <w:pPr>
        <w:pStyle w:val="Heading1"/>
        <w:keepNext/>
        <w:spacing w:before="80" w:after="100" w:line="252" w:lineRule="auto"/>
      </w:pPr>
      <w:r>
        <w:rPr>
          <w:rFonts w:ascii="Arial" w:hAnsi="Arial" w:cs="Arial"/>
          <w:b/>
          <w:color w:val="1F4E79"/>
          <w:sz w:val="30"/>
        </w:rPr>
        <w:t>Abstract</w:t>
      </w:r>
    </w:p>
    <w:p>
      <w:pPr>
        <w:keepNext w:val="0"/>
        <w:spacing w:before="0" w:after="100" w:line="283" w:lineRule="auto"/>
        <w:ind w:firstLine="312"/>
      </w:pPr>
      <w:r>
        <w:rPr>
          <w:rFonts w:ascii="Times New Roman" w:hAnsi="Times New Roman" w:cs="Times New Roman"/>
          <w:sz w:val="21"/>
        </w:rPr>
        <w:t>Industrial anomaly detectors provide strong localization and image-level evidence, whereas vision-language models (VLMs) offer complementary semantic cues. However, direct detector-VLM fusion is unreliable: a crop may be poorly localized, and a VLM score may conflict with a strong detector. This paper introduces SRB-QCR, a reliability-bounded selective extension of quality-calibrated reasoning. A detector first produces an anomaly score and top-k candidate regions. Candidate quality controls a pre-gate, and detector-VLM agreement continuously attenuates the maximum fusion weight. When the gate is closed, the final score is exactly the detector score, enabling a strict safe fallback and skipping the VLM call in deployment. The configuration is selected using VisA PatchCore category leave-one-out validation and then frozen for transfer. Under the VisA QCR protocol, candidate quality calibration improves mean AUROC from 0.9652 for naive fusion to 0.9748; adaptive consistency adds only 0.0004, confirming that quality is the primary effective component. On all 15 MVTec AD categories, frozen SRB-QCR reaches a macro image AUROC of 0.98848. It is non-inferior to the detector within a predeclared 0.002 tolerance, while outperforming naive fusion by 0.04485 and old Quality-QCR by 0.03761; both improvements have bootstrap confidence intervals fully above zero. Actual selective execution skips 431 of 1,725 VLM calls (24.99%), reduces median wall-clock time by 21.21%, and achieves 1.269× median speedup while reproducing offline scores to numerical precision. These results position SRB-QCR as a detector-preserving and deployable mechanism for selective vision-language augmentation rather than a replacement for industrial anomaly detectors.</w:t>
      </w:r>
      <w:r>
        <w:t xml:space="preserve"> On the AD2 four-category transfer, SRB-QCR improves macro AUROC over the detector by 0.0086 with 3/4 category wins. Actual selective execution reduces 243 calls to 182 (25.10%) and median time from 287.431 s to 240.746 s (18.95%), yielding 1.234× speedup.</w:t>
      </w:r>
    </w:p>
    <w:p>
      <w:r>
        <w:rPr>
          <w:rFonts w:ascii="Times New Roman" w:hAnsi="Times New Roman" w:cs="Times New Roman"/>
          <w:b/>
          <w:sz w:val="21"/>
        </w:rPr>
        <w:t xml:space="preserve">Keywords: </w:t>
      </w:r>
      <w:r>
        <w:rPr>
          <w:rFonts w:ascii="Times New Roman" w:hAnsi="Times New Roman" w:cs="Times New Roman"/>
          <w:sz w:val="21"/>
        </w:rPr>
        <w:t>industrial anomaly detection; vision-language model; selective inference; reliability calibration; safe fallback; PatchCore; CLIP</w:t>
      </w:r>
    </w:p>
    <w:p>
      <w:r>
        <w:br w:type="page"/>
      </w:r>
    </w:p>
    <w:p>
      <w:pPr>
        <w:pStyle w:val="Heading1"/>
        <w:keepNext/>
        <w:spacing w:before="80" w:after="100" w:line="252" w:lineRule="auto"/>
      </w:pPr>
      <w:r>
        <w:rPr>
          <w:rFonts w:ascii="Arial" w:hAnsi="Arial" w:cs="Arial"/>
          <w:b/>
          <w:color w:val="1F4E79"/>
          <w:sz w:val="30"/>
        </w:rPr>
        <w:t>Table of Contents</w:t>
      </w:r>
    </w:p>
    <w:p>
      <w:pPr>
        <w:keepNext w:val="0"/>
        <w:spacing w:before="0" w:after="40" w:line="269" w:lineRule="auto"/>
        <w:ind w:left="142"/>
      </w:pPr>
      <w:r>
        <w:rPr>
          <w:rFonts w:ascii="Times New Roman" w:hAnsi="Times New Roman" w:cs="Times New Roman"/>
          <w:sz w:val="21"/>
        </w:rPr>
        <w:t>1. Introduction</w:t>
      </w:r>
    </w:p>
    <w:p>
      <w:pPr>
        <w:keepNext w:val="0"/>
        <w:spacing w:before="0" w:after="40" w:line="269" w:lineRule="auto"/>
        <w:ind w:left="142"/>
      </w:pPr>
      <w:r>
        <w:rPr>
          <w:rFonts w:ascii="Times New Roman" w:hAnsi="Times New Roman" w:cs="Times New Roman"/>
          <w:sz w:val="21"/>
        </w:rPr>
        <w:t>2. Related Work</w:t>
      </w:r>
    </w:p>
    <w:p>
      <w:pPr>
        <w:keepNext w:val="0"/>
        <w:spacing w:before="0" w:after="40" w:line="269" w:lineRule="auto"/>
        <w:ind w:left="142"/>
      </w:pPr>
      <w:r>
        <w:rPr>
          <w:rFonts w:ascii="Times New Roman" w:hAnsi="Times New Roman" w:cs="Times New Roman"/>
          <w:sz w:val="21"/>
        </w:rPr>
        <w:t>3. Problem Formulation and Design Goals</w:t>
      </w:r>
    </w:p>
    <w:p>
      <w:pPr>
        <w:keepNext w:val="0"/>
        <w:spacing w:before="0" w:after="40" w:line="269" w:lineRule="auto"/>
        <w:ind w:left="142"/>
      </w:pPr>
      <w:r>
        <w:rPr>
          <w:rFonts w:ascii="Times New Roman" w:hAnsi="Times New Roman" w:cs="Times New Roman"/>
          <w:sz w:val="21"/>
        </w:rPr>
        <w:t>4. Proposed Method: SRB-QCR</w:t>
      </w:r>
    </w:p>
    <w:p>
      <w:pPr>
        <w:keepNext w:val="0"/>
        <w:spacing w:before="0" w:after="40" w:line="269" w:lineRule="auto"/>
        <w:ind w:left="142"/>
      </w:pPr>
      <w:r>
        <w:rPr>
          <w:rFonts w:ascii="Times New Roman" w:hAnsi="Times New Roman" w:cs="Times New Roman"/>
          <w:sz w:val="21"/>
        </w:rPr>
        <w:t>5. Experimental Setup</w:t>
      </w:r>
    </w:p>
    <w:p>
      <w:pPr>
        <w:keepNext w:val="0"/>
        <w:spacing w:before="0" w:after="40" w:line="269" w:lineRule="auto"/>
        <w:ind w:left="142"/>
      </w:pPr>
      <w:r>
        <w:rPr>
          <w:rFonts w:ascii="Times New Roman" w:hAnsi="Times New Roman" w:cs="Times New Roman"/>
          <w:sz w:val="21"/>
        </w:rPr>
        <w:t>6. Experimental Results</w:t>
      </w:r>
    </w:p>
    <w:p>
      <w:pPr>
        <w:keepNext w:val="0"/>
        <w:spacing w:before="0" w:after="40" w:line="269" w:lineRule="auto"/>
        <w:ind w:left="142"/>
      </w:pPr>
      <w:r>
        <w:rPr>
          <w:rFonts w:ascii="Times New Roman" w:hAnsi="Times New Roman" w:cs="Times New Roman"/>
          <w:sz w:val="21"/>
        </w:rPr>
        <w:t>7. Efficiency and Deployment Analysis</w:t>
      </w:r>
    </w:p>
    <w:p>
      <w:pPr>
        <w:keepNext w:val="0"/>
        <w:spacing w:before="0" w:after="40" w:line="269" w:lineRule="auto"/>
        <w:ind w:left="142"/>
      </w:pPr>
      <w:r>
        <w:rPr>
          <w:rFonts w:ascii="Times New Roman" w:hAnsi="Times New Roman" w:cs="Times New Roman"/>
          <w:sz w:val="21"/>
        </w:rPr>
        <w:t>8. Qualitative and Failure-Boundary Analysis</w:t>
      </w:r>
    </w:p>
    <w:p>
      <w:pPr>
        <w:keepNext w:val="0"/>
        <w:spacing w:before="0" w:after="40" w:line="269" w:lineRule="auto"/>
        <w:ind w:left="142"/>
      </w:pPr>
      <w:r>
        <w:rPr>
          <w:rFonts w:ascii="Times New Roman" w:hAnsi="Times New Roman" w:cs="Times New Roman"/>
          <w:sz w:val="21"/>
        </w:rPr>
        <w:t>9. Discussion</w:t>
      </w:r>
    </w:p>
    <w:p>
      <w:pPr>
        <w:keepNext w:val="0"/>
        <w:spacing w:before="0" w:after="40" w:line="269" w:lineRule="auto"/>
        <w:ind w:left="142"/>
      </w:pPr>
      <w:r>
        <w:rPr>
          <w:rFonts w:ascii="Times New Roman" w:hAnsi="Times New Roman" w:cs="Times New Roman"/>
          <w:sz w:val="21"/>
        </w:rPr>
        <w:t>10. Limitations</w:t>
      </w:r>
    </w:p>
    <w:p>
      <w:pPr>
        <w:keepNext w:val="0"/>
        <w:spacing w:before="0" w:after="40" w:line="269" w:lineRule="auto"/>
        <w:ind w:left="142"/>
      </w:pPr>
      <w:r>
        <w:rPr>
          <w:rFonts w:ascii="Times New Roman" w:hAnsi="Times New Roman" w:cs="Times New Roman"/>
          <w:sz w:val="21"/>
        </w:rPr>
        <w:t>11. Conclusion</w:t>
      </w:r>
    </w:p>
    <w:p>
      <w:pPr>
        <w:keepNext w:val="0"/>
        <w:spacing w:before="0" w:after="40" w:line="269" w:lineRule="auto"/>
        <w:ind w:left="142"/>
      </w:pPr>
      <w:r>
        <w:rPr>
          <w:rFonts w:ascii="Times New Roman" w:hAnsi="Times New Roman" w:cs="Times New Roman"/>
          <w:sz w:val="21"/>
        </w:rPr>
        <w:t>Declarations</w:t>
      </w:r>
    </w:p>
    <w:p>
      <w:pPr>
        <w:keepNext w:val="0"/>
        <w:spacing w:before="0" w:after="40" w:line="269" w:lineRule="auto"/>
        <w:ind w:left="142"/>
      </w:pPr>
      <w:r>
        <w:rPr>
          <w:rFonts w:ascii="Times New Roman" w:hAnsi="Times New Roman" w:cs="Times New Roman"/>
          <w:sz w:val="21"/>
        </w:rPr>
        <w:t>References</w:t>
      </w:r>
    </w:p>
    <w:p>
      <w:pPr>
        <w:keepNext w:val="0"/>
        <w:spacing w:before="0" w:after="40" w:line="269" w:lineRule="auto"/>
        <w:ind w:left="142"/>
      </w:pPr>
      <w:r>
        <w:rPr>
          <w:rFonts w:ascii="Times New Roman" w:hAnsi="Times New Roman" w:cs="Times New Roman"/>
          <w:sz w:val="21"/>
        </w:rPr>
        <w:t>Appendices A-E</w:t>
      </w:r>
    </w:p>
    <w:p>
      <w:r>
        <w:br w:type="page"/>
      </w:r>
    </w:p>
    <w:p>
      <w:pPr>
        <w:pStyle w:val="Heading1"/>
        <w:keepNext/>
        <w:spacing w:before="80" w:after="100" w:line="252" w:lineRule="auto"/>
      </w:pPr>
      <w:r>
        <w:rPr>
          <w:rFonts w:ascii="Arial" w:hAnsi="Arial" w:cs="Arial"/>
          <w:b/>
          <w:color w:val="1F4E79"/>
          <w:sz w:val="30"/>
        </w:rPr>
        <w:t>List of Figures and Tables</w:t>
      </w:r>
    </w:p>
    <w:p>
      <w:pPr>
        <w:pStyle w:val="ListBullet"/>
        <w:keepNext w:val="0"/>
        <w:spacing w:before="0" w:after="40" w:line="269" w:lineRule="auto"/>
      </w:pPr>
      <w:r>
        <w:rPr>
          <w:rFonts w:ascii="Times New Roman" w:hAnsi="Times New Roman" w:cs="Times New Roman"/>
          <w:sz w:val="21"/>
        </w:rPr>
        <w:t>Figure 1. Overview of SRB-QCR.</w:t>
      </w:r>
    </w:p>
    <w:p>
      <w:pPr>
        <w:pStyle w:val="ListBullet"/>
        <w:keepNext w:val="0"/>
        <w:spacing w:before="0" w:after="40" w:line="269" w:lineRule="auto"/>
      </w:pPr>
      <w:r>
        <w:rPr>
          <w:rFonts w:ascii="Times New Roman" w:hAnsi="Times New Roman" w:cs="Times New Roman"/>
          <w:sz w:val="21"/>
        </w:rPr>
        <w:t>Figure 2. Experimental development and frozen-transfer protocol.</w:t>
      </w:r>
    </w:p>
    <w:p>
      <w:pPr>
        <w:pStyle w:val="ListBullet"/>
        <w:keepNext w:val="0"/>
        <w:spacing w:before="0" w:after="40" w:line="269" w:lineRule="auto"/>
      </w:pPr>
      <w:r>
        <w:rPr>
          <w:rFonts w:ascii="Times New Roman" w:hAnsi="Times New Roman" w:cs="Times New Roman"/>
          <w:sz w:val="21"/>
        </w:rPr>
        <w:t>Figure 3. Macro AUROC comparison on MVTec AD 15 classes.</w:t>
      </w:r>
    </w:p>
    <w:p>
      <w:pPr>
        <w:pStyle w:val="ListBullet"/>
        <w:keepNext w:val="0"/>
        <w:spacing w:before="0" w:after="40" w:line="269" w:lineRule="auto"/>
      </w:pPr>
      <w:r>
        <w:rPr>
          <w:rFonts w:ascii="Times New Roman" w:hAnsi="Times New Roman" w:cs="Times New Roman"/>
          <w:sz w:val="21"/>
        </w:rPr>
        <w:t>Figure 4. Measured full-versus-selective runtime.</w:t>
      </w:r>
    </w:p>
    <w:p>
      <w:pPr>
        <w:pStyle w:val="ListBullet"/>
        <w:keepNext w:val="0"/>
        <w:spacing w:before="0" w:after="40" w:line="269" w:lineRule="auto"/>
      </w:pPr>
      <w:r>
        <w:rPr>
          <w:rFonts w:ascii="Times New Roman" w:hAnsi="Times New Roman" w:cs="Times New Roman"/>
          <w:sz w:val="21"/>
        </w:rPr>
        <w:t>Figure 5. Four representative reliability-boundary cases.</w:t>
      </w:r>
    </w:p>
    <w:p>
      <w:pPr>
        <w:pStyle w:val="ListBullet"/>
      </w:pPr>
      <w:r>
        <w:t>Figure 6. Measured full-versus-selective runtime on the AD2 four-category protocol.</w:t>
      </w:r>
    </w:p>
    <w:p>
      <w:pPr>
        <w:pStyle w:val="ListBullet"/>
        <w:keepNext w:val="0"/>
        <w:spacing w:before="0" w:after="40" w:line="269" w:lineRule="auto"/>
      </w:pPr>
      <w:r>
        <w:rPr>
          <w:rFonts w:ascii="Times New Roman" w:hAnsi="Times New Roman" w:cs="Times New Roman"/>
          <w:sz w:val="21"/>
        </w:rPr>
        <w:t>Figure A1. Full eight-case qualitative audit grid.</w:t>
      </w:r>
    </w:p>
    <w:p>
      <w:pPr>
        <w:pStyle w:val="ListBullet"/>
        <w:keepNext w:val="0"/>
        <w:spacing w:before="0" w:after="40" w:line="269" w:lineRule="auto"/>
      </w:pPr>
      <w:r>
        <w:rPr>
          <w:rFonts w:ascii="Times New Roman" w:hAnsi="Times New Roman" w:cs="Times New Roman"/>
          <w:sz w:val="21"/>
        </w:rPr>
        <w:t>Table 1. Notation and design roles.</w:t>
      </w:r>
    </w:p>
    <w:p>
      <w:pPr>
        <w:pStyle w:val="ListBullet"/>
        <w:keepNext w:val="0"/>
        <w:spacing w:before="0" w:after="40" w:line="269" w:lineRule="auto"/>
      </w:pPr>
      <w:r>
        <w:rPr>
          <w:rFonts w:ascii="Times New Roman" w:hAnsi="Times New Roman" w:cs="Times New Roman"/>
          <w:sz w:val="21"/>
        </w:rPr>
        <w:t>Table 2. Dataset roles and transfer protocol.</w:t>
      </w:r>
    </w:p>
    <w:p>
      <w:pPr>
        <w:pStyle w:val="ListBullet"/>
        <w:keepNext w:val="0"/>
        <w:spacing w:before="0" w:after="40" w:line="269" w:lineRule="auto"/>
      </w:pPr>
      <w:r>
        <w:rPr>
          <w:rFonts w:ascii="Times New Roman" w:hAnsi="Times New Roman" w:cs="Times New Roman"/>
          <w:sz w:val="21"/>
        </w:rPr>
        <w:t>Table 3. System-level baseline comparison.</w:t>
      </w:r>
    </w:p>
    <w:p>
      <w:pPr>
        <w:pStyle w:val="ListBullet"/>
        <w:keepNext w:val="0"/>
        <w:spacing w:before="0" w:after="40" w:line="269" w:lineRule="auto"/>
      </w:pPr>
      <w:r>
        <w:rPr>
          <w:rFonts w:ascii="Times New Roman" w:hAnsi="Times New Roman" w:cs="Times New Roman"/>
          <w:sz w:val="21"/>
        </w:rPr>
        <w:t>Table 4. QCR primary-protocol ablation.</w:t>
      </w:r>
    </w:p>
    <w:p>
      <w:pPr>
        <w:pStyle w:val="ListBullet"/>
        <w:keepNext w:val="0"/>
        <w:spacing w:before="0" w:after="40" w:line="269" w:lineRule="auto"/>
      </w:pPr>
      <w:r>
        <w:rPr>
          <w:rFonts w:ascii="Times New Roman" w:hAnsi="Times New Roman" w:cs="Times New Roman"/>
          <w:sz w:val="21"/>
        </w:rPr>
        <w:t>Table 5. Robustness of quality and consistency components.</w:t>
      </w:r>
    </w:p>
    <w:p>
      <w:pPr>
        <w:pStyle w:val="ListBullet"/>
        <w:keepNext w:val="0"/>
        <w:spacing w:before="0" w:after="40" w:line="269" w:lineRule="auto"/>
      </w:pPr>
      <w:r>
        <w:rPr>
          <w:rFonts w:ascii="Times New Roman" w:hAnsi="Times New Roman" w:cs="Times New Roman"/>
          <w:sz w:val="21"/>
        </w:rPr>
        <w:t>Table 6. AD2 AnomalyCLIP comparison.</w:t>
      </w:r>
    </w:p>
    <w:p>
      <w:pPr>
        <w:pStyle w:val="ListBullet"/>
        <w:keepNext w:val="0"/>
        <w:spacing w:before="0" w:after="40" w:line="269" w:lineRule="auto"/>
      </w:pPr>
      <w:r>
        <w:rPr>
          <w:rFonts w:ascii="Times New Roman" w:hAnsi="Times New Roman" w:cs="Times New Roman"/>
          <w:sz w:val="21"/>
        </w:rPr>
        <w:t>Table 7. MVTec AD frozen-transfer results.</w:t>
      </w:r>
    </w:p>
    <w:p>
      <w:pPr>
        <w:pStyle w:val="ListBullet"/>
        <w:keepNext w:val="0"/>
        <w:spacing w:before="0" w:after="40" w:line="269" w:lineRule="auto"/>
      </w:pPr>
      <w:r>
        <w:rPr>
          <w:rFonts w:ascii="Times New Roman" w:hAnsi="Times New Roman" w:cs="Times New Roman"/>
          <w:sz w:val="21"/>
        </w:rPr>
        <w:t>Table 8. Bootstrap and non-inferiority analysis.</w:t>
      </w:r>
    </w:p>
    <w:p>
      <w:pPr>
        <w:pStyle w:val="ListBullet"/>
        <w:keepNext w:val="0"/>
        <w:spacing w:before="0" w:after="40" w:line="269" w:lineRule="auto"/>
      </w:pPr>
      <w:r>
        <w:rPr>
          <w:rFonts w:ascii="Times New Roman" w:hAnsi="Times New Roman" w:cs="Times New Roman"/>
          <w:sz w:val="21"/>
        </w:rPr>
        <w:t>Table 9. Actual selective runtime.</w:t>
      </w:r>
    </w:p>
    <w:p>
      <w:pPr>
        <w:pStyle w:val="ListBullet"/>
      </w:pPr>
      <w:r>
        <w:t>Table 10. AD2 actual selective runtime.</w:t>
      </w:r>
    </w:p>
    <w:p>
      <w:pPr>
        <w:pStyle w:val="ListBullet"/>
        <w:keepNext w:val="0"/>
        <w:spacing w:before="0" w:after="40" w:line="269" w:lineRule="auto"/>
      </w:pPr>
      <w:r>
        <w:rPr>
          <w:rFonts w:ascii="Times New Roman" w:hAnsi="Times New Roman" w:cs="Times New Roman"/>
          <w:sz w:val="21"/>
        </w:rPr>
        <w:t>Appendix tables: reproducibility and claim boundaries.</w:t>
      </w:r>
    </w:p>
    <w:p>
      <w:r>
        <w:br w:type="page"/>
      </w:r>
    </w:p>
    <w:p>
      <w:pPr>
        <w:pStyle w:val="Heading1"/>
        <w:keepNext/>
        <w:spacing w:before="80" w:after="100" w:line="252" w:lineRule="auto"/>
      </w:pPr>
      <w:r>
        <w:rPr>
          <w:rFonts w:ascii="Arial" w:hAnsi="Arial" w:cs="Arial"/>
          <w:b/>
          <w:color w:val="1F4E79"/>
          <w:sz w:val="30"/>
        </w:rPr>
        <w:t>1. Introduction</w:t>
      </w:r>
    </w:p>
    <w:p>
      <w:pPr>
        <w:keepNext w:val="0"/>
        <w:spacing w:before="0" w:after="100" w:line="283" w:lineRule="auto"/>
        <w:ind w:firstLine="312"/>
      </w:pPr>
      <w:r>
        <w:rPr>
          <w:rFonts w:ascii="Times New Roman" w:hAnsi="Times New Roman" w:cs="Times New Roman"/>
          <w:sz w:val="21"/>
        </w:rPr>
        <w:t>Industrial visual anomaly detection aims to identify defects using predominantly normal training data. Modern feature-memory, flow-based, and teacher-student detectors have achieved strong localization and image-level recognition on benchmarks such as MVTec AD and VisA [1–5]. Their strength lies in distributional modeling and local feature comparison. Nevertheless, detector scores are typically not expressed in semantic terms, and they do not directly reason about whether a localized pattern resembles a crack, contamination, scratch, missing part, or another human-interpretable abnormal state.</w:t>
      </w:r>
    </w:p>
    <w:p>
      <w:pPr>
        <w:keepNext w:val="0"/>
        <w:spacing w:before="0" w:after="100" w:line="283" w:lineRule="auto"/>
        <w:ind w:firstLine="312"/>
      </w:pPr>
      <w:r>
        <w:rPr>
          <w:rFonts w:ascii="Times New Roman" w:hAnsi="Times New Roman" w:cs="Times New Roman"/>
          <w:sz w:val="21"/>
        </w:rPr>
        <w:t>Vision-language models provide a complementary capability. CLIP-style pretraining aligns images and natural-language descriptions in a shared representation space [6], motivating anomaly-detection methods such as WinCLIP and AnomalyCLIP [7,8]. Yet industrial anomalies are often small relative to the full image. Full-image VLM inference can therefore be dominated by object identity, background, texture, or acquisition conditions rather than by the local defect. Detector-guided candidate crops improve focus, but this change creates a new reliability question: not every candidate crop is trustworthy, and not every VLM score should influence a strong detector.</w:t>
      </w:r>
    </w:p>
    <w:p>
      <w:pPr>
        <w:keepNext w:val="0"/>
        <w:spacing w:before="0" w:after="100" w:line="283" w:lineRule="auto"/>
        <w:ind w:firstLine="312"/>
      </w:pPr>
      <w:r>
        <w:rPr>
          <w:rFonts w:ascii="Times New Roman" w:hAnsi="Times New Roman" w:cs="Times New Roman"/>
          <w:sz w:val="21"/>
        </w:rPr>
        <w:t>Our experiments expose the severity of this problem. In early localization-guided reasoning tests, candidate crops substantially improved VLM anomaly reasoning over full-image inference. However, once the VLM branch was fused with a detector, naive score averaging was not consistently safe. On the complete 15-class MVTec AD transfer, naive detector-crop fusion reduced macro AUROC from 0.98821 for PatchCore to 0.94363. Old quality-weighted fusion recovered part of the loss but remained at 0.95087. These findings motivate a method whose primary objective is not unconstrained score maximization, but reliability-bounded augmentation: VLM evidence should be used only when the candidate and the cross-modal evidence are sufficiently trustworthy, and otherwise the system must preserve the detector exactly.</w:t>
      </w:r>
    </w:p>
    <w:p>
      <w:pPr>
        <w:keepNext w:val="0"/>
        <w:spacing w:before="0" w:after="100" w:line="283" w:lineRule="auto"/>
        <w:ind w:firstLine="312"/>
      </w:pPr>
      <w:r>
        <w:rPr>
          <w:rFonts w:ascii="Times New Roman" w:hAnsi="Times New Roman" w:cs="Times New Roman"/>
          <w:sz w:val="21"/>
        </w:rPr>
        <w:t>We introduce SRB-QCR, a selective reliability-bounded extension of Quality-Calibrated QCR. The detector provides an image-level anomaly score, an anomaly map, and top-k candidate regions. Candidate quality forms a pre-gate, while detector-VLM agreement continuously modulates the fusion weight. The final score is a convex movement from the detector score toward the VLM score. Crucially, when the pre-gate is closed the weight is zero and the output is exactly the original detector score. This mechanism creates both a reliability boundary and an execution boundary: rejected images do not require a VLM call during selective deployment.</w:t>
      </w:r>
    </w:p>
    <w:p>
      <w:pPr>
        <w:keepNext w:val="0"/>
        <w:spacing w:before="0" w:after="100" w:line="283" w:lineRule="auto"/>
        <w:ind w:firstLine="312"/>
      </w:pPr>
      <w:r>
        <w:rPr>
          <w:rFonts w:ascii="Times New Roman" w:hAnsi="Times New Roman" w:cs="Times New Roman"/>
          <w:sz w:val="21"/>
        </w:rPr>
        <w:t>To avoid target-set overfitting, we select the configuration using category leave-one-out validation on VisA with PatchCore, then freeze the maximum fusion weight, quality quantile, and agreement scale. The same configuration is transferred to VisA FastFlow, an AD2 four-category protocol, and the full 15-category MVTec AD benchmark without using target labels for parameter selection. The strongest external validation is MVTec AD, where SRB-QCR is non-inferior to the detector under a predeclared 0.002 tolerance, while significantly outperforming naive fusion and old Quality-QCR. A measured runtime experiment further confirms that selective execution reduces VLM calls and wall-clock time without changing scores.</w:t>
      </w:r>
    </w:p>
    <w:p>
      <w:pPr>
        <w:pStyle w:val="Heading2"/>
        <w:keepNext/>
        <w:spacing w:before="60" w:after="100" w:line="252" w:lineRule="auto"/>
      </w:pPr>
      <w:r>
        <w:rPr>
          <w:rFonts w:ascii="Arial" w:hAnsi="Arial" w:cs="Arial"/>
          <w:b/>
          <w:color w:val="1F4E79"/>
          <w:sz w:val="25"/>
        </w:rPr>
        <w:t>1.1 Contributions</w:t>
      </w:r>
    </w:p>
    <w:p>
      <w:pPr>
        <w:pStyle w:val="ListBullet"/>
        <w:keepNext w:val="0"/>
        <w:spacing w:before="0" w:after="40" w:line="269" w:lineRule="auto"/>
      </w:pPr>
      <w:r>
        <w:rPr>
          <w:rFonts w:ascii="Times New Roman" w:hAnsi="Times New Roman" w:cs="Times New Roman"/>
          <w:sz w:val="21"/>
        </w:rPr>
        <w:t>We formulate detector-guided VLM augmentation as a reliability-bounded selective inference problem. The formulation explicitly separates candidate validity, cross-modal agreement, fusion, and safe fallback.</w:t>
      </w:r>
    </w:p>
    <w:p>
      <w:pPr>
        <w:pStyle w:val="ListBullet"/>
        <w:keepNext w:val="0"/>
        <w:spacing w:before="0" w:after="40" w:line="269" w:lineRule="auto"/>
      </w:pPr>
      <w:r>
        <w:rPr>
          <w:rFonts w:ascii="Times New Roman" w:hAnsi="Times New Roman" w:cs="Times New Roman"/>
          <w:sz w:val="21"/>
        </w:rPr>
        <w:t>We propose SRB-QCR, which combines an unlabeled candidate-quality gate with a bounded agreement-modulated weight. The detector score is strictly preserved when the gate is closed.</w:t>
      </w:r>
    </w:p>
    <w:p>
      <w:pPr>
        <w:pStyle w:val="ListBullet"/>
        <w:keepNext w:val="0"/>
        <w:spacing w:before="0" w:after="40" w:line="269" w:lineRule="auto"/>
      </w:pPr>
      <w:r>
        <w:rPr>
          <w:rFonts w:ascii="Times New Roman" w:hAnsi="Times New Roman" w:cs="Times New Roman"/>
          <w:sz w:val="21"/>
        </w:rPr>
        <w:t>We provide a multi-stage evidence chain covering VisA development, cross-backbone transfer, AD2 transfer, full MVTec AD 15-class frozen transfer, bootstrap analysis, and measured runtime.</w:t>
      </w:r>
    </w:p>
    <w:p>
      <w:pPr>
        <w:pStyle w:val="ListBullet"/>
        <w:keepNext w:val="0"/>
        <w:spacing w:before="0" w:after="40" w:line="269" w:lineRule="auto"/>
      </w:pPr>
      <w:r>
        <w:rPr>
          <w:rFonts w:ascii="Times New Roman" w:hAnsi="Times New Roman" w:cs="Times New Roman"/>
          <w:sz w:val="21"/>
        </w:rPr>
        <w:t>We demonstrate deployable efficiency: 431 of 1,725 VLM calls are skipped, median wall-clock time is reduced by 21.21%, and output scores are reproduced to numerical precision.</w:t>
      </w:r>
    </w:p>
    <w:p>
      <w:pPr>
        <w:pStyle w:val="ListBullet"/>
        <w:keepNext w:val="0"/>
        <w:spacing w:before="0" w:after="40" w:line="269" w:lineRule="auto"/>
      </w:pPr>
      <w:r>
        <w:rPr>
          <w:rFonts w:ascii="Times New Roman" w:hAnsi="Times New Roman" w:cs="Times New Roman"/>
          <w:sz w:val="21"/>
        </w:rPr>
        <w:t>We document both successful and failed gate behavior, and explicitly constrain the claims to image-level recognition and candidate-level evidence calibration.</w:t>
      </w:r>
    </w:p>
    <w:p>
      <w:pPr>
        <w:pStyle w:val="Heading2"/>
        <w:keepNext/>
        <w:spacing w:before="60" w:after="100" w:line="252" w:lineRule="auto"/>
      </w:pPr>
      <w:r>
        <w:rPr>
          <w:rFonts w:ascii="Arial" w:hAnsi="Arial" w:cs="Arial"/>
          <w:b/>
          <w:color w:val="1F4E79"/>
          <w:sz w:val="25"/>
        </w:rPr>
        <w:t>1.2 Scope and paper organization</w:t>
      </w:r>
    </w:p>
    <w:p>
      <w:pPr>
        <w:keepNext w:val="0"/>
        <w:spacing w:before="0" w:after="100" w:line="283" w:lineRule="auto"/>
        <w:ind w:firstLine="312"/>
      </w:pPr>
      <w:r>
        <w:rPr>
          <w:rFonts w:ascii="Times New Roman" w:hAnsi="Times New Roman" w:cs="Times New Roman"/>
          <w:sz w:val="21"/>
        </w:rPr>
        <w:t>The method is intended to augment, not replace, a strong anomaly detector. It does not claim pixel-level segmentation state of the art or general causal explanation of manufacturing defects. Section 2 reviews related work; Sections 3 and 4 define the problem and method; Section 5 specifies the frozen experimental protocol; Sections 6–8 present effectiveness, efficiency, and qualitative boundaries; Sections 9–11 discuss implications, limitations, and conclusions. Detailed reproducibility and claim-boundary material is provided in the appendices.</w:t>
      </w:r>
    </w:p>
    <w:p>
      <w:r>
        <w:br w:type="page"/>
      </w:r>
    </w:p>
    <w:p>
      <w:pPr>
        <w:pStyle w:val="Heading1"/>
        <w:keepNext/>
        <w:spacing w:before="80" w:after="100" w:line="252" w:lineRule="auto"/>
      </w:pPr>
      <w:r>
        <w:rPr>
          <w:rFonts w:ascii="Arial" w:hAnsi="Arial" w:cs="Arial"/>
          <w:b/>
          <w:color w:val="1F4E79"/>
          <w:sz w:val="30"/>
        </w:rPr>
        <w:t>2. Related Work</w:t>
      </w:r>
    </w:p>
    <w:p>
      <w:pPr>
        <w:pStyle w:val="Heading2"/>
        <w:keepNext/>
        <w:spacing w:before="60" w:after="100" w:line="252" w:lineRule="auto"/>
      </w:pPr>
      <w:r>
        <w:rPr>
          <w:rFonts w:ascii="Arial" w:hAnsi="Arial" w:cs="Arial"/>
          <w:b/>
          <w:color w:val="1F4E79"/>
          <w:sz w:val="25"/>
        </w:rPr>
        <w:t>2.1 Industrial anomaly detection</w:t>
      </w:r>
    </w:p>
    <w:p>
      <w:pPr>
        <w:keepNext w:val="0"/>
        <w:spacing w:before="0" w:after="100" w:line="283" w:lineRule="auto"/>
        <w:ind w:firstLine="312"/>
      </w:pPr>
      <w:r>
        <w:rPr>
          <w:rFonts w:ascii="Times New Roman" w:hAnsi="Times New Roman" w:cs="Times New Roman"/>
          <w:sz w:val="21"/>
        </w:rPr>
        <w:t>Industrial anomaly detection has progressed from reconstruction-based methods to discriminative, feature-memory, flow-based, and teacher-student approaches. MVTec AD established a widely used real-world benchmark [1], while VisA expanded category and image diversity [2]. PatchCore stores representative normal patch features and performs nearest-neighbor anomaly scoring [3]. FastFlow models normal feature distributions with 2-D normalizing flows [4]. EfficientAD emphasizes fast and accurate teacher-student detection [5]. DRAEM and reverse distillation provide additional reconstruction-discrimination and one-class transfer perspectives [9,10].</w:t>
      </w:r>
    </w:p>
    <w:p>
      <w:pPr>
        <w:keepNext w:val="0"/>
        <w:spacing w:before="0" w:after="100" w:line="283" w:lineRule="auto"/>
        <w:ind w:firstLine="312"/>
      </w:pPr>
      <w:r>
        <w:rPr>
          <w:rFonts w:ascii="Times New Roman" w:hAnsi="Times New Roman" w:cs="Times New Roman"/>
          <w:sz w:val="21"/>
        </w:rPr>
        <w:t>Our work treats these detectors as localization and confidence providers. The contribution is not a new pixel-level detector backbone. Instead, detector anomaly maps define where a VLM should look, and detector scores anchor the final output. This distinction is important because replacing the detector would remove the strong safety reference that enables strict fallback.</w:t>
      </w:r>
    </w:p>
    <w:p>
      <w:pPr>
        <w:pStyle w:val="Heading2"/>
        <w:keepNext/>
        <w:spacing w:before="60" w:after="100" w:line="252" w:lineRule="auto"/>
      </w:pPr>
      <w:r>
        <w:rPr>
          <w:rFonts w:ascii="Arial" w:hAnsi="Arial" w:cs="Arial"/>
          <w:b/>
          <w:color w:val="1F4E79"/>
          <w:sz w:val="25"/>
        </w:rPr>
        <w:t>2.2 Vision-language anomaly detection</w:t>
      </w:r>
    </w:p>
    <w:p>
      <w:pPr>
        <w:keepNext w:val="0"/>
        <w:spacing w:before="0" w:after="100" w:line="283" w:lineRule="auto"/>
        <w:ind w:firstLine="312"/>
      </w:pPr>
      <w:r>
        <w:rPr>
          <w:rFonts w:ascii="Times New Roman" w:hAnsi="Times New Roman" w:cs="Times New Roman"/>
          <w:sz w:val="21"/>
        </w:rPr>
        <w:t>CLIP learns transferable visual representations from natural-language supervision [6]. WinCLIP adapts CLIP features and prompt ensembles for zero-/few-shot anomaly classification and segmentation [7], and AnomalyCLIP learns object-agnostic normal and abnormal prompts [8]. These works demonstrate that language-conditioned features can recognize anomalous states across objects.</w:t>
      </w:r>
    </w:p>
    <w:p>
      <w:pPr>
        <w:keepNext w:val="0"/>
        <w:spacing w:before="0" w:after="100" w:line="283" w:lineRule="auto"/>
        <w:ind w:firstLine="312"/>
      </w:pPr>
      <w:r>
        <w:rPr>
          <w:rFonts w:ascii="Times New Roman" w:hAnsi="Times New Roman" w:cs="Times New Roman"/>
          <w:sz w:val="21"/>
        </w:rPr>
        <w:t>SRB-QCR addresses a narrower and complementary problem. It does not claim to outperform all dedicated VLM anomaly detectors. Instead, it studies when detector-guided crop evidence should be allowed to alter a strong detector score. Full-image, crop-only, WinCLIP, and AnomalyCLIP results are included as protocol-specific baselines, while the central comparisons are detector-only, naive detector-crop fusion, old Quality-QCR, and SRB-QCR.</w:t>
      </w:r>
    </w:p>
    <w:p>
      <w:pPr>
        <w:pStyle w:val="Heading2"/>
        <w:keepNext/>
        <w:spacing w:before="60" w:after="100" w:line="252" w:lineRule="auto"/>
      </w:pPr>
      <w:r>
        <w:rPr>
          <w:rFonts w:ascii="Arial" w:hAnsi="Arial" w:cs="Arial"/>
          <w:b/>
          <w:color w:val="1F4E79"/>
          <w:sz w:val="25"/>
        </w:rPr>
        <w:t>2.3 Reliability calibration and selective prediction</w:t>
      </w:r>
    </w:p>
    <w:p>
      <w:pPr>
        <w:keepNext w:val="0"/>
        <w:spacing w:before="0" w:after="100" w:line="283" w:lineRule="auto"/>
        <w:ind w:firstLine="312"/>
      </w:pPr>
      <w:r>
        <w:rPr>
          <w:rFonts w:ascii="Times New Roman" w:hAnsi="Times New Roman" w:cs="Times New Roman"/>
          <w:sz w:val="21"/>
        </w:rPr>
        <w:t>Conventional score fusion often assumes comparable and equally reliable modalities. In industrial imagery this assumption is fragile: the detector can be near-certain while the VLM is distracted by texture, or the detector can be uncertain while a localized crop provides useful semantic evidence. Selective prediction offers a natural principle: perform an expensive or risky operation only when a confidence criterion is satisfied.</w:t>
      </w:r>
    </w:p>
    <w:p>
      <w:pPr>
        <w:keepNext w:val="0"/>
        <w:spacing w:before="0" w:after="100" w:line="283" w:lineRule="auto"/>
        <w:ind w:firstLine="312"/>
      </w:pPr>
      <w:r>
        <w:rPr>
          <w:rFonts w:ascii="Times New Roman" w:hAnsi="Times New Roman" w:cs="Times New Roman"/>
          <w:sz w:val="21"/>
        </w:rPr>
        <w:t>SRB-QCR differs from a hard reject-only classifier because the detector remains active for every image. The gate controls the auxiliary VLM branch, not whether a prediction is produced. The method thus combines three desirable properties: every image receives a detector score; the VLM call can be skipped; and any accepted VLM evidence is bounded by both quality and agreement.</w:t>
      </w:r>
    </w:p>
    <w:p>
      <w:pPr>
        <w:pStyle w:val="Heading2"/>
        <w:keepNext/>
        <w:spacing w:before="60" w:after="100" w:line="252" w:lineRule="auto"/>
      </w:pPr>
      <w:r>
        <w:rPr>
          <w:rFonts w:ascii="Arial" w:hAnsi="Arial" w:cs="Arial"/>
          <w:b/>
          <w:color w:val="1F4E79"/>
          <w:sz w:val="25"/>
        </w:rPr>
        <w:t>2.4 Relation to our earlier Quality-QCR</w:t>
      </w:r>
    </w:p>
    <w:p>
      <w:pPr>
        <w:keepNext w:val="0"/>
        <w:spacing w:before="0" w:after="100" w:line="283" w:lineRule="auto"/>
        <w:ind w:firstLine="312"/>
      </w:pPr>
      <w:r>
        <w:rPr>
          <w:rFonts w:ascii="Times New Roman" w:hAnsi="Times New Roman" w:cs="Times New Roman"/>
          <w:sz w:val="21"/>
        </w:rPr>
        <w:t>The earlier Quality-Calibrated QCR formulation established that candidate quality is a useful reliability signal for crop-based VLM evidence. Its quality-weighted score improves over naive fusion under the VisA primary protocol. However, it always evaluates the VLM and does not guarantee strict detector preservation. Fixed consistency terms can also improve peak AUROC but are unstable across categories.</w:t>
      </w:r>
    </w:p>
    <w:p>
      <w:pPr>
        <w:keepNext w:val="0"/>
        <w:spacing w:before="0" w:after="100" w:line="283" w:lineRule="auto"/>
        <w:ind w:firstLine="312"/>
      </w:pPr>
      <w:r>
        <w:rPr>
          <w:rFonts w:ascii="Times New Roman" w:hAnsi="Times New Roman" w:cs="Times New Roman"/>
          <w:sz w:val="21"/>
        </w:rPr>
        <w:t>The present work advances that formulation in three ways: a pre-gate enables actual selective execution, agreement produces a bounded interpolation instead of an additive bonus, and gate-off cases exactly recover the detector score. The resulting SRB-QCR objective is therefore detector-preserving and deployment-oriented.</w:t>
      </w:r>
    </w:p>
    <w:p>
      <w:r>
        <w:br w:type="page"/>
      </w:r>
    </w:p>
    <w:p>
      <w:pPr>
        <w:pStyle w:val="Heading1"/>
        <w:keepNext/>
        <w:spacing w:before="80" w:after="100" w:line="252" w:lineRule="auto"/>
      </w:pPr>
      <w:r>
        <w:rPr>
          <w:rFonts w:ascii="Arial" w:hAnsi="Arial" w:cs="Arial"/>
          <w:b/>
          <w:color w:val="1F4E79"/>
          <w:sz w:val="30"/>
        </w:rPr>
        <w:t>3. Problem Formulation and Design Goals</w:t>
      </w:r>
    </w:p>
    <w:p>
      <w:pPr>
        <w:keepNext w:val="0"/>
        <w:spacing w:before="0" w:after="100" w:line="283" w:lineRule="auto"/>
        <w:ind w:firstLine="312"/>
      </w:pPr>
      <w:r>
        <w:rPr>
          <w:rFonts w:ascii="Times New Roman" w:hAnsi="Times New Roman" w:cs="Times New Roman"/>
          <w:sz w:val="21"/>
        </w:rPr>
        <w:t>Let x denote a test image and y ∈ {0,1} its unknown normal/anomaly label. A pretrained unsupervised anomaly detector produces an image-level anomaly score D_raw(x), an anomaly map H(x), and candidate regions R(x) = {r1,…,rk}. A VLM compares each crop with normal and abnormal text descriptions, yielding a crop margin. All method decisions must be made without using the target label y.</w:t>
      </w:r>
    </w:p>
    <w:p>
      <w:pPr>
        <w:pStyle w:val="Heading2"/>
        <w:keepNext/>
        <w:spacing w:before="60" w:after="100" w:line="252" w:lineRule="auto"/>
      </w:pPr>
      <w:r>
        <w:rPr>
          <w:rFonts w:ascii="Arial" w:hAnsi="Arial" w:cs="Arial"/>
          <w:b/>
          <w:color w:val="1F4E79"/>
          <w:sz w:val="25"/>
        </w:rPr>
        <w:t>3.1 Notation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8"/>
              </w:rPr>
              <w:t>Symbol</w:t>
            </w:r>
          </w:p>
        </w:tc>
        <w:tc>
          <w:tcPr>
            <w:tcW w:type="dxa" w:w="4649"/>
            <w:shd w:fill="D9EAF7"/>
            <w:tcMar>
              <w:top w:w="80" w:type="dxa"/>
              <w:start w:w="80" w:type="dxa"/>
              <w:bottom w:w="80" w:type="dxa"/>
              <w:end w:w="80" w:type="dxa"/>
            </w:tcMar>
            <w:vAlign w:val="center"/>
          </w:tcPr>
          <w:p>
            <w:pPr>
              <w:jc w:val="center"/>
            </w:pPr>
            <w:r>
              <w:rPr>
                <w:rFonts w:ascii="Times New Roman" w:hAnsi="Times New Roman" w:cs="Times New Roman"/>
                <w:b/>
                <w:sz w:val="18"/>
              </w:rPr>
              <w:t>Meaning</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8"/>
              </w:rPr>
              <w:t>Range / role</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D</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Normalized detector anomaly score</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 always available</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M</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Normalized crop-based VLM anomaly score</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 available only when VLM is evaluated</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Q</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Normalized candidate quality</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 unlabeled reliability proxy</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τq</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Target quality threshold</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Unlabeled 25th percentile</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A</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Detector-VLM agreement</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Gpre</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Selective pre-gate</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wmax</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Maximum VLM interpolation weight</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0.35</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w</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Actual per-image VLM weight</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[0,wmax]</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S</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Final SRB-QCR anomaly score</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Detector-preserving output</w:t>
            </w:r>
          </w:p>
        </w:tc>
      </w:tr>
    </w:tbl>
    <w:p/>
    <w:p>
      <w:pPr>
        <w:pStyle w:val="Heading2"/>
        <w:keepNext/>
        <w:spacing w:before="60" w:after="100" w:line="252" w:lineRule="auto"/>
      </w:pPr>
      <w:r>
        <w:rPr>
          <w:rFonts w:ascii="Arial" w:hAnsi="Arial" w:cs="Arial"/>
          <w:b/>
          <w:color w:val="1F4E79"/>
          <w:sz w:val="25"/>
        </w:rPr>
        <w:t>3.2 Design requirements</w:t>
      </w:r>
    </w:p>
    <w:p>
      <w:pPr>
        <w:pStyle w:val="ListBullet"/>
        <w:keepNext w:val="0"/>
        <w:spacing w:before="0" w:after="40" w:line="269" w:lineRule="auto"/>
      </w:pPr>
      <w:r>
        <w:rPr>
          <w:rFonts w:ascii="Times New Roman" w:hAnsi="Times New Roman" w:cs="Times New Roman"/>
          <w:sz w:val="21"/>
        </w:rPr>
        <w:t>Detector preservation: if auxiliary evidence is rejected, the output must equal D exactly rather than a separately calibrated approximation.</w:t>
      </w:r>
    </w:p>
    <w:p>
      <w:pPr>
        <w:pStyle w:val="ListBullet"/>
        <w:keepNext w:val="0"/>
        <w:spacing w:before="0" w:after="40" w:line="269" w:lineRule="auto"/>
      </w:pPr>
      <w:r>
        <w:rPr>
          <w:rFonts w:ascii="Times New Roman" w:hAnsi="Times New Roman" w:cs="Times New Roman"/>
          <w:sz w:val="21"/>
        </w:rPr>
        <w:t>Target-label-free transfer: target labels may be used only for final evaluation, not for threshold or hyperparameter selection.</w:t>
      </w:r>
    </w:p>
    <w:p>
      <w:pPr>
        <w:pStyle w:val="ListBullet"/>
        <w:keepNext w:val="0"/>
        <w:spacing w:before="0" w:after="40" w:line="269" w:lineRule="auto"/>
      </w:pPr>
      <w:r>
        <w:rPr>
          <w:rFonts w:ascii="Times New Roman" w:hAnsi="Times New Roman" w:cs="Times New Roman"/>
          <w:sz w:val="21"/>
        </w:rPr>
        <w:t>Bounded influence: accepted VLM evidence must never receive an unbounded or dominant weight.</w:t>
      </w:r>
    </w:p>
    <w:p>
      <w:pPr>
        <w:pStyle w:val="ListBullet"/>
        <w:keepNext w:val="0"/>
        <w:spacing w:before="0" w:after="40" w:line="269" w:lineRule="auto"/>
      </w:pPr>
      <w:r>
        <w:rPr>
          <w:rFonts w:ascii="Times New Roman" w:hAnsi="Times New Roman" w:cs="Times New Roman"/>
          <w:sz w:val="21"/>
        </w:rPr>
        <w:t>Actual selectivity: the gate must be computable before running the VLM so that rejected calls can be skipped.</w:t>
      </w:r>
    </w:p>
    <w:p>
      <w:pPr>
        <w:pStyle w:val="ListBullet"/>
        <w:keepNext w:val="0"/>
        <w:spacing w:before="0" w:after="40" w:line="269" w:lineRule="auto"/>
      </w:pPr>
      <w:r>
        <w:rPr>
          <w:rFonts w:ascii="Times New Roman" w:hAnsi="Times New Roman" w:cs="Times New Roman"/>
          <w:sz w:val="21"/>
        </w:rPr>
        <w:t>Auditability: each score component, gate state, and weight should be logged for failure analysis.</w:t>
      </w:r>
    </w:p>
    <w:tbl>
      <w:tblPr>
        <w:tblStyle w:val="TableGrid"/>
        <w:tblW w:type="auto" w:w="0"/>
        <w:jc w:val="center"/>
        <w:tblLook w:firstColumn="1" w:firstRow="1" w:lastColumn="0" w:lastRow="0" w:noHBand="0" w:noVBand="1" w:val="04A0"/>
      </w:tblPr>
      <w:tblGrid>
        <w:gridCol w:w="9752"/>
      </w:tblGrid>
      <w:tr>
        <w:tc>
          <w:tcPr>
            <w:tcW w:type="dxa" w:w="9752"/>
            <w:shd w:fill="FFF2CC"/>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b/>
                <w:sz w:val="19"/>
              </w:rPr>
              <w:t>Core distinction</w:t>
              <w:br/>
            </w:r>
            <w:r>
              <w:rPr>
                <w:rFonts w:ascii="Times New Roman" w:hAnsi="Times New Roman" w:cs="Times New Roman"/>
                <w:sz w:val="18"/>
              </w:rPr>
              <w:t>SRB-QCR is not a new anomaly detector. It is a selective reliability layer placed between a detector and a crop-based VLM branch.</w:t>
            </w:r>
          </w:p>
        </w:tc>
      </w:tr>
    </w:tbl>
    <w:p/>
    <w:p>
      <w:r>
        <w:br w:type="page"/>
      </w:r>
    </w:p>
    <w:p>
      <w:pPr>
        <w:pStyle w:val="Heading1"/>
        <w:keepNext/>
        <w:spacing w:before="80" w:after="100" w:line="252" w:lineRule="auto"/>
      </w:pPr>
      <w:r>
        <w:rPr>
          <w:rFonts w:ascii="Arial" w:hAnsi="Arial" w:cs="Arial"/>
          <w:b/>
          <w:color w:val="1F4E79"/>
          <w:sz w:val="30"/>
        </w:rPr>
        <w:t>4. Proposed Method: SRB-QCR</w:t>
      </w:r>
    </w:p>
    <w:p>
      <w:pPr>
        <w:keepNext w:val="0"/>
        <w:spacing w:before="80" w:after="40" w:line="240" w:lineRule="auto"/>
        <w:jc w:val="center"/>
      </w:pPr>
      <w:r>
        <w:drawing>
          <wp:inline xmlns:a="http://schemas.openxmlformats.org/drawingml/2006/main" xmlns:pic="http://schemas.openxmlformats.org/drawingml/2006/picture">
            <wp:extent cx="6126480" cy="3573780"/>
            <wp:docPr id="1" name="Picture 1" title="Figure 1. Overview of SRB-QCR." descr="Block diagram showing detector, candidate extraction, quality, VLM reasoning, agreement, selective gate, bounded fusion, and safe fallback."/>
            <wp:cNvGraphicFramePr>
              <a:graphicFrameLocks noChangeAspect="1"/>
            </wp:cNvGraphicFramePr>
            <a:graphic>
              <a:graphicData uri="http://schemas.openxmlformats.org/drawingml/2006/picture">
                <pic:pic>
                  <pic:nvPicPr>
                    <pic:cNvPr id="0" name="method_overview_en.png"/>
                    <pic:cNvPicPr/>
                  </pic:nvPicPr>
                  <pic:blipFill>
                    <a:blip r:embed="rId11"/>
                    <a:stretch>
                      <a:fillRect/>
                    </a:stretch>
                  </pic:blipFill>
                  <pic:spPr>
                    <a:xfrm>
                      <a:off x="0" y="0"/>
                      <a:ext cx="6126480" cy="3573780"/>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1. Overview of SRB-QCR.</w:t>
      </w:r>
    </w:p>
    <w:p>
      <w:pPr>
        <w:keepNext w:val="0"/>
        <w:spacing w:before="0" w:after="100" w:line="283" w:lineRule="auto"/>
        <w:ind w:firstLine="312"/>
      </w:pPr>
      <w:r>
        <w:rPr>
          <w:rFonts w:ascii="Times New Roman" w:hAnsi="Times New Roman" w:cs="Times New Roman"/>
          <w:sz w:val="21"/>
        </w:rPr>
        <w:t>The method has two stages. A cheap detector stage produces D, H, candidate boxes, and Q. A selective stage evaluates the VLM only for images passing a quality-based pre-gate. Agreement is computed after M is available and attenuates the interpolation weight. The computation is intentionally asymmetric: the detector is always trusted as the fallback anchor, whereas the VLM is optional.</w:t>
      </w:r>
    </w:p>
    <w:p>
      <w:pPr>
        <w:pStyle w:val="Heading2"/>
        <w:keepNext/>
        <w:spacing w:before="60" w:after="100" w:line="252" w:lineRule="auto"/>
      </w:pPr>
      <w:r>
        <w:rPr>
          <w:rFonts w:ascii="Arial" w:hAnsi="Arial" w:cs="Arial"/>
          <w:b/>
          <w:color w:val="1F4E79"/>
          <w:sz w:val="25"/>
        </w:rPr>
        <w:t>4.1 Detector-guided candidate extraction</w:t>
      </w:r>
    </w:p>
    <w:p>
      <w:pPr>
        <w:keepNext w:val="0"/>
        <w:spacing w:before="0" w:after="100" w:line="283" w:lineRule="auto"/>
        <w:ind w:firstLine="312"/>
      </w:pPr>
      <w:r>
        <w:rPr>
          <w:rFonts w:ascii="Times New Roman" w:hAnsi="Times New Roman" w:cs="Times New Roman"/>
          <w:sz w:val="21"/>
        </w:rPr>
        <w:t>PatchCore or FastFlow is trained using normal data. For each test image, the anomaly map is normalized and thresholded to form connected components. The MVTec 15-class protocol uses the per-image 97th percentile of the normalized map, retains at most three components, and removes components smaller than 20 map pixels. Candidate extraction never reads the ground-truth mask or test label. Coordinates are transformed into the original-image space for crop construction.</w:t>
      </w:r>
    </w:p>
    <w:p>
      <w:pPr>
        <w:keepNext w:val="0"/>
        <w:spacing w:before="0" w:after="100" w:line="283" w:lineRule="auto"/>
        <w:ind w:firstLine="312"/>
      </w:pPr>
      <w:r>
        <w:rPr>
          <w:rFonts w:ascii="Times New Roman" w:hAnsi="Times New Roman" w:cs="Times New Roman"/>
          <w:sz w:val="21"/>
        </w:rPr>
        <w:t>This top-k formulation is important because a single largest component can be unstable on textured surfaces. Multiple candidate crops provide limited spatial diversity while keeping VLM cost bounded. In crop-top-k ensemble inference, each crop is scored independently and the most anomalous margin is used as M_raw.</w:t>
      </w:r>
    </w:p>
    <w:p>
      <w:pPr>
        <w:pStyle w:val="Heading2"/>
        <w:keepNext/>
        <w:spacing w:before="60" w:after="100" w:line="252" w:lineRule="auto"/>
      </w:pPr>
      <w:r>
        <w:rPr>
          <w:rFonts w:ascii="Arial" w:hAnsi="Arial" w:cs="Arial"/>
          <w:b/>
          <w:color w:val="1F4E79"/>
          <w:sz w:val="25"/>
        </w:rPr>
        <w:t>4.2 Candidate quality calibration</w:t>
      </w:r>
    </w:p>
    <w:p>
      <w:pPr>
        <w:keepNext w:val="0"/>
        <w:spacing w:before="0" w:after="100" w:line="283" w:lineRule="auto"/>
        <w:ind w:firstLine="312"/>
      </w:pPr>
      <w:r>
        <w:rPr>
          <w:rFonts w:ascii="Times New Roman" w:hAnsi="Times New Roman" w:cs="Times New Roman"/>
          <w:sz w:val="21"/>
        </w:rPr>
        <w:t>Candidate quality Q represents whether the detector-proposed crop is suitable for semantic evaluation. In the original VisA QCR pipeline, a cached candidate_quality_norm field is used. For the newly rerun MVTec pipeline, the quality adapter was frozen before metrics were computed: a direct quality column is preferred; otherwise the maximum candidate_score_mean across an image’s candidate regions is used and min-max normalized within category. This adapter uses no target labels.</w:t>
      </w:r>
    </w:p>
    <w:p>
      <w:pPr>
        <w:keepNext w:val="0"/>
        <w:spacing w:before="80" w:after="100" w:line="252" w:lineRule="auto"/>
        <w:jc w:val="center"/>
      </w:pPr>
      <w:r>
        <w:rPr>
          <w:rFonts w:ascii="Cambria Math" w:hAnsi="Cambria Math" w:cs="Cambria Math"/>
          <w:i/>
          <w:sz w:val="23"/>
        </w:rPr>
        <w:t>Q(x) = Normalize_c( max_r mean_score(r) )</w:t>
      </w:r>
      <w:r>
        <w:rPr>
          <w:rFonts w:ascii="Cambria Math" w:hAnsi="Cambria Math" w:cs="Cambria Math"/>
          <w:sz w:val="20"/>
        </w:rPr>
        <w:t xml:space="preserve">    (1)</w:t>
      </w:r>
    </w:p>
    <w:p>
      <w:pPr>
        <w:keepNext w:val="0"/>
        <w:spacing w:before="0" w:after="100" w:line="283" w:lineRule="auto"/>
        <w:ind w:firstLine="312"/>
      </w:pPr>
      <w:r>
        <w:rPr>
          <w:rFonts w:ascii="Times New Roman" w:hAnsi="Times New Roman" w:cs="Times New Roman"/>
          <w:sz w:val="21"/>
        </w:rPr>
        <w:t>A target quality threshold τq is obtained from the 25th percentile of eligible unlabeled target quality values. The quantile level, rather than the numeric threshold, is transferred. This allows the same policy to accommodate detector-score scale changes without supervised target tuning.</w:t>
      </w:r>
    </w:p>
    <w:p>
      <w:pPr>
        <w:pStyle w:val="Heading2"/>
        <w:keepNext/>
        <w:spacing w:before="60" w:after="100" w:line="252" w:lineRule="auto"/>
      </w:pPr>
      <w:r>
        <w:rPr>
          <w:rFonts w:ascii="Arial" w:hAnsi="Arial" w:cs="Arial"/>
          <w:b/>
          <w:color w:val="1F4E79"/>
          <w:sz w:val="25"/>
        </w:rPr>
        <w:t>4.3 Crop-based vision-language score</w:t>
      </w:r>
    </w:p>
    <w:p>
      <w:pPr>
        <w:keepNext w:val="0"/>
        <w:spacing w:before="0" w:after="100" w:line="283" w:lineRule="auto"/>
        <w:ind w:firstLine="312"/>
      </w:pPr>
      <w:r>
        <w:rPr>
          <w:rFonts w:ascii="Times New Roman" w:hAnsi="Times New Roman" w:cs="Times New Roman"/>
          <w:sz w:val="21"/>
        </w:rPr>
        <w:t>CLIP ViT-B/32 encodes each candidate crop and two prompt groups describing normal and abnormal states. Prompt embeddings are averaged within each group. For candidate r, the raw anomaly margin is the abnormal similarity minus the normal similarity. The image-level crop score is the maximum margin over the retained candidates.</w:t>
      </w:r>
    </w:p>
    <w:p>
      <w:pPr>
        <w:keepNext w:val="0"/>
        <w:spacing w:before="80" w:after="100" w:line="252" w:lineRule="auto"/>
        <w:jc w:val="center"/>
      </w:pPr>
      <w:r>
        <w:rPr>
          <w:rFonts w:ascii="Cambria Math" w:hAnsi="Cambria Math" w:cs="Cambria Math"/>
          <w:i/>
          <w:sz w:val="23"/>
        </w:rPr>
        <w:t>m(r) = sim(f_v(r), f_t(abnormal)) − sim(f_v(r), f_t(normal))</w:t>
      </w:r>
      <w:r>
        <w:rPr>
          <w:rFonts w:ascii="Cambria Math" w:hAnsi="Cambria Math" w:cs="Cambria Math"/>
          <w:sz w:val="20"/>
        </w:rPr>
        <w:t xml:space="preserve">    (2)</w:t>
      </w:r>
    </w:p>
    <w:p>
      <w:pPr>
        <w:keepNext w:val="0"/>
        <w:spacing w:before="80" w:after="100" w:line="252" w:lineRule="auto"/>
        <w:jc w:val="center"/>
      </w:pPr>
      <w:r>
        <w:rPr>
          <w:rFonts w:ascii="Cambria Math" w:hAnsi="Cambria Math" w:cs="Cambria Math"/>
          <w:i/>
          <w:sz w:val="23"/>
        </w:rPr>
        <w:t>M_raw(x) = max_{r ∈ R(x)} m(r),     M = Normalize_c(M_raw)</w:t>
      </w:r>
      <w:r>
        <w:rPr>
          <w:rFonts w:ascii="Cambria Math" w:hAnsi="Cambria Math" w:cs="Cambria Math"/>
          <w:sz w:val="20"/>
        </w:rPr>
        <w:t xml:space="preserve">    (3)</w:t>
      </w:r>
    </w:p>
    <w:p>
      <w:pPr>
        <w:pStyle w:val="Heading2"/>
        <w:keepNext/>
        <w:spacing w:before="60" w:after="100" w:line="252" w:lineRule="auto"/>
      </w:pPr>
      <w:r>
        <w:rPr>
          <w:rFonts w:ascii="Arial" w:hAnsi="Arial" w:cs="Arial"/>
          <w:b/>
          <w:color w:val="1F4E79"/>
          <w:sz w:val="25"/>
        </w:rPr>
        <w:t>4.4 From Quality-QCR to selective reliability bounds</w:t>
      </w:r>
    </w:p>
    <w:p>
      <w:pPr>
        <w:keepNext w:val="0"/>
        <w:spacing w:before="0" w:after="100" w:line="283" w:lineRule="auto"/>
        <w:ind w:firstLine="312"/>
      </w:pPr>
      <w:r>
        <w:rPr>
          <w:rFonts w:ascii="Times New Roman" w:hAnsi="Times New Roman" w:cs="Times New Roman"/>
          <w:sz w:val="21"/>
        </w:rPr>
        <w:t>The old quality-calibrated core uses Q to attenuate VLM evidence but still evaluates the VLM for every image:</w:t>
      </w:r>
    </w:p>
    <w:p>
      <w:pPr>
        <w:keepNext w:val="0"/>
        <w:spacing w:before="80" w:after="100" w:line="252" w:lineRule="auto"/>
        <w:jc w:val="center"/>
      </w:pPr>
      <w:r>
        <w:rPr>
          <w:rFonts w:ascii="Cambria Math" w:hAnsi="Cambria Math" w:cs="Cambria Math"/>
          <w:i/>
          <w:sz w:val="23"/>
        </w:rPr>
        <w:t>S_quality = 0.5D + 0.5M(0.5 + 0.5Q)</w:t>
      </w:r>
      <w:r>
        <w:rPr>
          <w:rFonts w:ascii="Cambria Math" w:hAnsi="Cambria Math" w:cs="Cambria Math"/>
          <w:sz w:val="20"/>
        </w:rPr>
        <w:t xml:space="preserve">    (4)</w:t>
      </w:r>
    </w:p>
    <w:p>
      <w:pPr>
        <w:keepNext w:val="0"/>
        <w:spacing w:before="0" w:after="100" w:line="283" w:lineRule="auto"/>
        <w:ind w:firstLine="312"/>
      </w:pPr>
      <w:r>
        <w:rPr>
          <w:rFonts w:ascii="Times New Roman" w:hAnsi="Times New Roman" w:cs="Times New Roman"/>
          <w:sz w:val="21"/>
        </w:rPr>
        <w:t>The adaptive variant adds a small consistency-gated bonus. VisA ablation shows that this term contributes only +0.0004 mean AUROC beyond the quality core, while a fixed quality-plus-consistency score can be unstable. SRB-QCR therefore changes the mathematical role of agreement: agreement does not add a new score; it limits how far the output may move away from D.</w:t>
      </w:r>
    </w:p>
    <w:p>
      <w:pPr>
        <w:pStyle w:val="Heading2"/>
        <w:keepNext/>
        <w:spacing w:before="60" w:after="100" w:line="252" w:lineRule="auto"/>
      </w:pPr>
      <w:r>
        <w:rPr>
          <w:rFonts w:ascii="Arial" w:hAnsi="Arial" w:cs="Arial"/>
          <w:b/>
          <w:color w:val="1F4E79"/>
          <w:sz w:val="25"/>
        </w:rPr>
        <w:t>4.5 Selective pre-gate</w:t>
      </w:r>
    </w:p>
    <w:p>
      <w:pPr>
        <w:keepNext w:val="0"/>
        <w:spacing w:before="80" w:after="100" w:line="252" w:lineRule="auto"/>
        <w:jc w:val="center"/>
      </w:pPr>
      <w:r>
        <w:rPr>
          <w:rFonts w:ascii="Cambria Math" w:hAnsi="Cambria Math" w:cs="Cambria Math"/>
          <w:i/>
          <w:sz w:val="23"/>
        </w:rPr>
        <w:t>G_pre = I(candidate exists) · I(not fallback) · I(Q ≥ τ_q)</w:t>
      </w:r>
      <w:r>
        <w:rPr>
          <w:rFonts w:ascii="Cambria Math" w:hAnsi="Cambria Math" w:cs="Cambria Math"/>
          <w:sz w:val="20"/>
        </w:rPr>
        <w:t xml:space="preserve">    (5)</w:t>
      </w:r>
    </w:p>
    <w:p>
      <w:pPr>
        <w:keepNext w:val="0"/>
        <w:spacing w:before="0" w:after="100" w:line="283" w:lineRule="auto"/>
        <w:ind w:firstLine="312"/>
      </w:pPr>
      <w:r>
        <w:rPr>
          <w:rFonts w:ascii="Times New Roman" w:hAnsi="Times New Roman" w:cs="Times New Roman"/>
          <w:sz w:val="21"/>
        </w:rPr>
        <w:t>The pre-gate is computable before the VLM branch. In the actual runtime implementation, an image with G_pre=0 is not sent to CLIP. For retrospective audits, an M value may still be displayed from a separate full-inference run, but it is not available or used during selective deployment.</w:t>
      </w:r>
    </w:p>
    <w:p>
      <w:pPr>
        <w:pStyle w:val="Heading2"/>
        <w:keepNext/>
        <w:spacing w:before="60" w:after="100" w:line="252" w:lineRule="auto"/>
      </w:pPr>
      <w:r>
        <w:rPr>
          <w:rFonts w:ascii="Arial" w:hAnsi="Arial" w:cs="Arial"/>
          <w:b/>
          <w:color w:val="1F4E79"/>
          <w:sz w:val="25"/>
        </w:rPr>
        <w:t>4.6 Agreement-bounded interpolation</w:t>
      </w:r>
    </w:p>
    <w:p>
      <w:pPr>
        <w:keepNext w:val="0"/>
        <w:spacing w:before="80" w:after="100" w:line="252" w:lineRule="auto"/>
        <w:jc w:val="center"/>
      </w:pPr>
      <w:r>
        <w:rPr>
          <w:rFonts w:ascii="Cambria Math" w:hAnsi="Cambria Math" w:cs="Cambria Math"/>
          <w:i/>
          <w:sz w:val="23"/>
        </w:rPr>
        <w:t>A = clip(1 − |D − M| / τ_Δ, 0, 1)</w:t>
      </w:r>
      <w:r>
        <w:rPr>
          <w:rFonts w:ascii="Cambria Math" w:hAnsi="Cambria Math" w:cs="Cambria Math"/>
          <w:sz w:val="20"/>
        </w:rPr>
        <w:t xml:space="preserve">    (6)</w:t>
      </w:r>
    </w:p>
    <w:p>
      <w:pPr>
        <w:keepNext w:val="0"/>
        <w:spacing w:before="80" w:after="100" w:line="252" w:lineRule="auto"/>
        <w:jc w:val="center"/>
      </w:pPr>
      <w:r>
        <w:rPr>
          <w:rFonts w:ascii="Cambria Math" w:hAnsi="Cambria Math" w:cs="Cambria Math"/>
          <w:i/>
          <w:sz w:val="23"/>
        </w:rPr>
        <w:t>w = clip(w_max · G_pre · Q · A, 0, w_max)</w:t>
      </w:r>
      <w:r>
        <w:rPr>
          <w:rFonts w:ascii="Cambria Math" w:hAnsi="Cambria Math" w:cs="Cambria Math"/>
          <w:sz w:val="20"/>
        </w:rPr>
        <w:t xml:space="preserve">    (7)</w:t>
      </w:r>
    </w:p>
    <w:p>
      <w:pPr>
        <w:keepNext w:val="0"/>
        <w:spacing w:before="80" w:after="100" w:line="252" w:lineRule="auto"/>
        <w:jc w:val="center"/>
      </w:pPr>
      <w:r>
        <w:rPr>
          <w:rFonts w:ascii="Cambria Math" w:hAnsi="Cambria Math" w:cs="Cambria Math"/>
          <w:i/>
          <w:sz w:val="23"/>
        </w:rPr>
        <w:t>S_SRB = D + w(M − D)</w:t>
      </w:r>
      <w:r>
        <w:rPr>
          <w:rFonts w:ascii="Cambria Math" w:hAnsi="Cambria Math" w:cs="Cambria Math"/>
          <w:sz w:val="20"/>
        </w:rPr>
        <w:t xml:space="preserve">    (8)</w:t>
      </w:r>
    </w:p>
    <w:p>
      <w:pPr>
        <w:keepNext w:val="0"/>
        <w:spacing w:before="0" w:after="100" w:line="283" w:lineRule="auto"/>
        <w:ind w:firstLine="312"/>
      </w:pPr>
      <w:r>
        <w:rPr>
          <w:rFonts w:ascii="Times New Roman" w:hAnsi="Times New Roman" w:cs="Times New Roman"/>
          <w:sz w:val="21"/>
        </w:rPr>
        <w:t>The frozen configuration is wmax=0.35, q-quantile=0.25, and τΔ=0.75. Because w≤0.35, the VLM cannot dominate the detector. If D and M disagree strongly, A approaches zero. If Q is low, the pre-gate closes or the weight is small. The interpolation is monotonic between D and M and is therefore easier to audit than an unrestricted additive fusion.</w:t>
      </w:r>
    </w:p>
    <w:p>
      <w:pPr>
        <w:keepNext w:val="0"/>
        <w:spacing w:before="0" w:after="100" w:line="283" w:lineRule="auto"/>
        <w:ind w:firstLine="312"/>
      </w:pPr>
      <w:r>
        <w:rPr>
          <w:rFonts w:ascii="Times New Roman" w:hAnsi="Times New Roman" w:cs="Times New Roman"/>
          <w:sz w:val="21"/>
        </w:rPr>
        <w:t>The strict fallback follows directly: G_pre=0 ⇒ w=0 ⇒ S_SRB=D. This identity is both the reliability guarantee used in the paper and the mechanism that enables actual call skipping.</w:t>
      </w:r>
    </w:p>
    <w:p>
      <w:pPr>
        <w:pStyle w:val="Heading2"/>
        <w:keepNext/>
        <w:spacing w:before="60" w:after="100" w:line="252" w:lineRule="auto"/>
      </w:pPr>
      <w:r>
        <w:rPr>
          <w:rFonts w:ascii="Arial" w:hAnsi="Arial" w:cs="Arial"/>
          <w:b/>
          <w:color w:val="1F4E79"/>
          <w:sz w:val="25"/>
        </w:rPr>
        <w:t>4.7 Computational complexity and logging</w:t>
      </w:r>
    </w:p>
    <w:p>
      <w:pPr>
        <w:keepNext w:val="0"/>
        <w:spacing w:before="0" w:after="100" w:line="283" w:lineRule="auto"/>
        <w:ind w:firstLine="312"/>
      </w:pPr>
      <w:r>
        <w:rPr>
          <w:rFonts w:ascii="Times New Roman" w:hAnsi="Times New Roman" w:cs="Times New Roman"/>
          <w:sz w:val="21"/>
        </w:rPr>
        <w:t>Detector inference and candidate extraction are performed for every image. VLM cost is incurred only on the fraction ρ=E[Gpre]. If detector cost is Cd and per-image VLM cost is Cv, the expected selective cost is Cd+ρCv rather than Cd+Cv. The method records D, Q, gate state, M when available, A, w, and S, enabling complete image-level audits.</w:t>
      </w:r>
    </w:p>
    <w:p>
      <w:r>
        <w:br w:type="page"/>
      </w:r>
    </w:p>
    <w:p>
      <w:pPr>
        <w:pStyle w:val="Heading1"/>
        <w:keepNext/>
        <w:spacing w:before="80" w:after="100" w:line="252" w:lineRule="auto"/>
      </w:pPr>
      <w:r>
        <w:rPr>
          <w:rFonts w:ascii="Arial" w:hAnsi="Arial" w:cs="Arial"/>
          <w:b/>
          <w:color w:val="1F4E79"/>
          <w:sz w:val="30"/>
        </w:rPr>
        <w:t>5. Experimental Setup</w:t>
      </w:r>
    </w:p>
    <w:p>
      <w:pPr>
        <w:keepNext w:val="0"/>
        <w:spacing w:before="80" w:after="40" w:line="240" w:lineRule="auto"/>
        <w:jc w:val="center"/>
      </w:pPr>
      <w:r>
        <w:drawing>
          <wp:inline xmlns:a="http://schemas.openxmlformats.org/drawingml/2006/main" xmlns:pic="http://schemas.openxmlformats.org/drawingml/2006/picture">
            <wp:extent cx="6035040" cy="3185160"/>
            <wp:docPr id="2" name="Picture 2" title="Figure 2. Development, frozen transfer, and measured deployment protocol." descr="Experimental evidence chain from VisA development to cross-backbone, AD2, MVTec transfer, bootstrap and runtime."/>
            <wp:cNvGraphicFramePr>
              <a:graphicFrameLocks noChangeAspect="1"/>
            </wp:cNvGraphicFramePr>
            <a:graphic>
              <a:graphicData uri="http://schemas.openxmlformats.org/drawingml/2006/picture">
                <pic:pic>
                  <pic:nvPicPr>
                    <pic:cNvPr id="0" name="experiment_protocol_en.png"/>
                    <pic:cNvPicPr/>
                  </pic:nvPicPr>
                  <pic:blipFill>
                    <a:blip r:embed="rId12"/>
                    <a:stretch>
                      <a:fillRect/>
                    </a:stretch>
                  </pic:blipFill>
                  <pic:spPr>
                    <a:xfrm>
                      <a:off x="0" y="0"/>
                      <a:ext cx="6035040" cy="3185160"/>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2. Development, frozen transfer, and measured deployment protocol.</w:t>
      </w:r>
    </w:p>
    <w:p>
      <w:pPr>
        <w:pStyle w:val="Heading2"/>
        <w:keepNext/>
        <w:spacing w:before="60" w:after="100" w:line="252" w:lineRule="auto"/>
      </w:pPr>
      <w:r>
        <w:rPr>
          <w:rFonts w:ascii="Arial" w:hAnsi="Arial" w:cs="Arial"/>
          <w:b/>
          <w:color w:val="1F4E79"/>
          <w:sz w:val="25"/>
        </w:rPr>
        <w:t>5.1 Datasets and experimental roles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Dataset</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Scope</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7"/>
              </w:rPr>
              <w:t>Role</w:t>
            </w:r>
          </w:p>
        </w:tc>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Fairness constraint</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12 categories</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Main QCR ablation; PatchCore category-LOCO selection; FastFlow frozen transfer</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Parameters selected only on PatchCore LOCO development folds</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AD2 study protocol</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fruit_jelly, sheet_metal, vial, walnuts</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Four-category detector/VLM transfer and strong-baseline checks</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Protocol-specific subset used in this study</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MVTec AD</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15 categories, 1,725 test images</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Full external transfer, bootstrap, runtime, qualitative analysis</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No target-label parameter tuning</w:t>
            </w:r>
          </w:p>
        </w:tc>
      </w:tr>
    </w:tbl>
    <w:p/>
    <w:p>
      <w:pPr>
        <w:keepNext w:val="0"/>
        <w:spacing w:before="0" w:after="100" w:line="283" w:lineRule="auto"/>
        <w:ind w:firstLine="312"/>
      </w:pPr>
      <w:r>
        <w:rPr>
          <w:rFonts w:ascii="Times New Roman" w:hAnsi="Times New Roman" w:cs="Times New Roman"/>
          <w:sz w:val="21"/>
        </w:rPr>
        <w:t>VisA contains 10,821 high-resolution images across 12 objects, including 9,621 normal and 1,200 anomalous images [2]. MVTec AD contains 15 object and texture categories [1]. The present MVTec rerun processes all 1,725 test images. AD2 is described as the four-category study protocol used in this project rather than as a general public benchmark claim.</w:t>
      </w:r>
    </w:p>
    <w:p>
      <w:pPr>
        <w:pStyle w:val="Heading2"/>
        <w:keepNext/>
        <w:spacing w:before="60" w:after="100" w:line="252" w:lineRule="auto"/>
      </w:pPr>
      <w:r>
        <w:rPr>
          <w:rFonts w:ascii="Arial" w:hAnsi="Arial" w:cs="Arial"/>
          <w:b/>
          <w:color w:val="1F4E79"/>
          <w:sz w:val="25"/>
        </w:rPr>
        <w:t>5.2 Baselines and comparison panels</w:t>
      </w:r>
    </w:p>
    <w:p>
      <w:pPr>
        <w:keepNext w:val="0"/>
        <w:spacing w:before="0" w:after="100" w:line="283" w:lineRule="auto"/>
        <w:ind w:firstLine="312"/>
      </w:pPr>
      <w:r>
        <w:rPr>
          <w:rFonts w:ascii="Times New Roman" w:hAnsi="Times New Roman" w:cs="Times New Roman"/>
          <w:sz w:val="21"/>
        </w:rPr>
        <w:t>Two comparison panels are maintained because their protocols differ. The system-level panel compares detector and VLM systems under the project’s primary category set. The QCR panel compares score variants using identical detector, crop, prompt, and normalization signals. Merging the panels into one ranking would be misleading.</w:t>
      </w:r>
    </w:p>
    <w:p>
      <w:pPr>
        <w:pStyle w:val="ListBullet"/>
        <w:keepNext w:val="0"/>
        <w:spacing w:before="0" w:after="40" w:line="269" w:lineRule="auto"/>
      </w:pPr>
      <w:r>
        <w:rPr>
          <w:rFonts w:ascii="Times New Roman" w:hAnsi="Times New Roman" w:cs="Times New Roman"/>
          <w:sz w:val="21"/>
        </w:rPr>
        <w:t>Detector only: PatchCore or FastFlow score D.</w:t>
      </w:r>
    </w:p>
    <w:p>
      <w:pPr>
        <w:pStyle w:val="ListBullet"/>
        <w:keepNext w:val="0"/>
        <w:spacing w:before="0" w:after="40" w:line="269" w:lineRule="auto"/>
      </w:pPr>
      <w:r>
        <w:rPr>
          <w:rFonts w:ascii="Times New Roman" w:hAnsi="Times New Roman" w:cs="Times New Roman"/>
          <w:sz w:val="21"/>
        </w:rPr>
        <w:t>Full-image VLM and crop-only VLM.</w:t>
      </w:r>
    </w:p>
    <w:p>
      <w:pPr>
        <w:pStyle w:val="ListBullet"/>
        <w:keepNext w:val="0"/>
        <w:spacing w:before="0" w:after="40" w:line="269" w:lineRule="auto"/>
      </w:pPr>
      <w:r>
        <w:rPr>
          <w:rFonts w:ascii="Times New Roman" w:hAnsi="Times New Roman" w:cs="Times New Roman"/>
          <w:sz w:val="21"/>
        </w:rPr>
        <w:t>Naive detector-crop fusion: 0.5D+0.5M.</w:t>
      </w:r>
    </w:p>
    <w:p>
      <w:pPr>
        <w:pStyle w:val="ListBullet"/>
        <w:keepNext w:val="0"/>
        <w:spacing w:before="0" w:after="40" w:line="269" w:lineRule="auto"/>
      </w:pPr>
      <w:r>
        <w:rPr>
          <w:rFonts w:ascii="Times New Roman" w:hAnsi="Times New Roman" w:cs="Times New Roman"/>
          <w:sz w:val="21"/>
        </w:rPr>
        <w:t>Old Quality-Calibrated QCR and old adaptive QCR.</w:t>
      </w:r>
    </w:p>
    <w:p>
      <w:pPr>
        <w:pStyle w:val="ListBullet"/>
        <w:keepNext w:val="0"/>
        <w:spacing w:before="0" w:after="40" w:line="269" w:lineRule="auto"/>
      </w:pPr>
      <w:r>
        <w:rPr>
          <w:rFonts w:ascii="Times New Roman" w:hAnsi="Times New Roman" w:cs="Times New Roman"/>
          <w:sz w:val="21"/>
        </w:rPr>
        <w:t>SRB-QCR frozen transfer.</w:t>
      </w:r>
    </w:p>
    <w:p>
      <w:pPr>
        <w:pStyle w:val="ListBullet"/>
        <w:keepNext w:val="0"/>
        <w:spacing w:before="0" w:after="40" w:line="269" w:lineRule="auto"/>
      </w:pPr>
      <w:r>
        <w:rPr>
          <w:rFonts w:ascii="Times New Roman" w:hAnsi="Times New Roman" w:cs="Times New Roman"/>
          <w:sz w:val="21"/>
        </w:rPr>
        <w:t>EfficientAD-30 fixed-budget baseline and 100-epoch sensitivity checks.</w:t>
      </w:r>
    </w:p>
    <w:p>
      <w:pPr>
        <w:pStyle w:val="ListBullet"/>
        <w:keepNext w:val="0"/>
        <w:spacing w:before="0" w:after="40" w:line="269" w:lineRule="auto"/>
      </w:pPr>
      <w:r>
        <w:rPr>
          <w:rFonts w:ascii="Times New Roman" w:hAnsi="Times New Roman" w:cs="Times New Roman"/>
          <w:sz w:val="21"/>
        </w:rPr>
        <w:t>WinCLIP fixed protocol and official AnomalyCLIP execution on the AD2 four-category protocol.</w:t>
      </w:r>
    </w:p>
    <w:p>
      <w:pPr>
        <w:pStyle w:val="Heading2"/>
        <w:keepNext/>
        <w:spacing w:before="60" w:after="100" w:line="252" w:lineRule="auto"/>
      </w:pPr>
      <w:r>
        <w:rPr>
          <w:rFonts w:ascii="Arial" w:hAnsi="Arial" w:cs="Arial"/>
          <w:b/>
          <w:color w:val="1F4E79"/>
          <w:sz w:val="25"/>
        </w:rPr>
        <w:t>5.3 Metrics and statistical protocol</w:t>
      </w:r>
    </w:p>
    <w:p>
      <w:pPr>
        <w:pStyle w:val="ListBullet"/>
        <w:keepNext w:val="0"/>
        <w:spacing w:before="0" w:after="40" w:line="269" w:lineRule="auto"/>
      </w:pPr>
      <w:r>
        <w:rPr>
          <w:rFonts w:ascii="Times New Roman" w:hAnsi="Times New Roman" w:cs="Times New Roman"/>
          <w:sz w:val="21"/>
        </w:rPr>
        <w:t>Effectiveness: image AUROC, average precision (AP), and best F1; pixel metrics are auxiliary detector evidence only.</w:t>
      </w:r>
    </w:p>
    <w:p>
      <w:pPr>
        <w:pStyle w:val="ListBullet"/>
        <w:keepNext w:val="0"/>
        <w:spacing w:before="0" w:after="40" w:line="269" w:lineRule="auto"/>
      </w:pPr>
      <w:r>
        <w:rPr>
          <w:rFonts w:ascii="Times New Roman" w:hAnsi="Times New Roman" w:cs="Times New Roman"/>
          <w:sz w:val="21"/>
        </w:rPr>
        <w:t>Reliability: delta relative to the detector, category win count, worst-category delta, 95% stratified bootstrap confidence interval, and a predeclared non-inferiority tolerance of 0.002.</w:t>
      </w:r>
    </w:p>
    <w:p>
      <w:pPr>
        <w:pStyle w:val="ListBullet"/>
        <w:keepNext w:val="0"/>
        <w:spacing w:before="0" w:after="40" w:line="269" w:lineRule="auto"/>
      </w:pPr>
      <w:r>
        <w:rPr>
          <w:rFonts w:ascii="Times New Roman" w:hAnsi="Times New Roman" w:cs="Times New Roman"/>
          <w:sz w:val="21"/>
        </w:rPr>
        <w:t>Efficiency: VLM call count, call-saving rate, paired wall-clock time, speedup, and peak allocated GPU memory.</w:t>
      </w:r>
    </w:p>
    <w:p>
      <w:pPr>
        <w:pStyle w:val="ListBullet"/>
        <w:keepNext w:val="0"/>
        <w:spacing w:before="0" w:after="40" w:line="269" w:lineRule="auto"/>
      </w:pPr>
      <w:r>
        <w:rPr>
          <w:rFonts w:ascii="Times New Roman" w:hAnsi="Times New Roman" w:cs="Times New Roman"/>
          <w:sz w:val="21"/>
        </w:rPr>
        <w:t>Runtime correctness: maximum difference in raw M, normalized M, and final SRB score between offline and live selective execution.</w:t>
      </w:r>
    </w:p>
    <w:p>
      <w:pPr>
        <w:pStyle w:val="Heading2"/>
        <w:keepNext/>
        <w:spacing w:before="60" w:after="100" w:line="252" w:lineRule="auto"/>
      </w:pPr>
      <w:r>
        <w:rPr>
          <w:rFonts w:ascii="Arial" w:hAnsi="Arial" w:cs="Arial"/>
          <w:b/>
          <w:color w:val="1F4E79"/>
          <w:sz w:val="25"/>
        </w:rPr>
        <w:t>5.4 Implementation details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8"/>
              </w:rPr>
              <w:t>Item</w:t>
            </w:r>
          </w:p>
        </w:tc>
        <w:tc>
          <w:tcPr>
            <w:tcW w:type="dxa" w:w="7087"/>
            <w:shd w:fill="D9EAF7"/>
            <w:tcMar>
              <w:top w:w="80" w:type="dxa"/>
              <w:start w:w="80" w:type="dxa"/>
              <w:bottom w:w="80" w:type="dxa"/>
              <w:end w:w="80" w:type="dxa"/>
            </w:tcMar>
            <w:vAlign w:val="center"/>
          </w:tcPr>
          <w:p>
            <w:pPr>
              <w:jc w:val="center"/>
            </w:pPr>
            <w:r>
              <w:rPr>
                <w:rFonts w:ascii="Times New Roman" w:hAnsi="Times New Roman" w:cs="Times New Roman"/>
                <w:b/>
                <w:sz w:val="18"/>
              </w:rPr>
              <w:t>Setting</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Detector</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PatchCore: Wide-ResNet-50-2, layer2+layer3, coreset ratio 0.1, 9 neighbors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Preprocessing</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256×256 resize, 224×224 center crop</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Candidate rule</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Per-image 97th percentile; top-3 components; minimum area 20</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VLM</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OpenCLIP ViT-B/32, OpenAI weights; inspection_binary prompts; crop-top-k ensemble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Frozen SRB</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wmax=0.35; q-quantile=0.25; τΔ=0.75</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Hardware</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Single NVIDIA GeForce RTX 4090; paired runtime repeated three times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Reproducibility</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Target labels excluded from parameter and quality-threshold selection</w:t>
            </w:r>
          </w:p>
        </w:tc>
      </w:tr>
    </w:tbl>
    <w:p/>
    <w:p>
      <w:pPr>
        <w:pStyle w:val="Heading2"/>
        <w:keepNext/>
        <w:spacing w:before="60" w:after="100" w:line="252" w:lineRule="auto"/>
      </w:pPr>
      <w:r>
        <w:rPr>
          <w:rFonts w:ascii="Arial" w:hAnsi="Arial" w:cs="Arial"/>
          <w:b/>
          <w:color w:val="1F4E79"/>
          <w:sz w:val="25"/>
        </w:rPr>
        <w:t>5.5 Claim and fairness controls</w:t>
      </w:r>
    </w:p>
    <w:p>
      <w:pPr>
        <w:pStyle w:val="ListBullet"/>
        <w:keepNext w:val="0"/>
        <w:spacing w:before="0" w:after="40" w:line="269" w:lineRule="auto"/>
      </w:pPr>
      <w:r>
        <w:rPr>
          <w:rFonts w:ascii="Times New Roman" w:hAnsi="Times New Roman" w:cs="Times New Roman"/>
          <w:sz w:val="21"/>
        </w:rPr>
        <w:t>Same-set fusion is reported only as an upper-bound diagnostic; category-LOCO is the primary fair fusion claim.</w:t>
      </w:r>
    </w:p>
    <w:p>
      <w:pPr>
        <w:pStyle w:val="ListBullet"/>
        <w:keepNext w:val="0"/>
        <w:spacing w:before="0" w:after="40" w:line="269" w:lineRule="auto"/>
      </w:pPr>
      <w:r>
        <w:rPr>
          <w:rFonts w:ascii="Times New Roman" w:hAnsi="Times New Roman" w:cs="Times New Roman"/>
          <w:sz w:val="21"/>
        </w:rPr>
        <w:t>EfficientAD is described as a fixed-budget baseline, not a comprehensive defeat of all training budgets.</w:t>
      </w:r>
    </w:p>
    <w:p>
      <w:pPr>
        <w:pStyle w:val="ListBullet"/>
        <w:keepNext w:val="0"/>
        <w:spacing w:before="0" w:after="40" w:line="269" w:lineRule="auto"/>
      </w:pPr>
      <w:r>
        <w:rPr>
          <w:rFonts w:ascii="Times New Roman" w:hAnsi="Times New Roman" w:cs="Times New Roman"/>
          <w:sz w:val="21"/>
        </w:rPr>
        <w:t>AnomalyCLIP and WinCLIP statements are restricted to the implemented protocols.</w:t>
      </w:r>
    </w:p>
    <w:p>
      <w:pPr>
        <w:pStyle w:val="ListBullet"/>
        <w:keepNext w:val="0"/>
        <w:spacing w:before="0" w:after="40" w:line="269" w:lineRule="auto"/>
      </w:pPr>
      <w:r>
        <w:rPr>
          <w:rFonts w:ascii="Times New Roman" w:hAnsi="Times New Roman" w:cs="Times New Roman"/>
          <w:sz w:val="21"/>
        </w:rPr>
        <w:t>MVTec detector comparison is framed as non-inferiority, not statistically significant superiority.</w:t>
      </w:r>
    </w:p>
    <w:p>
      <w:pPr>
        <w:pStyle w:val="ListBullet"/>
        <w:keepNext w:val="0"/>
        <w:spacing w:before="0" w:after="40" w:line="269" w:lineRule="auto"/>
      </w:pPr>
      <w:r>
        <w:rPr>
          <w:rFonts w:ascii="Times New Roman" w:hAnsi="Times New Roman" w:cs="Times New Roman"/>
          <w:sz w:val="21"/>
        </w:rPr>
        <w:t>No claim of pixel-level segmentation state of the art or general defect-cause understanding is made.</w:t>
      </w:r>
    </w:p>
    <w:p>
      <w:r>
        <w:br w:type="page"/>
      </w:r>
    </w:p>
    <w:p>
      <w:pPr>
        <w:pStyle w:val="Heading1"/>
        <w:keepNext/>
        <w:spacing w:before="80" w:after="100" w:line="252" w:lineRule="auto"/>
      </w:pPr>
      <w:r>
        <w:rPr>
          <w:rFonts w:ascii="Arial" w:hAnsi="Arial" w:cs="Arial"/>
          <w:b/>
          <w:color w:val="1F4E79"/>
          <w:sz w:val="30"/>
        </w:rPr>
        <w:t>6. Experimental Results</w:t>
      </w:r>
    </w:p>
    <w:p>
      <w:pPr>
        <w:pStyle w:val="Heading2"/>
        <w:keepNext/>
        <w:spacing w:before="60" w:after="100" w:line="252" w:lineRule="auto"/>
      </w:pPr>
      <w:r>
        <w:rPr>
          <w:rFonts w:ascii="Arial" w:hAnsi="Arial" w:cs="Arial"/>
          <w:b/>
          <w:color w:val="1F4E79"/>
          <w:sz w:val="25"/>
        </w:rPr>
        <w:t>6.1 Supporting evidence: localization improves VLM focus</w:t>
      </w:r>
    </w:p>
    <w:p>
      <w:pPr>
        <w:keepNext w:val="0"/>
        <w:spacing w:before="0" w:after="100" w:line="283" w:lineRule="auto"/>
        <w:ind w:firstLine="312"/>
      </w:pPr>
      <w:r>
        <w:rPr>
          <w:rFonts w:ascii="Times New Roman" w:hAnsi="Times New Roman" w:cs="Times New Roman"/>
          <w:sz w:val="21"/>
        </w:rPr>
        <w:t>Before introducing reliability calibration, we verify that detector-guided crops provide meaningful VLM evidence. On VisA, the full-image binary VLM AUROC is 0.5950. Candidate crop-top-k reasoning reaches 0.8844 with PatchCore proposals and 0.9222 with FastFlow proposals, gains of 0.2894 and 0.3272. On the early MVTec defect-type reasoning protocol, top-1 accuracy improves from 0.2850 to 0.3388. These results justify the localization-to-reasoning route, but they do not by themselves justify fusion.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871"/>
            <w:shd w:fill="D9EAF7"/>
            <w:tcMar>
              <w:top w:w="80" w:type="dxa"/>
              <w:start w:w="80" w:type="dxa"/>
              <w:bottom w:w="80" w:type="dxa"/>
              <w:end w:w="80" w:type="dxa"/>
            </w:tcMar>
            <w:vAlign w:val="center"/>
          </w:tcPr>
          <w:p>
            <w:pPr>
              <w:jc w:val="center"/>
            </w:pPr>
            <w:r>
              <w:rPr>
                <w:rFonts w:ascii="Times New Roman" w:hAnsi="Times New Roman" w:cs="Times New Roman"/>
                <w:b/>
                <w:sz w:val="17"/>
              </w:rPr>
              <w:t>Dataset</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Proposal</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7"/>
              </w:rPr>
              <w:t>Reasoning mode</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Metric</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Full-image binary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0.5950</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Crop-top-k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0.8844</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Crop-top-k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0.9222</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MVTec support protocol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Full-image defect type top-1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0.2850</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MVTec support protocol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Crop defect type top-1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0.3388</w:t>
            </w:r>
          </w:p>
        </w:tc>
      </w:tr>
    </w:tbl>
    <w:p/>
    <w:p>
      <w:pPr>
        <w:pStyle w:val="Heading2"/>
        <w:keepNext/>
        <w:spacing w:before="60" w:after="100" w:line="252" w:lineRule="auto"/>
      </w:pPr>
      <w:r>
        <w:rPr>
          <w:rFonts w:ascii="Arial" w:hAnsi="Arial" w:cs="Arial"/>
          <w:b/>
          <w:color w:val="1F4E79"/>
          <w:sz w:val="25"/>
        </w:rPr>
        <w:t>6.2 System-level baseline comparison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5102"/>
            <w:shd w:fill="D9EAF7"/>
            <w:tcMar>
              <w:top w:w="80" w:type="dxa"/>
              <w:start w:w="80" w:type="dxa"/>
              <w:bottom w:w="80" w:type="dxa"/>
              <w:end w:w="80" w:type="dxa"/>
            </w:tcMar>
            <w:vAlign w:val="center"/>
          </w:tcPr>
          <w:p>
            <w:pPr>
              <w:jc w:val="center"/>
            </w:pPr>
            <w:r>
              <w:rPr>
                <w:rFonts w:ascii="Times New Roman" w:hAnsi="Times New Roman" w:cs="Times New Roman"/>
                <w:b/>
                <w:sz w:val="18"/>
              </w:rPr>
              <w:t>Method</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8"/>
              </w:rPr>
              <w:t>Image AUROC</w:t>
            </w:r>
          </w:p>
        </w:tc>
        <w:tc>
          <w:tcPr>
            <w:tcW w:type="dxa" w:w="2438"/>
            <w:shd w:fill="D9EAF7"/>
            <w:tcMar>
              <w:top w:w="80" w:type="dxa"/>
              <w:start w:w="80" w:type="dxa"/>
              <w:bottom w:w="80" w:type="dxa"/>
              <w:end w:w="80" w:type="dxa"/>
            </w:tcMar>
            <w:vAlign w:val="center"/>
          </w:tcPr>
          <w:p>
            <w:pPr>
              <w:jc w:val="center"/>
            </w:pPr>
            <w:r>
              <w:rPr>
                <w:rFonts w:ascii="Times New Roman" w:hAnsi="Times New Roman" w:cs="Times New Roman"/>
                <w:b/>
                <w:sz w:val="18"/>
              </w:rPr>
              <w:t>Paper role</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 + context VLM, same-set</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0.8453</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Upper-bound diagnostic</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 + context VLM, category-LOCO</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0.8210</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Primary fair system result</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0.7853</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Detector baseline</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EfficientAD-30</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0.7604</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Fixed-budget modern detector</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Context-aware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0.7101</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VLM baseline</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Full-image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0.6459</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Global-image baseline</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WinCLIP fixed protocol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0.6138</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Protocol-specific CLIP baseline</w:t>
            </w:r>
          </w:p>
        </w:tc>
      </w:tr>
    </w:tbl>
    <w:p/>
    <w:p>
      <w:pPr>
        <w:keepNext w:val="0"/>
        <w:spacing w:before="0" w:after="100" w:line="283" w:lineRule="auto"/>
        <w:ind w:firstLine="312"/>
      </w:pPr>
      <w:r>
        <w:rPr>
          <w:rFonts w:ascii="Times New Roman" w:hAnsi="Times New Roman" w:cs="Times New Roman"/>
          <w:sz w:val="21"/>
        </w:rPr>
        <w:t>The LOCO result is the fair system-level claim. The same-set result is retained only as an upper-bound diagnostic. This table is not directly comparable with the QCR ablation below because category composition and score construction differ.</w:t>
      </w:r>
    </w:p>
    <w:p>
      <w:pPr>
        <w:pStyle w:val="Heading2"/>
        <w:keepNext/>
        <w:spacing w:before="60" w:after="100" w:line="252" w:lineRule="auto"/>
      </w:pPr>
      <w:r>
        <w:rPr>
          <w:rFonts w:ascii="Arial" w:hAnsi="Arial" w:cs="Arial"/>
          <w:b/>
          <w:color w:val="1F4E79"/>
          <w:sz w:val="25"/>
        </w:rPr>
        <w:t>6.3 QCR primary-protocol ablation on VisA</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680"/>
            <w:shd w:fill="D9EAF7"/>
            <w:tcMar>
              <w:top w:w="80" w:type="dxa"/>
              <w:start w:w="80" w:type="dxa"/>
              <w:bottom w:w="80" w:type="dxa"/>
              <w:end w:w="80" w:type="dxa"/>
            </w:tcMar>
            <w:vAlign w:val="center"/>
          </w:tcPr>
          <w:p>
            <w:pPr>
              <w:jc w:val="center"/>
            </w:pPr>
            <w:r>
              <w:rPr>
                <w:rFonts w:ascii="Times New Roman" w:hAnsi="Times New Roman" w:cs="Times New Roman"/>
                <w:b/>
                <w:sz w:val="16"/>
              </w:rPr>
              <w:t>ID</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6"/>
              </w:rPr>
              <w:t>Method</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FastFlow</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PatchCore</w:t>
            </w:r>
          </w:p>
        </w:tc>
        <w:tc>
          <w:tcPr>
            <w:tcW w:type="dxa" w:w="1361"/>
            <w:shd w:fill="D9EAF7"/>
            <w:tcMar>
              <w:top w:w="80" w:type="dxa"/>
              <w:start w:w="80" w:type="dxa"/>
              <w:bottom w:w="80" w:type="dxa"/>
              <w:end w:w="80" w:type="dxa"/>
            </w:tcMar>
            <w:vAlign w:val="center"/>
          </w:tcPr>
          <w:p>
            <w:pPr>
              <w:jc w:val="center"/>
            </w:pPr>
            <w:r>
              <w:rPr>
                <w:rFonts w:ascii="Times New Roman" w:hAnsi="Times New Roman" w:cs="Times New Roman"/>
                <w:b/>
                <w:sz w:val="16"/>
              </w:rPr>
              <w:t>Mean AUROC</w:t>
            </w:r>
          </w:p>
        </w:tc>
        <w:tc>
          <w:tcPr>
            <w:tcW w:type="dxa" w:w="1871"/>
            <w:shd w:fill="D9EAF7"/>
            <w:tcMar>
              <w:top w:w="80" w:type="dxa"/>
              <w:start w:w="80" w:type="dxa"/>
              <w:bottom w:w="80" w:type="dxa"/>
              <w:end w:w="80" w:type="dxa"/>
            </w:tcMar>
            <w:vAlign w:val="center"/>
          </w:tcPr>
          <w:p>
            <w:pPr>
              <w:jc w:val="center"/>
            </w:pPr>
            <w:r>
              <w:rPr>
                <w:rFonts w:ascii="Times New Roman" w:hAnsi="Times New Roman" w:cs="Times New Roman"/>
                <w:b/>
                <w:sz w:val="16"/>
              </w:rPr>
              <w:t>Role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V0</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Detector only</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0.8955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0.9131</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0.9043</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Anchor</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V2</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Crop VLM only</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0.9269</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0.8846</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0.9057</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Crop baseline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V3</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Naive detector-crop fusion</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0.9688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0.9616</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0.9652</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Naive baseline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V4</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Quality-Calibrated 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0.9778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0.9718</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0.9748</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Main quality core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V5</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Fixed Q+C fusion</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0.9842</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0.9740</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0.9791</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Diagnostic only</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V6</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Quality QCR + adaptive consistency</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0.9783</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0.9722</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0.9752</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Conservative refinement</w:t>
            </w:r>
          </w:p>
        </w:tc>
      </w:tr>
    </w:tbl>
    <w:p/>
    <w:p>
      <w:pPr>
        <w:keepNext w:val="0"/>
        <w:spacing w:before="0" w:after="100" w:line="283" w:lineRule="auto"/>
        <w:ind w:firstLine="312"/>
      </w:pPr>
      <w:r>
        <w:rPr>
          <w:rFonts w:ascii="Times New Roman" w:hAnsi="Times New Roman" w:cs="Times New Roman"/>
          <w:sz w:val="21"/>
        </w:rPr>
        <w:t>Quality-Calibrated QCR improves mean AUROC by 0.0096 over naive fusion in the aggregate table and by 0.0119 when category-protocol deltas are averaged. Adaptive consistency reaches 0.9752, only 0.0004 above the quality core. The highest mean in this panel is the fixed Q+C diagnostic (0.9791), but category-level analysis shows unstable negative cases; it is therefore not the final method.</w:t>
      </w:r>
    </w:p>
    <w:p>
      <w:pPr>
        <w:pStyle w:val="Heading2"/>
        <w:keepNext/>
        <w:spacing w:before="60" w:after="100" w:line="252" w:lineRule="auto"/>
      </w:pPr>
      <w:r>
        <w:rPr>
          <w:rFonts w:ascii="Arial" w:hAnsi="Arial" w:cs="Arial"/>
          <w:b/>
          <w:color w:val="1F4E79"/>
          <w:sz w:val="25"/>
        </w:rPr>
        <w:t>6.4 Robustness of quality and consistency components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3005"/>
            <w:shd w:fill="D9EAF7"/>
            <w:tcMar>
              <w:top w:w="80" w:type="dxa"/>
              <w:start w:w="80" w:type="dxa"/>
              <w:bottom w:w="80" w:type="dxa"/>
              <w:end w:w="80" w:type="dxa"/>
            </w:tcMar>
            <w:vAlign w:val="center"/>
          </w:tcPr>
          <w:p>
            <w:pPr>
              <w:jc w:val="center"/>
            </w:pPr>
            <w:r>
              <w:rPr>
                <w:rFonts w:ascii="Times New Roman" w:hAnsi="Times New Roman" w:cs="Times New Roman"/>
                <w:b/>
                <w:sz w:val="16"/>
              </w:rPr>
              <w:t>Comparison</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Mean Δ</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Wins</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Min</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Max</w:t>
            </w:r>
          </w:p>
        </w:tc>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6"/>
              </w:rPr>
              <w:t>Interpretation</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Quality-QCR − Naive</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+0.0119</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13/24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−0.0132</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+0.0908</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Main reliable gain</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Adaptive − Quality-QCR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+0.0003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14/24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+0.0014</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Small refinement</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Fixed Q+C − Quality-QCR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+0.0027</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18/24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−0.0506</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+0.0202</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Peak but unstable</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Adaptive − Fixed Q+C</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3/24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−0.0189</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+0.0508</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Robustness trade-off</w:t>
            </w:r>
          </w:p>
        </w:tc>
      </w:tr>
    </w:tbl>
    <w:p/>
    <w:p>
      <w:pPr>
        <w:pStyle w:val="Heading2"/>
        <w:keepNext/>
        <w:spacing w:before="60" w:after="100" w:line="252" w:lineRule="auto"/>
      </w:pPr>
      <w:r>
        <w:rPr>
          <w:rFonts w:ascii="Arial" w:hAnsi="Arial" w:cs="Arial"/>
          <w:b/>
          <w:color w:val="1F4E79"/>
          <w:sz w:val="25"/>
        </w:rPr>
        <w:t>6.5 Strong VLM baseline on the AD2 four-category protocol</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Category</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Pixel AUROC</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Pixel AUPRO</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Image AUROC</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Image AP</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fruit_jelly</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62.4</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50.1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66.8</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88.0</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sheet_metal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65.2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12.3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53.3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84.2</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vial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65.4</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54.0</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81.9</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walnuts</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87.5</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41.3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54.5</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Mean</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70.1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40.2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53.9</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77.1</w:t>
            </w:r>
          </w:p>
        </w:tc>
      </w:tr>
    </w:tbl>
    <w:p/>
    <w:p>
      <w:pPr>
        <w:keepNext w:val="0"/>
        <w:spacing w:before="0" w:after="100" w:line="283" w:lineRule="auto"/>
        <w:ind w:firstLine="312"/>
      </w:pPr>
      <w:r>
        <w:rPr>
          <w:rFonts w:ascii="Times New Roman" w:hAnsi="Times New Roman" w:cs="Times New Roman"/>
          <w:sz w:val="21"/>
        </w:rPr>
        <w:t>Official AnomalyCLIP code and checkpoint execution produces 0.539 mean image AUROC on the four categories. The project’s fair LOCO system result is 0.8210, a protocol-specific difference of +0.2820. This comparison demonstrates competitiveness under the implemented AD2 protocol, not broad superiority over all AnomalyCLIP settings.</w:t>
      </w:r>
    </w:p>
    <w:p>
      <w:pPr>
        <w:pStyle w:val="Heading2"/>
        <w:keepNext/>
        <w:spacing w:before="60" w:after="100" w:line="252" w:lineRule="auto"/>
      </w:pPr>
      <w:r>
        <w:rPr>
          <w:rFonts w:ascii="Arial" w:hAnsi="Arial" w:cs="Arial"/>
          <w:b/>
          <w:color w:val="1F4E79"/>
          <w:sz w:val="25"/>
        </w:rPr>
        <w:t>6.6 Frozen transfer to all 15 MVTec AD categories</w:t>
      </w:r>
    </w:p>
    <w:p>
      <w:pPr>
        <w:keepNext w:val="0"/>
        <w:spacing w:before="80" w:after="40" w:line="240" w:lineRule="auto"/>
        <w:jc w:val="center"/>
      </w:pPr>
      <w:r>
        <w:drawing>
          <wp:inline xmlns:a="http://schemas.openxmlformats.org/drawingml/2006/main" xmlns:pic="http://schemas.openxmlformats.org/drawingml/2006/picture">
            <wp:extent cx="5852160" cy="2890287"/>
            <wp:docPr id="3" name="Picture 3" title="Figure 3. Macro image AUROC on the MVTec AD 15-class frozen-transfer protocol." descr="Bar chart comparing detector, crop CLIP, naive fusion, old quality/adaptive QCR, and SRB-QCR."/>
            <wp:cNvGraphicFramePr>
              <a:graphicFrameLocks noChangeAspect="1"/>
            </wp:cNvGraphicFramePr>
            <a:graphic>
              <a:graphicData uri="http://schemas.openxmlformats.org/drawingml/2006/picture">
                <pic:pic>
                  <pic:nvPicPr>
                    <pic:cNvPr id="0" name="mvtec_transfer_results_en.png"/>
                    <pic:cNvPicPr/>
                  </pic:nvPicPr>
                  <pic:blipFill>
                    <a:blip r:embed="rId13"/>
                    <a:stretch>
                      <a:fillRect/>
                    </a:stretch>
                  </pic:blipFill>
                  <pic:spPr>
                    <a:xfrm>
                      <a:off x="0" y="0"/>
                      <a:ext cx="5852160" cy="2890287"/>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3. Macro image AUROC on the MVTec AD 15-class frozen-transfer protocol.</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680"/>
            <w:shd w:fill="D9EAF7"/>
            <w:tcMar>
              <w:top w:w="80" w:type="dxa"/>
              <w:start w:w="80" w:type="dxa"/>
              <w:bottom w:w="80" w:type="dxa"/>
              <w:end w:w="80" w:type="dxa"/>
            </w:tcMar>
            <w:vAlign w:val="center"/>
          </w:tcPr>
          <w:p>
            <w:pPr>
              <w:jc w:val="center"/>
            </w:pPr>
            <w:r>
              <w:rPr>
                <w:rFonts w:ascii="Times New Roman" w:hAnsi="Times New Roman" w:cs="Times New Roman"/>
                <w:b/>
                <w:sz w:val="16"/>
              </w:rPr>
              <w:t>ID</w:t>
            </w:r>
          </w:p>
        </w:tc>
        <w:tc>
          <w:tcPr>
            <w:tcW w:type="dxa" w:w="3685"/>
            <w:shd w:fill="D9EAF7"/>
            <w:tcMar>
              <w:top w:w="80" w:type="dxa"/>
              <w:start w:w="80" w:type="dxa"/>
              <w:bottom w:w="80" w:type="dxa"/>
              <w:end w:w="80" w:type="dxa"/>
            </w:tcMar>
            <w:vAlign w:val="center"/>
          </w:tcPr>
          <w:p>
            <w:pPr>
              <w:jc w:val="center"/>
            </w:pPr>
            <w:r>
              <w:rPr>
                <w:rFonts w:ascii="Times New Roman" w:hAnsi="Times New Roman" w:cs="Times New Roman"/>
                <w:b/>
                <w:sz w:val="16"/>
              </w:rPr>
              <w:t>Method</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6"/>
              </w:rPr>
              <w:t>Macro AUROC</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6"/>
              </w:rPr>
              <w:t>Macro AP</w:t>
            </w:r>
          </w:p>
        </w:tc>
        <w:tc>
          <w:tcPr>
            <w:tcW w:type="dxa" w:w="1587"/>
            <w:shd w:fill="D9EAF7"/>
            <w:tcMar>
              <w:top w:w="80" w:type="dxa"/>
              <w:start w:w="80" w:type="dxa"/>
              <w:bottom w:w="80" w:type="dxa"/>
              <w:end w:w="80" w:type="dxa"/>
            </w:tcMar>
            <w:vAlign w:val="center"/>
          </w:tcPr>
          <w:p>
            <w:pPr>
              <w:jc w:val="center"/>
            </w:pPr>
            <w:r>
              <w:rPr>
                <w:rFonts w:ascii="Times New Roman" w:hAnsi="Times New Roman" w:cs="Times New Roman"/>
                <w:b/>
                <w:sz w:val="16"/>
              </w:rPr>
              <w:t>Macro best F1</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6"/>
              </w:rPr>
              <w:t>Role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D0</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Detector only</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0.988212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Reference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M0</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Crop CLIP only</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0.555538</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0.790105</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0.847042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Weak standalone</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V3</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Naive detector-crop fusion</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0.943627</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0.980173</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0.942091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Severe AUROC degradation</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V4</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Old Quality-QCR</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0.950871</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0.982961</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0.945667</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Partial recovery</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V6</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Old Adaptive QCR (diagnostic)</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0.951332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0.983143</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0.945978</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Diagnostic reconstruction</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S1</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SRB-QCR frozen transfer</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0.988478</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0.996819</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0.985522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Final method</w:t>
            </w:r>
          </w:p>
        </w:tc>
      </w:tr>
    </w:tbl>
    <w:p/>
    <w:p>
      <w:pPr>
        <w:keepNext w:val="0"/>
        <w:spacing w:before="0" w:after="100" w:line="283" w:lineRule="auto"/>
        <w:ind w:firstLine="312"/>
      </w:pPr>
      <w:r>
        <w:rPr>
          <w:rFonts w:ascii="Times New Roman" w:hAnsi="Times New Roman" w:cs="Times New Roman"/>
          <w:sz w:val="21"/>
        </w:rPr>
        <w:t>SRB-QCR matches the strong detector while the unconstrained fusion methods remain far below it. SRB improves over the detector in 6 of 15 categories, and the worst category delta is only −0.0012. The result supports bounded preservation rather than universal per-category improvement.</w:t>
      </w:r>
    </w:p>
    <w:p>
      <w:r>
        <w:br w:type="page"/>
      </w:r>
    </w:p>
    <w:p>
      <w:pPr>
        <w:pStyle w:val="Heading2"/>
        <w:keepNext/>
        <w:spacing w:before="60" w:after="100" w:line="252" w:lineRule="auto"/>
      </w:pPr>
      <w:r>
        <w:rPr>
          <w:rFonts w:ascii="Arial" w:hAnsi="Arial" w:cs="Arial"/>
          <w:b/>
          <w:color w:val="1F4E79"/>
          <w:sz w:val="25"/>
        </w:rPr>
        <w:t>6.7 Bootstrap and non-inferiority analysis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2494"/>
            <w:shd w:fill="D9EAF7"/>
            <w:tcMar>
              <w:top w:w="80" w:type="dxa"/>
              <w:start w:w="80" w:type="dxa"/>
              <w:bottom w:w="80" w:type="dxa"/>
              <w:end w:w="80" w:type="dxa"/>
            </w:tcMar>
            <w:vAlign w:val="center"/>
          </w:tcPr>
          <w:p>
            <w:pPr>
              <w:jc w:val="center"/>
            </w:pPr>
            <w:r>
              <w:rPr>
                <w:rFonts w:ascii="Times New Roman" w:hAnsi="Times New Roman" w:cs="Times New Roman"/>
                <w:b/>
                <w:sz w:val="16"/>
              </w:rPr>
              <w:t>Comparison</w:t>
            </w:r>
          </w:p>
        </w:tc>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6"/>
              </w:rPr>
              <w:t>Point Δ</w:t>
            </w:r>
          </w:p>
        </w:tc>
        <w:tc>
          <w:tcPr>
            <w:tcW w:type="dxa" w:w="2608"/>
            <w:shd w:fill="D9EAF7"/>
            <w:tcMar>
              <w:top w:w="80" w:type="dxa"/>
              <w:start w:w="80" w:type="dxa"/>
              <w:bottom w:w="80" w:type="dxa"/>
              <w:end w:w="80" w:type="dxa"/>
            </w:tcMar>
            <w:vAlign w:val="center"/>
          </w:tcPr>
          <w:p>
            <w:pPr>
              <w:jc w:val="center"/>
            </w:pPr>
            <w:r>
              <w:rPr>
                <w:rFonts w:ascii="Times New Roman" w:hAnsi="Times New Roman" w:cs="Times New Roman"/>
                <w:b/>
                <w:sz w:val="16"/>
              </w:rPr>
              <w:t>95% CI</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P(Δ&gt;0)</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Two-sided p</w:t>
            </w:r>
          </w:p>
        </w:tc>
        <w:tc>
          <w:tcPr>
            <w:tcW w:type="dxa" w:w="2381"/>
            <w:shd w:fill="D9EAF7"/>
            <w:tcMar>
              <w:top w:w="80" w:type="dxa"/>
              <w:start w:w="80" w:type="dxa"/>
              <w:bottom w:w="80" w:type="dxa"/>
              <w:end w:w="80" w:type="dxa"/>
            </w:tcMar>
            <w:vAlign w:val="center"/>
          </w:tcPr>
          <w:p>
            <w:pPr>
              <w:jc w:val="center"/>
            </w:pPr>
            <w:r>
              <w:rPr>
                <w:rFonts w:ascii="Times New Roman" w:hAnsi="Times New Roman" w:cs="Times New Roman"/>
                <w:b/>
                <w:sz w:val="16"/>
              </w:rPr>
              <w:t>Conclusion</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detector</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+0.000265</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[−0.000870, +0.001414]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0.686</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0.628</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Non-inferior; not significantly superior</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naive fusion</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+0.044851</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[+0.034143, +0.056123]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Significant improvement</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Quality-QCR vs naive</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+0.007244</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[+0.003519, +0.011321]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Quality is beneficial</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old Quality-QCR</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+0.037607</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[+0.027904, +0.048161]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Significant reliability gain</w:t>
            </w:r>
          </w:p>
        </w:tc>
      </w:tr>
    </w:tbl>
    <w:p/>
    <w:p>
      <w:pPr>
        <w:keepNext w:val="0"/>
        <w:spacing w:before="0" w:after="100" w:line="283" w:lineRule="auto"/>
        <w:ind w:firstLine="312"/>
      </w:pPr>
      <w:r>
        <w:rPr>
          <w:rFonts w:ascii="Times New Roman" w:hAnsi="Times New Roman" w:cs="Times New Roman"/>
          <w:sz w:val="21"/>
        </w:rPr>
        <w:t>The detector confidence interval crosses zero, so the paper does not claim significant superiority. However, its lower bound (−0.000870) is above the predeclared non-inferiority margin of −0.002, supporting detector non-inferiority. In contrast, the intervals for comparisons against naive and old Quality-QCR are entirely positive.</w:t>
      </w:r>
    </w:p>
    <w:p>
      <w:pPr>
        <w:pStyle w:val="Heading2"/>
        <w:keepNext/>
        <w:spacing w:before="60" w:after="100" w:line="252" w:lineRule="auto"/>
      </w:pPr>
      <w:r>
        <w:rPr>
          <w:rFonts w:ascii="Arial" w:hAnsi="Arial" w:cs="Arial"/>
          <w:b/>
          <w:color w:val="1F4E79"/>
          <w:sz w:val="25"/>
        </w:rPr>
        <w:t>6.8 Frozen transfer behavior across targets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5"/>
              </w:rPr>
              <w:t>Target</w:t>
            </w:r>
          </w:p>
        </w:tc>
        <w:tc>
          <w:tcPr>
            <w:tcW w:type="dxa" w:w="1304"/>
            <w:shd w:fill="D9EAF7"/>
            <w:tcMar>
              <w:top w:w="80" w:type="dxa"/>
              <w:start w:w="80" w:type="dxa"/>
              <w:bottom w:w="80" w:type="dxa"/>
              <w:end w:w="80" w:type="dxa"/>
            </w:tcMar>
            <w:vAlign w:val="center"/>
          </w:tcPr>
          <w:p>
            <w:pPr>
              <w:jc w:val="center"/>
            </w:pPr>
            <w:r>
              <w:rPr>
                <w:rFonts w:ascii="Times New Roman" w:hAnsi="Times New Roman" w:cs="Times New Roman"/>
                <w:b/>
                <w:sz w:val="15"/>
              </w:rPr>
              <w:t>SRB−Detector</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5"/>
              </w:rPr>
              <w:t>Category wins</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5"/>
              </w:rPr>
              <w:t>Worst category</w:t>
            </w:r>
          </w:p>
        </w:tc>
        <w:tc>
          <w:tcPr>
            <w:tcW w:type="dxa" w:w="1361"/>
            <w:shd w:fill="D9EAF7"/>
            <w:tcMar>
              <w:top w:w="80" w:type="dxa"/>
              <w:start w:w="80" w:type="dxa"/>
              <w:bottom w:w="80" w:type="dxa"/>
              <w:end w:w="80" w:type="dxa"/>
            </w:tcMar>
            <w:vAlign w:val="center"/>
          </w:tcPr>
          <w:p>
            <w:pPr>
              <w:jc w:val="center"/>
            </w:pPr>
            <w:r>
              <w:rPr>
                <w:rFonts w:ascii="Times New Roman" w:hAnsi="Times New Roman" w:cs="Times New Roman"/>
                <w:b/>
                <w:sz w:val="15"/>
              </w:rPr>
              <w:t>Calls saved</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5"/>
              </w:rPr>
              <w:t>Interpretation</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VisA PatchCore category-LOCO</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+0.0058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12/12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−0.0000 approx.</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58.83%</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Development/selection source</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VisA FastFlow</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+0.0048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8/12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−0.0029</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58.42%</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Cross-backbone frozen transfer</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AD2 four-category protocol</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+0.0086</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3/4</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−0.0037</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25.10%</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Cross-dataset transfer; below naive/old QCR</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MVTec AD 15 classes</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+0.0003</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6/15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−0.0012</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24.99%</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Full external validation; above naive/old QCR</w:t>
            </w:r>
          </w:p>
        </w:tc>
      </w:tr>
    </w:tbl>
    <w:p/>
    <w:p>
      <w:pPr>
        <w:keepNext w:val="0"/>
        <w:spacing w:before="0" w:after="100" w:line="283" w:lineRule="auto"/>
        <w:ind w:firstLine="312"/>
      </w:pPr>
      <w:r>
        <w:rPr>
          <w:rFonts w:ascii="Times New Roman" w:hAnsi="Times New Roman" w:cs="Times New Roman"/>
          <w:sz w:val="21"/>
        </w:rPr>
        <w:t>The transfer table shows that SRB-QCR is not universally the highest-scoring fusion. On VisA and AD2, more aggressive fusion can score higher, whereas on MVTec the same aggressive strategies fail badly. The stable objective is detector preservation plus controlled opportunity for semantic gain, not guaranteed maximization on every target.</w:t>
      </w:r>
    </w:p>
    <w:p>
      <w:pPr>
        <w:pStyle w:val="Heading2"/>
        <w:keepNext/>
        <w:spacing w:before="60" w:after="100" w:line="252" w:lineRule="auto"/>
      </w:pPr>
      <w:r>
        <w:rPr>
          <w:rFonts w:ascii="Arial" w:hAnsi="Arial" w:cs="Arial"/>
          <w:b/>
          <w:color w:val="1F4E79"/>
          <w:sz w:val="25"/>
        </w:rPr>
        <w:t>6.9 EfficientAD budget sensitivity</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7"/>
              </w:rPr>
              <w:t>Metric</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EfficientAD-30</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EfficientAD-100</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Δ (100−30)</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Image AUROC</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0.8433</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0.8267</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−0.0167</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Image F1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0.8571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0.8438</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−0.0134</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Pixel AUROC</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0.7894</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0.8424</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+0.0531</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Pixel F1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0.5395</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0.5561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+0.0166</w:t>
            </w:r>
          </w:p>
        </w:tc>
      </w:tr>
    </w:tbl>
    <w:p/>
    <w:p>
      <w:pPr>
        <w:keepNext w:val="0"/>
        <w:spacing w:before="0" w:after="100" w:line="283" w:lineRule="auto"/>
        <w:ind w:firstLine="312"/>
      </w:pPr>
      <w:r>
        <w:rPr>
          <w:rFonts w:ascii="Times New Roman" w:hAnsi="Times New Roman" w:cs="Times New Roman"/>
          <w:sz w:val="21"/>
        </w:rPr>
        <w:t>The fruit_jelly sensitivity check does not show image-level undertraining at 30 epochs; pixel metrics improve while image metrics decrease. A later four-category check gives only a modest +0.0052 mean image-AUROC change and improves one of four categories. EfficientAD therefore remains explicitly labeled as a fixed-budget baseline.</w:t>
      </w:r>
    </w:p>
    <w:p>
      <w:r>
        <w:br w:type="page"/>
      </w:r>
    </w:p>
    <w:p>
      <w:pPr>
        <w:pStyle w:val="Heading1"/>
        <w:keepNext/>
        <w:spacing w:before="80" w:after="100" w:line="252" w:lineRule="auto"/>
      </w:pPr>
      <w:r>
        <w:rPr>
          <w:rFonts w:ascii="Arial" w:hAnsi="Arial" w:cs="Arial"/>
          <w:b/>
          <w:color w:val="1F4E79"/>
          <w:sz w:val="30"/>
        </w:rPr>
        <w:t>7. Efficiency and Deployment Analysis</w:t>
      </w:r>
    </w:p>
    <w:p>
      <w:pPr>
        <w:keepNext w:val="0"/>
        <w:spacing w:before="80" w:after="40" w:line="240" w:lineRule="auto"/>
        <w:jc w:val="center"/>
      </w:pPr>
      <w:r>
        <w:drawing>
          <wp:inline xmlns:a="http://schemas.openxmlformats.org/drawingml/2006/main" xmlns:pic="http://schemas.openxmlformats.org/drawingml/2006/picture">
            <wp:extent cx="5760720" cy="3124754"/>
            <wp:docPr id="4" name="Picture 4" title="Figure 4. Measured full and selective VLM runtime on all 1,725 MVTec AD test images." descr="Runtime chart showing three paired full and selective runs and median speedup."/>
            <wp:cNvGraphicFramePr>
              <a:graphicFrameLocks noChangeAspect="1"/>
            </wp:cNvGraphicFramePr>
            <a:graphic>
              <a:graphicData uri="http://schemas.openxmlformats.org/drawingml/2006/picture">
                <pic:pic>
                  <pic:nvPicPr>
                    <pic:cNvPr id="0" name="runtime_results_en.png"/>
                    <pic:cNvPicPr/>
                  </pic:nvPicPr>
                  <pic:blipFill>
                    <a:blip r:embed="rId14"/>
                    <a:stretch>
                      <a:fillRect/>
                    </a:stretch>
                  </pic:blipFill>
                  <pic:spPr>
                    <a:xfrm>
                      <a:off x="0" y="0"/>
                      <a:ext cx="5760720" cy="3124754"/>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4. Measured full and selective VLM runtime on all 1,725 MVTec AD test images.</w:t>
      </w:r>
    </w:p>
    <w:p>
      <w:pPr>
        <w:keepNext w:val="0"/>
        <w:spacing w:before="0" w:after="100" w:line="283" w:lineRule="auto"/>
        <w:ind w:firstLine="312"/>
      </w:pPr>
      <w:r>
        <w:rPr>
          <w:rFonts w:ascii="Times New Roman" w:hAnsi="Times New Roman" w:cs="Times New Roman"/>
          <w:sz w:val="21"/>
        </w:rPr>
        <w:t>Potential call saving computed offline is only useful if it translates into a real execution path. We therefore implement two paired modes using the same CLIP model, prompts, crops, preprocessing, and per-image inference code. Full mode evaluates all 1,725 images; selective mode evaluates only the 1,294 pre-gate-positive images. Model loading, text encoding, and candidate-box loading are excluded from timing, while image loading, crop construction, preprocessing, and CLIP image inference are included. Execution order alternates across three repeats.</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trPr>
        <w:tc>
          <w:tcPr>
            <w:tcW w:type="dxa" w:w="850"/>
            <w:shd w:fill="D9EAF7"/>
            <w:tcMar>
              <w:top w:w="80" w:type="dxa"/>
              <w:start w:w="80" w:type="dxa"/>
              <w:bottom w:w="80" w:type="dxa"/>
              <w:end w:w="80" w:type="dxa"/>
            </w:tcMar>
            <w:vAlign w:val="center"/>
          </w:tcPr>
          <w:p>
            <w:pPr>
              <w:jc w:val="center"/>
            </w:pPr>
            <w:r>
              <w:rPr>
                <w:rFonts w:ascii="Times New Roman" w:hAnsi="Times New Roman" w:cs="Times New Roman"/>
                <w:b/>
                <w:sz w:val="14"/>
              </w:rPr>
              <w:t>Repeat</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4"/>
              </w:rPr>
              <w:t>Full calls</w:t>
            </w:r>
          </w:p>
        </w:tc>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4"/>
              </w:rPr>
              <w:t>Selective calls</w:t>
            </w:r>
          </w:p>
        </w:tc>
        <w:tc>
          <w:tcPr>
            <w:tcW w:type="dxa" w:w="1304"/>
            <w:shd w:fill="D9EAF7"/>
            <w:tcMar>
              <w:top w:w="80" w:type="dxa"/>
              <w:start w:w="80" w:type="dxa"/>
              <w:bottom w:w="80" w:type="dxa"/>
              <w:end w:w="80" w:type="dxa"/>
            </w:tcMar>
            <w:vAlign w:val="center"/>
          </w:tcPr>
          <w:p>
            <w:pPr>
              <w:jc w:val="center"/>
            </w:pPr>
            <w:r>
              <w:rPr>
                <w:rFonts w:ascii="Times New Roman" w:hAnsi="Times New Roman" w:cs="Times New Roman"/>
                <w:b/>
                <w:sz w:val="14"/>
              </w:rPr>
              <w:t>Full sec</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4"/>
              </w:rPr>
              <w:t>Selective sec</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4"/>
              </w:rPr>
              <w:t>Saved sec</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4"/>
              </w:rPr>
              <w:t>Saving</w:t>
            </w:r>
          </w:p>
        </w:tc>
        <w:tc>
          <w:tcPr>
            <w:tcW w:type="dxa" w:w="1020"/>
            <w:shd w:fill="D9EAF7"/>
            <w:tcMar>
              <w:top w:w="80" w:type="dxa"/>
              <w:start w:w="80" w:type="dxa"/>
              <w:bottom w:w="80" w:type="dxa"/>
              <w:end w:w="80" w:type="dxa"/>
            </w:tcMar>
            <w:vAlign w:val="center"/>
          </w:tcPr>
          <w:p>
            <w:pPr>
              <w:jc w:val="center"/>
            </w:pPr>
            <w:r>
              <w:rPr>
                <w:rFonts w:ascii="Times New Roman" w:hAnsi="Times New Roman" w:cs="Times New Roman"/>
                <w:b/>
                <w:sz w:val="14"/>
              </w:rPr>
              <w:t>Speedup</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4"/>
              </w:rPr>
              <w:t>Peak MiB full/sel</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1787.330</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1405.595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381.735</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21.36%</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1.272×</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2</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1781.435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1403.632</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377.803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21.21%</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1.269×</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1750.147</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1436.916</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313.230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17.90%</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1.218×</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Median</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1781.435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1405.595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21.21%</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1.269×</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w:t>
            </w:r>
          </w:p>
        </w:tc>
      </w:tr>
    </w:tbl>
    <w:p/>
    <w:p>
      <w:pPr>
        <w:pStyle w:val="Heading2"/>
        <w:keepNext/>
        <w:spacing w:before="60" w:after="100" w:line="252" w:lineRule="auto"/>
      </w:pPr>
      <w:r>
        <w:rPr>
          <w:rFonts w:ascii="Arial" w:hAnsi="Arial" w:cs="Arial"/>
          <w:b/>
          <w:color w:val="1F4E79"/>
          <w:sz w:val="25"/>
        </w:rPr>
        <w:t>7.1 Call reduction and wall-clock gain</w:t>
      </w:r>
    </w:p>
    <w:p>
      <w:pPr>
        <w:keepNext w:val="0"/>
        <w:spacing w:before="0" w:after="100" w:line="283" w:lineRule="auto"/>
        <w:ind w:firstLine="312"/>
      </w:pPr>
      <w:r>
        <w:rPr>
          <w:rFonts w:ascii="Times New Roman" w:hAnsi="Times New Roman" w:cs="Times New Roman"/>
          <w:sz w:val="21"/>
        </w:rPr>
        <w:t>The frozen gate skips 431 calls, corresponding to a 24.99% call reduction. Median full execution is 1,781.435 s (29.69 min) and median selective execution is 1,405.595 s (23.43 min), saving approximately 6.26 min per complete benchmark pass. The 21.21% time reduction is slightly smaller than the call reduction because file I/O, Python control flow, synchronization, and other fixed costs remain.</w:t>
      </w:r>
    </w:p>
    <w:p>
      <w:r>
        <w:br w:type="page"/>
      </w:r>
    </w:p>
    <w:p>
      <w:pPr>
        <w:pStyle w:val="Heading2"/>
        <w:keepNext/>
        <w:spacing w:before="60" w:after="100" w:line="252" w:lineRule="auto"/>
      </w:pPr>
      <w:r>
        <w:rPr>
          <w:rFonts w:ascii="Arial" w:hAnsi="Arial" w:cs="Arial"/>
          <w:b/>
          <w:color w:val="1F4E79"/>
          <w:sz w:val="25"/>
        </w:rPr>
        <w:t>7.2 Output equivalence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5102"/>
            <w:shd w:fill="D9EAF7"/>
            <w:tcMar>
              <w:top w:w="80" w:type="dxa"/>
              <w:start w:w="80" w:type="dxa"/>
              <w:bottom w:w="80" w:type="dxa"/>
              <w:end w:w="80" w:type="dxa"/>
            </w:tcMar>
            <w:vAlign w:val="center"/>
          </w:tcPr>
          <w:p>
            <w:pPr>
              <w:jc w:val="center"/>
            </w:pPr>
            <w:r>
              <w:rPr>
                <w:rFonts w:ascii="Times New Roman" w:hAnsi="Times New Roman" w:cs="Times New Roman"/>
                <w:b/>
                <w:sz w:val="18"/>
              </w:rPr>
              <w:t>Audit item</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8"/>
              </w:rPr>
              <w:t>Result</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Max raw M difference</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9.97×10⁻¹⁷</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Max normalized M difference</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1.04×10⁻¹⁴</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Max final SRB score difference</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2.28×10⁻¹⁵</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Fallback count</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0</w:t>
            </w:r>
          </w:p>
        </w:tc>
      </w:tr>
    </w:tbl>
    <w:p/>
    <w:p>
      <w:pPr>
        <w:keepNext w:val="0"/>
        <w:spacing w:before="0" w:after="100" w:line="283" w:lineRule="auto"/>
        <w:ind w:firstLine="312"/>
      </w:pPr>
      <w:r>
        <w:rPr>
          <w:rFonts w:ascii="Times New Roman" w:hAnsi="Times New Roman" w:cs="Times New Roman"/>
          <w:sz w:val="21"/>
        </w:rPr>
        <w:t>The differences are floating-point rounding noise. Thus, speedup is obtained by skipping calls rather than approximating the model, lowering image resolution, changing prompts, or altering the fusion equation.</w:t>
      </w:r>
    </w:p>
    <w:p>
      <w:pPr>
        <w:pStyle w:val="Heading2"/>
        <w:keepNext/>
        <w:spacing w:before="60" w:after="100" w:line="252" w:lineRule="auto"/>
      </w:pPr>
      <w:r>
        <w:rPr>
          <w:rFonts w:ascii="Arial" w:hAnsi="Arial" w:cs="Arial"/>
          <w:b/>
          <w:color w:val="1F4E79"/>
          <w:sz w:val="25"/>
        </w:rPr>
        <w:t>7.3 Memory behavior and deployment interpretation</w:t>
      </w:r>
    </w:p>
    <w:p>
      <w:pPr>
        <w:keepNext w:val="0"/>
        <w:spacing w:before="0" w:after="100" w:line="283" w:lineRule="auto"/>
        <w:ind w:firstLine="312"/>
      </w:pPr>
      <w:r>
        <w:rPr>
          <w:rFonts w:ascii="Times New Roman" w:hAnsi="Times New Roman" w:cs="Times New Roman"/>
          <w:sz w:val="21"/>
        </w:rPr>
        <w:t>Peak allocated memory remains 603.09 MiB in both modes because the same CLIP model and single-image/crop batch are used. Selectivity reduces the number of calls and total time, not the maximum memory required by one call. For a memory-constrained deployment, model quantization or batching changes would be complementary optimizations.</w:t>
      </w:r>
    </w:p>
    <w:p>
      <w:pPr>
        <w:keepNext w:val="0"/>
        <w:spacing w:before="0" w:after="100" w:line="283" w:lineRule="auto"/>
        <w:ind w:firstLine="312"/>
      </w:pPr>
      <w:r>
        <w:rPr>
          <w:rFonts w:ascii="Times New Roman" w:hAnsi="Times New Roman" w:cs="Times New Roman"/>
          <w:sz w:val="21"/>
        </w:rPr>
        <w:t>The measured speedup is specific to the RTX 4090, software stack, image-crop protocol, and per-image execution path. The robust claim is the call reduction; wall-clock speedup should be remeasured on each target system.</w:t>
      </w:r>
    </w:p>
    <w:p>
      <w:r>
        <w:br w:type="page"/>
      </w:r>
    </w:p>
    <w:p>
      <w:pPr>
        <w:pStyle w:val="Heading2"/>
        <w:keepNext/>
      </w:pPr>
      <w:r>
        <w:t>7.4 Actual selective runtime on the AD2 four-category transfer</w:t>
      </w:r>
    </w:p>
    <w:p>
      <w:pPr/>
      <w:r>
        <w:t>To verify that the frozen pre-gate also yields a measurable deployment benefit on the AD2 transfer, we execute paired full and selective modes on the same 243 images and cached context-crop assets. Full mode evaluates every image, whereas selective mode evaluates only the 182 pre-gate-positive images. Across three paired repeats, the gate saves 61 logical VLM calls (25.10%) and 105 crop evaluations (20.92%). Median wall-clock time decreases from 287.431 s to 240.746 s, corresponding to an 18.95% reduction and a 1.234× speedup. Peak allocated GPU memory remains approximately 602.2 MiB because both modes load the same CLIP model and use the same per-image execution path.</w:t>
      </w:r>
    </w:p>
    <w:p>
      <w:pPr>
        <w:jc w:val="center"/>
      </w:pPr>
      <w:r>
        <w:drawing>
          <wp:inline xmlns:a="http://schemas.openxmlformats.org/drawingml/2006/main" xmlns:pic="http://schemas.openxmlformats.org/drawingml/2006/picture">
            <wp:extent cx="5715000" cy="3280152"/>
            <wp:docPr id="7" name="Picture 7"/>
            <wp:cNvGraphicFramePr>
              <a:graphicFrameLocks noChangeAspect="1"/>
            </wp:cNvGraphicFramePr>
            <a:graphic>
              <a:graphicData uri="http://schemas.openxmlformats.org/drawingml/2006/picture">
                <pic:pic>
                  <pic:nvPicPr>
                    <pic:cNvPr id="0" name="ad2_actual_selective_runtime_en.png"/>
                    <pic:cNvPicPr/>
                  </pic:nvPicPr>
                  <pic:blipFill>
                    <a:blip r:embed="rId17"/>
                    <a:stretch>
                      <a:fillRect/>
                    </a:stretch>
                  </pic:blipFill>
                  <pic:spPr>
                    <a:xfrm>
                      <a:off x="0" y="0"/>
                      <a:ext cx="5715000" cy="3280152"/>
                    </a:xfrm>
                    <a:prstGeom prst="rect"/>
                  </pic:spPr>
                </pic:pic>
              </a:graphicData>
            </a:graphic>
          </wp:inline>
        </w:drawing>
      </w:r>
    </w:p>
    <w:p>
      <w:pPr>
        <w:pStyle w:val="Caption"/>
        <w:keepNext/>
        <w:jc w:val="center"/>
      </w:pPr>
      <w:r>
        <w:t>Figure 6. Measured full and selective VLM runtime on the AD2 four-category protocol.</w:t>
      </w:r>
    </w:p>
    <w:p>
      <w:pPr>
        <w:pStyle w:val="Caption"/>
        <w:keepNext/>
        <w:jc w:val="center"/>
      </w:pPr>
      <w:r>
        <w:t>Table 10. AD2 actual selective runtime over three paired repeats.</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trPr>
        <w:tc>
          <w:tcPr>
            <w:tcW w:type="dxa" w:w="1084"/>
            <w:shd w:fill="D9EAF7"/>
            <w:vAlign w:val="center"/>
          </w:tcPr>
          <w:p>
            <w:pPr>
              <w:jc w:val="center"/>
            </w:pPr>
            <w:r>
              <w:rPr>
                <w:sz w:val="17"/>
              </w:rPr>
            </w:r>
            <w:r>
              <w:rPr>
                <w:b/>
                <w:sz w:val="14"/>
              </w:rPr>
              <w:t>Repeat</w:t>
            </w:r>
          </w:p>
        </w:tc>
        <w:tc>
          <w:tcPr>
            <w:tcW w:type="dxa" w:w="1084"/>
            <w:shd w:fill="D9EAF7"/>
            <w:vAlign w:val="center"/>
          </w:tcPr>
          <w:p>
            <w:pPr>
              <w:jc w:val="center"/>
            </w:pPr>
            <w:r>
              <w:rPr>
                <w:sz w:val="17"/>
              </w:rPr>
            </w:r>
            <w:r>
              <w:rPr>
                <w:b/>
                <w:sz w:val="14"/>
              </w:rPr>
              <w:t>Full calls</w:t>
            </w:r>
          </w:p>
        </w:tc>
        <w:tc>
          <w:tcPr>
            <w:tcW w:type="dxa" w:w="1084"/>
            <w:shd w:fill="D9EAF7"/>
            <w:vAlign w:val="center"/>
          </w:tcPr>
          <w:p>
            <w:pPr>
              <w:jc w:val="center"/>
            </w:pPr>
            <w:r>
              <w:rPr>
                <w:sz w:val="17"/>
              </w:rPr>
            </w:r>
            <w:r>
              <w:rPr>
                <w:b/>
                <w:sz w:val="14"/>
              </w:rPr>
              <w:t>Sel. calls</w:t>
            </w:r>
          </w:p>
        </w:tc>
        <w:tc>
          <w:tcPr>
            <w:tcW w:type="dxa" w:w="1084"/>
            <w:shd w:fill="D9EAF7"/>
            <w:vAlign w:val="center"/>
          </w:tcPr>
          <w:p>
            <w:pPr>
              <w:jc w:val="center"/>
            </w:pPr>
            <w:r>
              <w:rPr>
                <w:sz w:val="17"/>
              </w:rPr>
            </w:r>
            <w:r>
              <w:rPr>
                <w:b/>
                <w:sz w:val="14"/>
              </w:rPr>
              <w:t>Full crops</w:t>
            </w:r>
          </w:p>
        </w:tc>
        <w:tc>
          <w:tcPr>
            <w:tcW w:type="dxa" w:w="1084"/>
            <w:shd w:fill="D9EAF7"/>
            <w:vAlign w:val="center"/>
          </w:tcPr>
          <w:p>
            <w:pPr>
              <w:jc w:val="center"/>
            </w:pPr>
            <w:r>
              <w:rPr>
                <w:sz w:val="17"/>
              </w:rPr>
            </w:r>
            <w:r>
              <w:rPr>
                <w:b/>
                <w:sz w:val="14"/>
              </w:rPr>
              <w:t>Sel. crops</w:t>
            </w:r>
          </w:p>
        </w:tc>
        <w:tc>
          <w:tcPr>
            <w:tcW w:type="dxa" w:w="1084"/>
            <w:shd w:fill="D9EAF7"/>
            <w:vAlign w:val="center"/>
          </w:tcPr>
          <w:p>
            <w:pPr>
              <w:jc w:val="center"/>
            </w:pPr>
            <w:r>
              <w:rPr>
                <w:sz w:val="17"/>
              </w:rPr>
            </w:r>
            <w:r>
              <w:rPr>
                <w:b/>
                <w:sz w:val="14"/>
              </w:rPr>
              <w:t>Full sec</w:t>
            </w:r>
          </w:p>
        </w:tc>
        <w:tc>
          <w:tcPr>
            <w:tcW w:type="dxa" w:w="1084"/>
            <w:shd w:fill="D9EAF7"/>
            <w:vAlign w:val="center"/>
          </w:tcPr>
          <w:p>
            <w:pPr>
              <w:jc w:val="center"/>
            </w:pPr>
            <w:r>
              <w:rPr>
                <w:sz w:val="17"/>
              </w:rPr>
            </w:r>
            <w:r>
              <w:rPr>
                <w:b/>
                <w:sz w:val="14"/>
              </w:rPr>
              <w:t>Sel. sec</w:t>
            </w:r>
          </w:p>
        </w:tc>
        <w:tc>
          <w:tcPr>
            <w:tcW w:type="dxa" w:w="1084"/>
            <w:shd w:fill="D9EAF7"/>
            <w:vAlign w:val="center"/>
          </w:tcPr>
          <w:p>
            <w:pPr>
              <w:jc w:val="center"/>
            </w:pPr>
            <w:r>
              <w:rPr>
                <w:sz w:val="17"/>
              </w:rPr>
            </w:r>
            <w:r>
              <w:rPr>
                <w:b/>
                <w:sz w:val="14"/>
              </w:rPr>
              <w:t>Saving</w:t>
            </w:r>
          </w:p>
        </w:tc>
        <w:tc>
          <w:tcPr>
            <w:tcW w:type="dxa" w:w="1084"/>
            <w:shd w:fill="D9EAF7"/>
            <w:vAlign w:val="center"/>
          </w:tcPr>
          <w:p>
            <w:pPr>
              <w:jc w:val="center"/>
            </w:pPr>
            <w:r>
              <w:rPr>
                <w:sz w:val="17"/>
              </w:rPr>
            </w:r>
            <w:r>
              <w:rPr>
                <w:b/>
                <w:sz w:val="14"/>
              </w:rPr>
              <w:t>Speedup</w:t>
            </w:r>
          </w:p>
        </w:tc>
      </w:tr>
      <w:tr>
        <w:tc>
          <w:tcPr>
            <w:tcW w:type="dxa" w:w="1084"/>
            <w:vAlign w:val="center"/>
          </w:tcPr>
          <w:p>
            <w:pPr>
              <w:jc w:val="center"/>
            </w:pPr>
            <w:r>
              <w:rPr>
                <w:sz w:val="17"/>
              </w:rPr>
            </w:r>
            <w:r>
              <w:rPr>
                <w:b w:val="0"/>
                <w:sz w:val="14"/>
              </w:rPr>
              <w:t>1</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297.023</w:t>
            </w:r>
          </w:p>
        </w:tc>
        <w:tc>
          <w:tcPr>
            <w:tcW w:type="dxa" w:w="1084"/>
            <w:vAlign w:val="center"/>
          </w:tcPr>
          <w:p>
            <w:pPr>
              <w:jc w:val="center"/>
            </w:pPr>
            <w:r>
              <w:rPr>
                <w:sz w:val="17"/>
              </w:rPr>
            </w:r>
            <w:r>
              <w:rPr>
                <w:b w:val="0"/>
                <w:sz w:val="14"/>
              </w:rPr>
              <w:t>240.746</w:t>
            </w:r>
          </w:p>
        </w:tc>
        <w:tc>
          <w:tcPr>
            <w:tcW w:type="dxa" w:w="1084"/>
            <w:vAlign w:val="center"/>
          </w:tcPr>
          <w:p>
            <w:pPr>
              <w:jc w:val="center"/>
            </w:pPr>
            <w:r>
              <w:rPr>
                <w:sz w:val="17"/>
              </w:rPr>
            </w:r>
            <w:r>
              <w:rPr>
                <w:b w:val="0"/>
                <w:sz w:val="14"/>
              </w:rPr>
              <w:t>18.95%</w:t>
            </w:r>
          </w:p>
        </w:tc>
        <w:tc>
          <w:tcPr>
            <w:tcW w:type="dxa" w:w="1084"/>
            <w:vAlign w:val="center"/>
          </w:tcPr>
          <w:p>
            <w:pPr>
              <w:jc w:val="center"/>
            </w:pPr>
            <w:r>
              <w:rPr>
                <w:sz w:val="17"/>
              </w:rPr>
            </w:r>
            <w:r>
              <w:rPr>
                <w:b w:val="0"/>
                <w:sz w:val="14"/>
              </w:rPr>
              <w:t>1.234×</w:t>
            </w:r>
          </w:p>
        </w:tc>
      </w:tr>
      <w:tr>
        <w:tc>
          <w:tcPr>
            <w:tcW w:type="dxa" w:w="1084"/>
            <w:vAlign w:val="center"/>
          </w:tcPr>
          <w:p>
            <w:pPr>
              <w:jc w:val="center"/>
            </w:pPr>
            <w:r>
              <w:rPr>
                <w:sz w:val="17"/>
              </w:rPr>
            </w:r>
            <w:r>
              <w:rPr>
                <w:b w:val="0"/>
                <w:sz w:val="14"/>
              </w:rPr>
              <w:t>2</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287.022</w:t>
            </w:r>
          </w:p>
        </w:tc>
        <w:tc>
          <w:tcPr>
            <w:tcW w:type="dxa" w:w="1084"/>
            <w:vAlign w:val="center"/>
          </w:tcPr>
          <w:p>
            <w:pPr>
              <w:jc w:val="center"/>
            </w:pPr>
            <w:r>
              <w:rPr>
                <w:sz w:val="17"/>
              </w:rPr>
            </w:r>
            <w:r>
              <w:rPr>
                <w:b w:val="0"/>
                <w:sz w:val="14"/>
              </w:rPr>
              <w:t>232.422</w:t>
            </w:r>
          </w:p>
        </w:tc>
        <w:tc>
          <w:tcPr>
            <w:tcW w:type="dxa" w:w="1084"/>
            <w:vAlign w:val="center"/>
          </w:tcPr>
          <w:p>
            <w:pPr>
              <w:jc w:val="center"/>
            </w:pPr>
            <w:r>
              <w:rPr>
                <w:sz w:val="17"/>
              </w:rPr>
            </w:r>
            <w:r>
              <w:rPr>
                <w:b w:val="0"/>
                <w:sz w:val="14"/>
              </w:rPr>
              <w:t>19.02%</w:t>
            </w:r>
          </w:p>
        </w:tc>
        <w:tc>
          <w:tcPr>
            <w:tcW w:type="dxa" w:w="1084"/>
            <w:vAlign w:val="center"/>
          </w:tcPr>
          <w:p>
            <w:pPr>
              <w:jc w:val="center"/>
            </w:pPr>
            <w:r>
              <w:rPr>
                <w:sz w:val="17"/>
              </w:rPr>
            </w:r>
            <w:r>
              <w:rPr>
                <w:b w:val="0"/>
                <w:sz w:val="14"/>
              </w:rPr>
              <w:t>1.235×</w:t>
            </w:r>
          </w:p>
        </w:tc>
      </w:tr>
      <w:tr>
        <w:tc>
          <w:tcPr>
            <w:tcW w:type="dxa" w:w="1084"/>
            <w:vAlign w:val="center"/>
          </w:tcPr>
          <w:p>
            <w:pPr>
              <w:jc w:val="center"/>
            </w:pPr>
            <w:r>
              <w:rPr>
                <w:sz w:val="17"/>
              </w:rPr>
            </w:r>
            <w:r>
              <w:rPr>
                <w:b w:val="0"/>
                <w:sz w:val="14"/>
              </w:rPr>
              <w:t>3</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287.431</w:t>
            </w:r>
          </w:p>
        </w:tc>
        <w:tc>
          <w:tcPr>
            <w:tcW w:type="dxa" w:w="1084"/>
            <w:vAlign w:val="center"/>
          </w:tcPr>
          <w:p>
            <w:pPr>
              <w:jc w:val="center"/>
            </w:pPr>
            <w:r>
              <w:rPr>
                <w:sz w:val="17"/>
              </w:rPr>
            </w:r>
            <w:r>
              <w:rPr>
                <w:b w:val="0"/>
                <w:sz w:val="14"/>
              </w:rPr>
              <w:t>243.133</w:t>
            </w:r>
          </w:p>
        </w:tc>
        <w:tc>
          <w:tcPr>
            <w:tcW w:type="dxa" w:w="1084"/>
            <w:vAlign w:val="center"/>
          </w:tcPr>
          <w:p>
            <w:pPr>
              <w:jc w:val="center"/>
            </w:pPr>
            <w:r>
              <w:rPr>
                <w:sz w:val="17"/>
              </w:rPr>
            </w:r>
            <w:r>
              <w:rPr>
                <w:b w:val="0"/>
                <w:sz w:val="14"/>
              </w:rPr>
              <w:t>15.41%</w:t>
            </w:r>
          </w:p>
        </w:tc>
        <w:tc>
          <w:tcPr>
            <w:tcW w:type="dxa" w:w="1084"/>
            <w:vAlign w:val="center"/>
          </w:tcPr>
          <w:p>
            <w:pPr>
              <w:jc w:val="center"/>
            </w:pPr>
            <w:r>
              <w:rPr>
                <w:sz w:val="17"/>
              </w:rPr>
            </w:r>
            <w:r>
              <w:rPr>
                <w:b w:val="0"/>
                <w:sz w:val="14"/>
              </w:rPr>
              <w:t>1.182×</w:t>
            </w:r>
          </w:p>
        </w:tc>
      </w:tr>
      <w:tr>
        <w:tc>
          <w:tcPr>
            <w:tcW w:type="dxa" w:w="1084"/>
            <w:shd w:fill="EEF5FA"/>
            <w:vAlign w:val="center"/>
          </w:tcPr>
          <w:p>
            <w:pPr>
              <w:jc w:val="center"/>
            </w:pPr>
            <w:r>
              <w:rPr>
                <w:sz w:val="17"/>
              </w:rPr>
            </w:r>
            <w:r>
              <w:rPr>
                <w:b/>
                <w:sz w:val="14"/>
              </w:rPr>
              <w:t>Median</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287.431</w:t>
            </w:r>
          </w:p>
        </w:tc>
        <w:tc>
          <w:tcPr>
            <w:tcW w:type="dxa" w:w="1084"/>
            <w:shd w:fill="EEF5FA"/>
            <w:vAlign w:val="center"/>
          </w:tcPr>
          <w:p>
            <w:pPr>
              <w:jc w:val="center"/>
            </w:pPr>
            <w:r>
              <w:rPr>
                <w:sz w:val="17"/>
              </w:rPr>
            </w:r>
            <w:r>
              <w:rPr>
                <w:b/>
                <w:sz w:val="14"/>
              </w:rPr>
              <w:t>240.746</w:t>
            </w:r>
          </w:p>
        </w:tc>
        <w:tc>
          <w:tcPr>
            <w:tcW w:type="dxa" w:w="1084"/>
            <w:shd w:fill="EEF5FA"/>
            <w:vAlign w:val="center"/>
          </w:tcPr>
          <w:p>
            <w:pPr>
              <w:jc w:val="center"/>
            </w:pPr>
            <w:r>
              <w:rPr>
                <w:sz w:val="17"/>
              </w:rPr>
            </w:r>
            <w:r>
              <w:rPr>
                <w:b/>
                <w:sz w:val="14"/>
              </w:rPr>
              <w:t>18.95%</w:t>
            </w:r>
          </w:p>
        </w:tc>
        <w:tc>
          <w:tcPr>
            <w:tcW w:type="dxa" w:w="1084"/>
            <w:shd w:fill="EEF5FA"/>
            <w:vAlign w:val="center"/>
          </w:tcPr>
          <w:p>
            <w:pPr>
              <w:jc w:val="center"/>
            </w:pPr>
            <w:r>
              <w:rPr>
                <w:sz w:val="17"/>
              </w:rPr>
            </w:r>
            <w:r>
              <w:rPr>
                <w:b/>
                <w:sz w:val="14"/>
              </w:rPr>
              <w:t>1.234×</w:t>
            </w:r>
          </w:p>
        </w:tc>
      </w:tr>
    </w:tbl>
    <w:p>
      <w:pPr/>
      <w:r>
        <w:t>Accuracy and efficiency use separate locked evidence sources. AD2 accuracy and Bootstrap claims use the Stage 23-B1 frozen prediction cache, whereas runtime claims use the Stage 23-C2 re-executed CLIP path. The crop inventory and gate decisions are locked, but exact sample-wise replay of the historical Stage 11 VLM margins is not claimed because the original category-specific prompt metadata was not fully preserved. This provenance limitation does not change the measured call counts or wall-clock comparison.</w:t>
      </w:r>
    </w:p>
    <w:p>
      <w:pPr>
        <w:pStyle w:val="Heading1"/>
        <w:keepNext/>
        <w:spacing w:before="80" w:after="100" w:line="252" w:lineRule="auto"/>
      </w:pPr>
      <w:r>
        <w:rPr>
          <w:rFonts w:ascii="Arial" w:hAnsi="Arial" w:cs="Arial"/>
          <w:b/>
          <w:color w:val="1F4E79"/>
          <w:sz w:val="30"/>
        </w:rPr>
        <w:t>8. Qualitative and Failure-Boundary Analysis</w:t>
      </w:r>
    </w:p>
    <w:p>
      <w:pPr>
        <w:keepNext w:val="0"/>
        <w:spacing w:before="80" w:after="40" w:line="240" w:lineRule="auto"/>
        <w:jc w:val="center"/>
      </w:pPr>
      <w:r>
        <w:drawing>
          <wp:inline xmlns:a="http://schemas.openxmlformats.org/drawingml/2006/main" xmlns:pic="http://schemas.openxmlformats.org/drawingml/2006/picture">
            <wp:extent cx="5623560" cy="4697326"/>
            <wp:docPr id="5" name="Picture 5" title="Figure 5. Representative reliability-boundary cases of the frozen SRB-QCR gate." descr="Four cases: gate off protecting from harmful VLM, gate off missing useful VLM, gate on helpful, and gate on harmful."/>
            <wp:cNvGraphicFramePr>
              <a:graphicFrameLocks noChangeAspect="1"/>
            </wp:cNvGraphicFramePr>
            <a:graphic>
              <a:graphicData uri="http://schemas.openxmlformats.org/drawingml/2006/picture">
                <pic:pic>
                  <pic:nvPicPr>
                    <pic:cNvPr id="0" name="qualitative_main_2x2_en.png"/>
                    <pic:cNvPicPr/>
                  </pic:nvPicPr>
                  <pic:blipFill>
                    <a:blip r:embed="rId15"/>
                    <a:stretch>
                      <a:fillRect/>
                    </a:stretch>
                  </pic:blipFill>
                  <pic:spPr>
                    <a:xfrm>
                      <a:off x="0" y="0"/>
                      <a:ext cx="5623560" cy="4697326"/>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5. Representative reliability-boundary cases of the frozen SRB-QCR gate.</w:t>
      </w:r>
    </w:p>
    <w:p>
      <w:pPr>
        <w:keepNext w:val="0"/>
        <w:spacing w:before="0" w:after="100" w:line="283" w:lineRule="auto"/>
        <w:ind w:firstLine="312"/>
      </w:pPr>
      <w:r>
        <w:rPr>
          <w:rFonts w:ascii="Times New Roman" w:hAnsi="Times New Roman" w:cs="Times New Roman"/>
          <w:sz w:val="21"/>
        </w:rPr>
        <w:t>Figure 5 is label-aware: a score increase is beneficial for an anomalous image and harmful for a normal image. Panel A shows a metal_nut anomaly for which the detector is already highly confident and the VLM is strongly misleading. The gate is closed, so SRB equals the detector and avoids the harm that naive averaging would introduce. Panel B shows a tile anomaly with a much stronger retrospective VLM score but low candidate quality; the gate remains closed, illustrating a conservative missed opportunity.</w:t>
      </w:r>
    </w:p>
    <w:p>
      <w:pPr>
        <w:keepNext w:val="0"/>
        <w:spacing w:before="0" w:after="100" w:line="283" w:lineRule="auto"/>
        <w:ind w:firstLine="312"/>
      </w:pPr>
      <w:r>
        <w:rPr>
          <w:rFonts w:ascii="Times New Roman" w:hAnsi="Times New Roman" w:cs="Times New Roman"/>
          <w:sz w:val="21"/>
        </w:rPr>
        <w:t>Panel C shows a tile anomaly with high quality and useful VLM evidence. The gate opens and raises the score by about 0.058. Panel D shows a capsule anomaly for which the detector is saturated at 1.0 but the VLM score is lower. Despite high Q, the gate accepts the VLM and lowers the final score by about 0.065. This is a genuine failure case and demonstrates that Q and agreement are reliability proxies rather than guarantees.</w:t>
      </w:r>
    </w:p>
    <w:p>
      <w:pPr>
        <w:keepNext w:val="0"/>
        <w:spacing w:before="0" w:after="100" w:line="283" w:lineRule="auto"/>
        <w:ind w:firstLine="312"/>
      </w:pPr>
      <w:r>
        <w:rPr>
          <w:rFonts w:ascii="Times New Roman" w:hAnsi="Times New Roman" w:cs="Times New Roman"/>
          <w:sz w:val="21"/>
        </w:rPr>
        <w:t>For gate-off cases, M is displayed retrospectively from the full-inference audit. It is not computed in actual selective deployment. Candidate boxes are detector proposals and do not use the ground-truth mask.</w:t>
      </w:r>
    </w:p>
    <w:p>
      <w:pPr>
        <w:pStyle w:val="Heading2"/>
        <w:keepNext/>
        <w:spacing w:before="60" w:after="100" w:line="252" w:lineRule="auto"/>
      </w:pPr>
      <w:r>
        <w:rPr>
          <w:rFonts w:ascii="Arial" w:hAnsi="Arial" w:cs="Arial"/>
          <w:b/>
          <w:color w:val="1F4E79"/>
          <w:sz w:val="25"/>
        </w:rPr>
        <w:t>8.1 Failure taxonomy</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Failure mode</w:t>
            </w:r>
          </w:p>
        </w:tc>
        <w:tc>
          <w:tcPr>
            <w:tcW w:type="dxa" w:w="4535"/>
            <w:shd w:fill="D9EAF7"/>
            <w:tcMar>
              <w:top w:w="80" w:type="dxa"/>
              <w:start w:w="80" w:type="dxa"/>
              <w:bottom w:w="80" w:type="dxa"/>
              <w:end w:w="80" w:type="dxa"/>
            </w:tcMar>
            <w:vAlign w:val="center"/>
          </w:tcPr>
          <w:p>
            <w:pPr>
              <w:jc w:val="center"/>
            </w:pPr>
            <w:r>
              <w:rPr>
                <w:rFonts w:ascii="Times New Roman" w:hAnsi="Times New Roman" w:cs="Times New Roman"/>
                <w:b/>
                <w:sz w:val="17"/>
              </w:rPr>
              <w:t>Mechanism</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7"/>
              </w:rPr>
              <w:t>Observed boundary</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Quality false positive</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Q is high although the crop is semantically misleading.</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Gate-on harmful case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Quality false negative</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Q is low although the VLM would help.</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Gate-off missed opportunity</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Detector saturation</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D is near 1, so even bounded movement toward a lower M can reduce ranking margin.</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Capsule/toothbrush cases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Texture ambiguity</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Background texture resembles anomaly prompts or candidate patterns.</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Tile/grid cases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Prompt/domain mismatch</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Normal/abnormal text is insufficiently category-specific.</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Potential across all categories</w:t>
            </w:r>
          </w:p>
        </w:tc>
      </w:tr>
    </w:tbl>
    <w:p/>
    <w:p>
      <w:pPr>
        <w:pStyle w:val="Heading2"/>
        <w:keepNext/>
        <w:spacing w:before="60" w:after="100" w:line="252" w:lineRule="auto"/>
      </w:pPr>
      <w:r>
        <w:rPr>
          <w:rFonts w:ascii="Arial" w:hAnsi="Arial" w:cs="Arial"/>
          <w:b/>
          <w:color w:val="1F4E79"/>
          <w:sz w:val="25"/>
        </w:rPr>
        <w:t>8.2 What the qualitative analysis supports</w:t>
      </w:r>
    </w:p>
    <w:p>
      <w:pPr>
        <w:pStyle w:val="ListBullet"/>
        <w:keepNext w:val="0"/>
        <w:spacing w:before="0" w:after="40" w:line="269" w:lineRule="auto"/>
      </w:pPr>
      <w:r>
        <w:rPr>
          <w:rFonts w:ascii="Times New Roman" w:hAnsi="Times New Roman" w:cs="Times New Roman"/>
          <w:sz w:val="21"/>
        </w:rPr>
        <w:t>The gate can prevent large errors from aggressive fusion.</w:t>
      </w:r>
    </w:p>
    <w:p>
      <w:pPr>
        <w:pStyle w:val="ListBullet"/>
        <w:keepNext w:val="0"/>
        <w:spacing w:before="0" w:after="40" w:line="269" w:lineRule="auto"/>
      </w:pPr>
      <w:r>
        <w:rPr>
          <w:rFonts w:ascii="Times New Roman" w:hAnsi="Times New Roman" w:cs="Times New Roman"/>
          <w:sz w:val="21"/>
        </w:rPr>
        <w:t>The gate is intentionally conservative and can miss useful semantic evidence.</w:t>
      </w:r>
    </w:p>
    <w:p>
      <w:pPr>
        <w:pStyle w:val="ListBullet"/>
        <w:keepNext w:val="0"/>
        <w:spacing w:before="0" w:after="40" w:line="269" w:lineRule="auto"/>
      </w:pPr>
      <w:r>
        <w:rPr>
          <w:rFonts w:ascii="Times New Roman" w:hAnsi="Times New Roman" w:cs="Times New Roman"/>
          <w:sz w:val="21"/>
        </w:rPr>
        <w:t>High candidate quality is necessary but not sufficient for correct VLM reasoning.</w:t>
      </w:r>
    </w:p>
    <w:p>
      <w:pPr>
        <w:pStyle w:val="ListBullet"/>
        <w:keepNext w:val="0"/>
        <w:spacing w:before="0" w:after="40" w:line="269" w:lineRule="auto"/>
      </w:pPr>
      <w:r>
        <w:rPr>
          <w:rFonts w:ascii="Times New Roman" w:hAnsi="Times New Roman" w:cs="Times New Roman"/>
          <w:sz w:val="21"/>
        </w:rPr>
        <w:t>Strict detector fallback makes gate-off behavior easy to verify.</w:t>
      </w:r>
    </w:p>
    <w:p>
      <w:pPr>
        <w:pStyle w:val="ListBullet"/>
        <w:keepNext w:val="0"/>
        <w:spacing w:before="0" w:after="40" w:line="269" w:lineRule="auto"/>
      </w:pPr>
      <w:r>
        <w:rPr>
          <w:rFonts w:ascii="Times New Roman" w:hAnsi="Times New Roman" w:cs="Times New Roman"/>
          <w:sz w:val="21"/>
        </w:rPr>
        <w:t>The method’s contribution is calibrated evidence use, not universal semantic understanding.</w:t>
      </w:r>
    </w:p>
    <w:p>
      <w:r>
        <w:br w:type="page"/>
      </w:r>
    </w:p>
    <w:p>
      <w:pPr>
        <w:pStyle w:val="Heading1"/>
        <w:keepNext/>
        <w:spacing w:before="80" w:after="100" w:line="252" w:lineRule="auto"/>
      </w:pPr>
      <w:r>
        <w:rPr>
          <w:rFonts w:ascii="Arial" w:hAnsi="Arial" w:cs="Arial"/>
          <w:b/>
          <w:color w:val="1F4E79"/>
          <w:sz w:val="30"/>
        </w:rPr>
        <w:t>9. Discussion</w:t>
      </w:r>
    </w:p>
    <w:p>
      <w:pPr>
        <w:pStyle w:val="Heading2"/>
        <w:keepNext/>
        <w:spacing w:before="60" w:after="100" w:line="252" w:lineRule="auto"/>
      </w:pPr>
      <w:r>
        <w:rPr>
          <w:rFonts w:ascii="Arial" w:hAnsi="Arial" w:cs="Arial"/>
          <w:b/>
          <w:color w:val="1F4E79"/>
          <w:sz w:val="25"/>
        </w:rPr>
        <w:t>9.1 Why naive fusion fails</w:t>
      </w:r>
    </w:p>
    <w:p>
      <w:pPr>
        <w:keepNext w:val="0"/>
        <w:spacing w:before="0" w:after="100" w:line="283" w:lineRule="auto"/>
        <w:ind w:firstLine="312"/>
      </w:pPr>
      <w:r>
        <w:rPr>
          <w:rFonts w:ascii="Times New Roman" w:hAnsi="Times New Roman" w:cs="Times New Roman"/>
          <w:sz w:val="21"/>
        </w:rPr>
        <w:t>Naive averaging assumes D and M are equally calibrated and equally reliable. This is violated when detector scores are near the top of their range and VLM margins are compressed, when a crop captures an irrelevant region, or when prompts do not describe the defect. Because AUROC depends on ranking, even moderate score movement can reorder normal and anomalous samples. The 0.04485 macro-AUROC gap between SRB and naive fusion on MVTec quantifies this risk.</w:t>
      </w:r>
    </w:p>
    <w:p>
      <w:pPr>
        <w:keepNext w:val="0"/>
        <w:spacing w:before="0" w:after="100" w:line="283" w:lineRule="auto"/>
        <w:ind w:firstLine="312"/>
      </w:pPr>
      <w:r>
        <w:rPr>
          <w:rFonts w:ascii="Times New Roman" w:hAnsi="Times New Roman" w:cs="Times New Roman"/>
          <w:sz w:val="21"/>
        </w:rPr>
        <w:t>The failure is not evidence that VLMs are useless. Crop-only VLM scores have high AP on some categories and provide large gains in selected cases. The problem is deciding when to use them.</w:t>
      </w:r>
    </w:p>
    <w:p>
      <w:pPr>
        <w:pStyle w:val="Heading2"/>
        <w:keepNext/>
        <w:spacing w:before="60" w:after="100" w:line="252" w:lineRule="auto"/>
      </w:pPr>
      <w:r>
        <w:rPr>
          <w:rFonts w:ascii="Arial" w:hAnsi="Arial" w:cs="Arial"/>
          <w:b/>
          <w:color w:val="1F4E79"/>
          <w:sz w:val="25"/>
        </w:rPr>
        <w:t>9.2 Why candidate quality is the main effective component</w:t>
      </w:r>
    </w:p>
    <w:p>
      <w:pPr>
        <w:keepNext w:val="0"/>
        <w:spacing w:before="0" w:after="100" w:line="283" w:lineRule="auto"/>
        <w:ind w:firstLine="312"/>
      </w:pPr>
      <w:r>
        <w:rPr>
          <w:rFonts w:ascii="Times New Roman" w:hAnsi="Times New Roman" w:cs="Times New Roman"/>
          <w:sz w:val="21"/>
        </w:rPr>
        <w:t>Quality captures whether the detector has produced a coherent local region. VisA ablation shows a stable mean gain over naive fusion and positive wins in 13 of 24 category-protocol comparisons. In contrast, fixed consistency can produce a high aggregate score while suffering a −0.0506 minimum delta. Candidate quality is therefore the more transferable first-line reliability signal.</w:t>
      </w:r>
    </w:p>
    <w:p>
      <w:pPr>
        <w:keepNext w:val="0"/>
        <w:spacing w:before="0" w:after="100" w:line="283" w:lineRule="auto"/>
        <w:ind w:firstLine="312"/>
      </w:pPr>
      <w:r>
        <w:rPr>
          <w:rFonts w:ascii="Times New Roman" w:hAnsi="Times New Roman" w:cs="Times New Roman"/>
          <w:sz w:val="21"/>
        </w:rPr>
        <w:t>Nevertheless, the MVTec gate-on harmful examples show that quality cannot guarantee semantic correctness. It measures crop suitability, not prompt validity or VLM epistemic uncertainty.</w:t>
      </w:r>
    </w:p>
    <w:p>
      <w:pPr>
        <w:pStyle w:val="Heading2"/>
        <w:keepNext/>
        <w:spacing w:before="60" w:after="100" w:line="252" w:lineRule="auto"/>
      </w:pPr>
      <w:r>
        <w:rPr>
          <w:rFonts w:ascii="Arial" w:hAnsi="Arial" w:cs="Arial"/>
          <w:b/>
          <w:color w:val="1F4E79"/>
          <w:sz w:val="25"/>
        </w:rPr>
        <w:t>9.3 Role of agreement</w:t>
      </w:r>
    </w:p>
    <w:p>
      <w:pPr>
        <w:keepNext w:val="0"/>
        <w:spacing w:before="0" w:after="100" w:line="283" w:lineRule="auto"/>
        <w:ind w:firstLine="312"/>
      </w:pPr>
      <w:r>
        <w:rPr>
          <w:rFonts w:ascii="Times New Roman" w:hAnsi="Times New Roman" w:cs="Times New Roman"/>
          <w:sz w:val="21"/>
        </w:rPr>
        <w:t>Agreement should be treated as an attenuator rather than as an independent positive score. A high-high consistency indicator can reward mutually wrong predictions. The SRB agreement term only reduces the permitted VLM influence as |D−M| increases. This design sacrifices some peak fusion gains but improves interpretability and protects the detector anchor.</w:t>
      </w:r>
    </w:p>
    <w:p>
      <w:pPr>
        <w:pStyle w:val="Heading2"/>
        <w:keepNext/>
        <w:spacing w:before="60" w:after="100" w:line="252" w:lineRule="auto"/>
      </w:pPr>
      <w:r>
        <w:rPr>
          <w:rFonts w:ascii="Arial" w:hAnsi="Arial" w:cs="Arial"/>
          <w:b/>
          <w:color w:val="1F4E79"/>
          <w:sz w:val="25"/>
        </w:rPr>
        <w:t>9.4 Non-inferiority as an appropriate objective</w:t>
      </w:r>
    </w:p>
    <w:p>
      <w:pPr>
        <w:keepNext w:val="0"/>
        <w:spacing w:before="0" w:after="100" w:line="283" w:lineRule="auto"/>
        <w:ind w:firstLine="312"/>
      </w:pPr>
      <w:r>
        <w:rPr>
          <w:rFonts w:ascii="Times New Roman" w:hAnsi="Times New Roman" w:cs="Times New Roman"/>
          <w:sz w:val="21"/>
        </w:rPr>
        <w:t>When a detector already reaches 0.988 macro AUROC, the room for statistically significant improvement is small. A deployment-oriented objective is to preserve detector performance, exploit safe semantic opportunities, and reduce costly calls. The predeclared non-inferiority test prevents post-hoc reinterpretation: the detector comparison is accepted because the lower bootstrap bound remains above −0.002, not because the point estimate happens to be positive.</w:t>
      </w:r>
    </w:p>
    <w:p>
      <w:pPr>
        <w:pStyle w:val="Heading2"/>
        <w:keepNext/>
        <w:spacing w:before="60" w:after="100" w:line="252" w:lineRule="auto"/>
      </w:pPr>
      <w:r>
        <w:rPr>
          <w:rFonts w:ascii="Arial" w:hAnsi="Arial" w:cs="Arial"/>
          <w:b/>
          <w:color w:val="1F4E79"/>
          <w:sz w:val="25"/>
        </w:rPr>
        <w:t>9.5 Deployment modes</w:t>
      </w:r>
    </w:p>
    <w:p>
      <w:pPr>
        <w:keepNext w:val="0"/>
        <w:spacing w:before="0" w:after="100" w:line="283" w:lineRule="auto"/>
        <w:ind w:firstLine="312"/>
      </w:pPr>
      <w:r>
        <w:rPr>
          <w:rFonts w:ascii="Times New Roman" w:hAnsi="Times New Roman" w:cs="Times New Roman"/>
          <w:sz w:val="21"/>
        </w:rPr>
        <w:t>SRB-QCR can operate in offline-audit mode, where M is computed for every image to analyze gate decisions, or selective mode, where M is computed only after the pre-gate. Offline audit is useful for method development; selective mode is the deployable path. The score-equivalence audit confirms that the two modes agree on all evaluated images and that skipped rows retain D exactly.</w:t>
      </w:r>
    </w:p>
    <w:p>
      <w:pPr>
        <w:pStyle w:val="Heading2"/>
        <w:keepNext/>
        <w:spacing w:before="60" w:after="100" w:line="252" w:lineRule="auto"/>
      </w:pPr>
      <w:r>
        <w:rPr>
          <w:rFonts w:ascii="Arial" w:hAnsi="Arial" w:cs="Arial"/>
          <w:b/>
          <w:color w:val="1F4E79"/>
          <w:sz w:val="25"/>
        </w:rPr>
        <w:t>9.6 Generalization and future extensions</w:t>
      </w:r>
    </w:p>
    <w:p>
      <w:pPr>
        <w:keepNext w:val="0"/>
        <w:spacing w:before="0" w:after="100" w:line="283" w:lineRule="auto"/>
        <w:ind w:firstLine="312"/>
      </w:pPr>
      <w:r>
        <w:rPr>
          <w:rFonts w:ascii="Times New Roman" w:hAnsi="Times New Roman" w:cs="Times New Roman"/>
          <w:sz w:val="21"/>
        </w:rPr>
        <w:t>The same reliability layer can be placed on other detectors and VLMs. Potential extensions include learned but label-free quality estimators, conformal or risk-controlling thresholds, prompt uncertainty, batched selective execution, pixel-level semantic refinement, and hardware-aware scheduling. Any extension should preserve the explicit fallback identity and be evaluated under frozen transfer.</w:t>
      </w:r>
    </w:p>
    <w:p>
      <w:r>
        <w:br w:type="page"/>
      </w:r>
    </w:p>
    <w:p>
      <w:pPr>
        <w:pStyle w:val="Heading1"/>
        <w:keepNext/>
        <w:spacing w:before="80" w:after="100" w:line="252" w:lineRule="auto"/>
      </w:pPr>
      <w:r>
        <w:rPr>
          <w:rFonts w:ascii="Arial" w:hAnsi="Arial" w:cs="Arial"/>
          <w:b/>
          <w:color w:val="1F4E79"/>
          <w:sz w:val="30"/>
        </w:rPr>
        <w:t>10. Limitations</w:t>
      </w:r>
    </w:p>
    <w:p>
      <w:pPr>
        <w:keepNext w:val="0"/>
        <w:spacing w:before="0" w:after="40" w:line="269" w:lineRule="auto"/>
        <w:ind w:hanging="312" w:left="312"/>
      </w:pPr>
      <w:r>
        <w:rPr>
          <w:rFonts w:ascii="Times New Roman" w:hAnsi="Times New Roman" w:cs="Times New Roman"/>
          <w:sz w:val="21"/>
        </w:rPr>
        <w:t>1. SRB-QCR does not guarantee improvement over the detector on every category or image. It is reliability-bounded, not risk-free.</w:t>
      </w:r>
    </w:p>
    <w:p>
      <w:pPr>
        <w:keepNext w:val="0"/>
        <w:spacing w:before="0" w:after="40" w:line="269" w:lineRule="auto"/>
        <w:ind w:hanging="312" w:left="312"/>
      </w:pPr>
      <w:r>
        <w:rPr>
          <w:rFonts w:ascii="Times New Roman" w:hAnsi="Times New Roman" w:cs="Times New Roman"/>
          <w:sz w:val="21"/>
        </w:rPr>
        <w:t>2. Candidate quality is a heuristic reliability proxy. It cannot detect all prompt-domain mismatches or semantically misleading crops.</w:t>
      </w:r>
    </w:p>
    <w:p>
      <w:pPr>
        <w:keepNext w:val="0"/>
        <w:spacing w:before="0" w:after="40" w:line="269" w:lineRule="auto"/>
        <w:ind w:hanging="312" w:left="312"/>
      </w:pPr>
      <w:r>
        <w:rPr>
          <w:rFonts w:ascii="Times New Roman" w:hAnsi="Times New Roman" w:cs="Times New Roman"/>
          <w:sz w:val="21"/>
        </w:rPr>
        <w:t>3. The target quality threshold uses unlabeled target statistics. Although no labels are used, a strict source-only deployment may require a source-derived or online-calibrated alternative.</w:t>
      </w:r>
    </w:p>
    <w:p>
      <w:pPr>
        <w:keepNext w:val="0"/>
        <w:spacing w:before="0" w:after="40" w:line="269" w:lineRule="auto"/>
        <w:ind w:hanging="312" w:left="312"/>
      </w:pPr>
      <w:r>
        <w:rPr>
          <w:rFonts w:ascii="Times New Roman" w:hAnsi="Times New Roman" w:cs="Times New Roman"/>
          <w:sz w:val="21"/>
        </w:rPr>
        <w:t>4. MVTec normalization is performed within category. Cross-category open-world deployment would require a shared calibration strategy.</w:t>
      </w:r>
    </w:p>
    <w:p>
      <w:pPr>
        <w:keepNext w:val="0"/>
        <w:spacing w:before="0" w:after="40" w:line="269" w:lineRule="auto"/>
        <w:ind w:hanging="312" w:left="312"/>
      </w:pPr>
      <w:r>
        <w:rPr>
          <w:rFonts w:ascii="Times New Roman" w:hAnsi="Times New Roman" w:cs="Times New Roman"/>
          <w:sz w:val="21"/>
        </w:rPr>
        <w:t>5. The old adaptive QCR result on MVTec is diagnostic because the original consistency signal was unavailable and was reconstructed with a fixed high-high rule.</w:t>
      </w:r>
    </w:p>
    <w:p>
      <w:pPr>
        <w:keepNext w:val="0"/>
        <w:spacing w:before="0" w:after="40" w:line="269" w:lineRule="auto"/>
        <w:ind w:hanging="312" w:left="312"/>
      </w:pPr>
      <w:r>
        <w:rPr>
          <w:rFonts w:ascii="Times New Roman" w:hAnsi="Times New Roman" w:cs="Times New Roman"/>
          <w:sz w:val="21"/>
        </w:rPr>
        <w:t>6. Peak GPU memory is unchanged. The current efficiency benefit concerns call count and wall-clock time.</w:t>
      </w:r>
    </w:p>
    <w:p>
      <w:pPr>
        <w:keepNext w:val="0"/>
        <w:spacing w:before="0" w:after="40" w:line="269" w:lineRule="auto"/>
        <w:ind w:hanging="312" w:left="312"/>
      </w:pPr>
      <w:r>
        <w:rPr>
          <w:rFonts w:ascii="Times New Roman" w:hAnsi="Times New Roman" w:cs="Times New Roman"/>
          <w:sz w:val="21"/>
        </w:rPr>
        <w:t>7. Runtime results are hardware- and implementation-specific and were measured with per-image execution on a single RTX 4090.</w:t>
      </w:r>
    </w:p>
    <w:p>
      <w:pPr>
        <w:keepNext w:val="0"/>
        <w:spacing w:before="0" w:after="40" w:line="269" w:lineRule="auto"/>
        <w:ind w:hanging="312" w:left="312"/>
      </w:pPr>
      <w:r>
        <w:rPr>
          <w:rFonts w:ascii="Times New Roman" w:hAnsi="Times New Roman" w:cs="Times New Roman"/>
          <w:sz w:val="21"/>
        </w:rPr>
        <w:t>8. The method is evaluated primarily for image-level anomaly recognition. Pixel-level segmentation and defect-cause explanation remain outside the main claim.</w:t>
      </w:r>
    </w:p>
    <w:p>
      <w:pPr>
        <w:keepNext w:val="0"/>
        <w:spacing w:before="0" w:after="40" w:line="269" w:lineRule="auto"/>
        <w:ind w:hanging="312" w:left="312"/>
      </w:pPr>
      <w:r>
        <w:rPr>
          <w:rFonts w:ascii="Times New Roman" w:hAnsi="Times New Roman" w:cs="Times New Roman"/>
          <w:sz w:val="21"/>
        </w:rPr>
        <w:t>9. System-level baselines, QCR ablations, and cross-dataset transfer use different protocols; only within-panel comparisons are direct.</w:t>
      </w:r>
    </w:p>
    <w:p>
      <w:pPr>
        <w:keepNext w:val="0"/>
        <w:spacing w:before="0" w:after="40" w:line="269" w:lineRule="auto"/>
        <w:ind w:hanging="312" w:left="312"/>
      </w:pPr>
      <w:r>
        <w:rPr>
          <w:rFonts w:ascii="Times New Roman" w:hAnsi="Times New Roman" w:cs="Times New Roman"/>
          <w:sz w:val="21"/>
        </w:rPr>
        <w:t>10. The current VLM branch uses CLIP ViT-B/32 and fixed prompt templates. Broader VLM backbones and learned uncertainty estimates remain future work.</w:t>
      </w:r>
    </w:p>
    <w:p>
      <w:pPr/>
      <w:r>
        <w:t>11. Exact historical AD2 VLM-margin replay is not claimed because the original Stage 11 category-specific prompt metadata was not fully preserved. AD2 accuracy uses the locked prediction cache, whereas efficiency uses the re-executed runtime path.</w:t>
      </w:r>
    </w:p>
    <w:p>
      <w:r>
        <w:br w:type="page"/>
      </w:r>
    </w:p>
    <w:p>
      <w:pPr>
        <w:pStyle w:val="Heading1"/>
        <w:keepNext/>
        <w:spacing w:before="80" w:after="100" w:line="252" w:lineRule="auto"/>
      </w:pPr>
      <w:r>
        <w:rPr>
          <w:rFonts w:ascii="Arial" w:hAnsi="Arial" w:cs="Arial"/>
          <w:b/>
          <w:color w:val="1F4E79"/>
          <w:sz w:val="30"/>
        </w:rPr>
        <w:t>11. Conclusion</w:t>
      </w:r>
    </w:p>
    <w:p>
      <w:pPr>
        <w:keepNext w:val="0"/>
        <w:spacing w:before="0" w:after="100" w:line="283" w:lineRule="auto"/>
        <w:ind w:firstLine="312"/>
      </w:pPr>
      <w:r>
        <w:rPr>
          <w:rFonts w:ascii="Times New Roman" w:hAnsi="Times New Roman" w:cs="Times New Roman"/>
          <w:sz w:val="21"/>
        </w:rPr>
        <w:t>This paper studies how to safely introduce localized vision-language evidence into strong industrial anomaly detectors. Experiments show that candidate crops improve VLM focus, but naive score fusion can sharply degrade detector performance. SRB-QCR responds with a quality-based selective pre-gate, an agreement-bounded interpolation weight, and a strict detector-only fallback. Candidate quality is confirmed as the primary effective component, while consistency is used conservatively.</w:t>
      </w:r>
    </w:p>
    <w:p>
      <w:pPr>
        <w:keepNext w:val="0"/>
        <w:spacing w:before="0" w:after="100" w:line="283" w:lineRule="auto"/>
        <w:ind w:firstLine="312"/>
      </w:pPr>
      <w:r>
        <w:t>With parameters selected on VisA PatchCore category-LOCO and frozen thereafter, SRB-QCR transfers to new backbones and datasets. On all 15 MVTec AD categories it is non-inferior to the detector and substantially better than naive and old quality-calibrated fusion. MVTec selective execution skips 24.99% of VLM calls and reduces median wall-clock time by 21.21%. On the AD2 four-category transfer, SRB improves macro AUROC over the detector by 0.0086 with 3/4 category wins; actual execution skips 25.10% of calls and reduces median time by 18.95% (1.234×). The central conclusion is therefore not that a VLM replaces an anomaly detector, but that semantic evidence can be used selectively within explicit reliability, provenance, and deployment boundaries.</w:t>
      </w:r>
    </w:p>
    <w:p>
      <w:r>
        <w:br w:type="page"/>
      </w:r>
    </w:p>
    <w:p>
      <w:pPr>
        <w:pStyle w:val="Heading1"/>
        <w:keepNext/>
        <w:spacing w:before="80" w:after="100" w:line="252" w:lineRule="auto"/>
      </w:pPr>
      <w:r>
        <w:rPr>
          <w:rFonts w:ascii="Arial" w:hAnsi="Arial" w:cs="Arial"/>
          <w:b/>
          <w:color w:val="1F4E79"/>
          <w:sz w:val="30"/>
        </w:rPr>
        <w:t>Declarations</w:t>
      </w:r>
    </w:p>
    <w:p>
      <w:pPr>
        <w:pStyle w:val="Heading2"/>
        <w:keepNext/>
        <w:spacing w:before="60" w:after="100" w:line="252" w:lineRule="auto"/>
      </w:pPr>
      <w:r>
        <w:rPr>
          <w:rFonts w:ascii="Arial" w:hAnsi="Arial" w:cs="Arial"/>
          <w:b/>
          <w:color w:val="1F4E79"/>
          <w:sz w:val="25"/>
        </w:rPr>
        <w:t>Data availability</w:t>
      </w:r>
    </w:p>
    <w:p>
      <w:pPr>
        <w:keepNext w:val="0"/>
        <w:spacing w:before="0" w:after="100" w:line="283" w:lineRule="auto"/>
        <w:ind w:firstLine="312"/>
      </w:pPr>
      <w:r>
        <w:t>MVTec AD and VisA are available from their official project pages. The AD2 study uses the project's local MVTec AD 2 preparation under datasets/MVTec_AD_2_anomalib_all and the four categories fruit_jelly, sheet_metal, vial, and walnuts. Raw datasets and model weights are not redistributed.</w:t>
      </w:r>
    </w:p>
    <w:p>
      <w:pPr>
        <w:pStyle w:val="Heading2"/>
        <w:keepNext/>
        <w:spacing w:before="60" w:after="100" w:line="252" w:lineRule="auto"/>
      </w:pPr>
      <w:r>
        <w:rPr>
          <w:rFonts w:ascii="Arial" w:hAnsi="Arial" w:cs="Arial"/>
          <w:b/>
          <w:color w:val="1F4E79"/>
          <w:sz w:val="25"/>
        </w:rPr>
        <w:t>Code availability</w:t>
      </w:r>
    </w:p>
    <w:p>
      <w:pPr>
        <w:keepNext w:val="0"/>
        <w:spacing w:before="0" w:after="100" w:line="283" w:lineRule="auto"/>
        <w:ind w:firstLine="312"/>
      </w:pPr>
      <w:r>
        <w:t>Experiment scripts, frozen protocol files, result summaries, figure manifests, and the integrated draft package are maintained at https://github.com/lxs2271237473wq/iad-vlm-anomaly. The Stage 23-C2 integration is anchored to main commit bf049d750898c793211fdda3bf6aff30bf483f07.</w:t>
      </w:r>
    </w:p>
    <w:p>
      <w:pPr>
        <w:pStyle w:val="Heading2"/>
        <w:keepNext/>
        <w:spacing w:before="60" w:after="100" w:line="252" w:lineRule="auto"/>
      </w:pPr>
      <w:r>
        <w:rPr>
          <w:rFonts w:ascii="Arial" w:hAnsi="Arial" w:cs="Arial"/>
          <w:b/>
          <w:color w:val="1F4E79"/>
          <w:sz w:val="25"/>
        </w:rPr>
        <w:t>Funding</w:t>
      </w:r>
    </w:p>
    <w:p>
      <w:pPr>
        <w:keepNext w:val="0"/>
        <w:spacing w:before="0" w:after="100" w:line="283" w:lineRule="auto"/>
        <w:ind w:firstLine="312"/>
      </w:pPr>
      <w:r>
        <w:rPr>
          <w:rFonts w:ascii="Times New Roman" w:hAnsi="Times New Roman" w:cs="Times New Roman"/>
          <w:sz w:val="21"/>
        </w:rPr>
        <w:t>[To be completed.]</w:t>
      </w:r>
    </w:p>
    <w:p>
      <w:pPr>
        <w:pStyle w:val="Heading2"/>
        <w:keepNext/>
        <w:spacing w:before="60" w:after="100" w:line="252" w:lineRule="auto"/>
      </w:pPr>
      <w:r>
        <w:rPr>
          <w:rFonts w:ascii="Arial" w:hAnsi="Arial" w:cs="Arial"/>
          <w:b/>
          <w:color w:val="1F4E79"/>
          <w:sz w:val="25"/>
        </w:rPr>
        <w:t>Author contributions</w:t>
      </w:r>
    </w:p>
    <w:p>
      <w:pPr>
        <w:keepNext w:val="0"/>
        <w:spacing w:before="0" w:after="100" w:line="283" w:lineRule="auto"/>
        <w:ind w:firstLine="312"/>
      </w:pPr>
      <w:r>
        <w:rPr>
          <w:rFonts w:ascii="Times New Roman" w:hAnsi="Times New Roman" w:cs="Times New Roman"/>
          <w:sz w:val="21"/>
        </w:rPr>
        <w:t>[To be completed using the target venue taxonomy.]</w:t>
      </w:r>
    </w:p>
    <w:p>
      <w:pPr>
        <w:pStyle w:val="Heading2"/>
        <w:keepNext/>
        <w:spacing w:before="60" w:after="100" w:line="252" w:lineRule="auto"/>
      </w:pPr>
      <w:r>
        <w:rPr>
          <w:rFonts w:ascii="Arial" w:hAnsi="Arial" w:cs="Arial"/>
          <w:b/>
          <w:color w:val="1F4E79"/>
          <w:sz w:val="25"/>
        </w:rPr>
        <w:t>Conflict of interest</w:t>
      </w:r>
    </w:p>
    <w:p>
      <w:pPr>
        <w:keepNext w:val="0"/>
        <w:spacing w:before="0" w:after="100" w:line="283" w:lineRule="auto"/>
        <w:ind w:firstLine="312"/>
      </w:pPr>
      <w:r>
        <w:rPr>
          <w:rFonts w:ascii="Times New Roman" w:hAnsi="Times New Roman" w:cs="Times New Roman"/>
          <w:sz w:val="21"/>
        </w:rPr>
        <w:t>The authors declare no conflict of interest. [Confirm before submission.]</w:t>
      </w:r>
    </w:p>
    <w:p>
      <w:pPr>
        <w:pStyle w:val="Heading2"/>
        <w:keepNext/>
        <w:spacing w:before="60" w:after="100" w:line="252" w:lineRule="auto"/>
      </w:pPr>
      <w:r>
        <w:rPr>
          <w:rFonts w:ascii="Arial" w:hAnsi="Arial" w:cs="Arial"/>
          <w:b/>
          <w:color w:val="1F4E79"/>
          <w:sz w:val="25"/>
        </w:rPr>
        <w:t>Ethics statement</w:t>
      </w:r>
    </w:p>
    <w:p>
      <w:pPr>
        <w:keepNext w:val="0"/>
        <w:spacing w:before="0" w:after="100" w:line="283" w:lineRule="auto"/>
        <w:ind w:firstLine="312"/>
      </w:pPr>
      <w:r>
        <w:rPr>
          <w:rFonts w:ascii="Times New Roman" w:hAnsi="Times New Roman" w:cs="Times New Roman"/>
          <w:sz w:val="21"/>
        </w:rPr>
        <w:t>The study uses industrial object images and does not involve human participants or personal data.</w:t>
      </w:r>
    </w:p>
    <w:p>
      <w:pPr>
        <w:pStyle w:val="Heading2"/>
        <w:keepNext/>
        <w:spacing w:before="60" w:after="100" w:line="252" w:lineRule="auto"/>
      </w:pPr>
      <w:r>
        <w:rPr>
          <w:rFonts w:ascii="Arial" w:hAnsi="Arial" w:cs="Arial"/>
          <w:b/>
          <w:color w:val="1F4E79"/>
          <w:sz w:val="25"/>
        </w:rPr>
        <w:t>Use of AI-assisted tools</w:t>
      </w:r>
    </w:p>
    <w:p>
      <w:pPr>
        <w:keepNext w:val="0"/>
        <w:spacing w:before="0" w:after="100" w:line="283" w:lineRule="auto"/>
        <w:ind w:firstLine="312"/>
      </w:pPr>
      <w:r>
        <w:rPr>
          <w:rFonts w:ascii="Times New Roman" w:hAnsi="Times New Roman" w:cs="Times New Roman"/>
          <w:sz w:val="21"/>
        </w:rPr>
        <w:t>[Disclose language or coding assistance according to venue policy.]</w:t>
      </w:r>
    </w:p>
    <w:p>
      <w:r>
        <w:br w:type="page"/>
      </w:r>
    </w:p>
    <w:p>
      <w:pPr>
        <w:pStyle w:val="Heading1"/>
        <w:keepNext/>
        <w:spacing w:before="80" w:after="100" w:line="252" w:lineRule="auto"/>
      </w:pPr>
      <w:r>
        <w:rPr>
          <w:rFonts w:ascii="Arial" w:hAnsi="Arial" w:cs="Arial"/>
          <w:b/>
          <w:color w:val="1F4E79"/>
          <w:sz w:val="30"/>
        </w:rPr>
        <w:t>References</w:t>
      </w:r>
    </w:p>
    <w:p>
      <w:pPr>
        <w:spacing w:after="80"/>
        <w:ind w:left="454" w:hanging="454"/>
      </w:pPr>
      <w:r>
        <w:rPr>
          <w:rFonts w:ascii="Times New Roman" w:hAnsi="Times New Roman" w:cs="Times New Roman"/>
          <w:sz w:val="19"/>
        </w:rPr>
        <w:t>[1] P. Bergmann, M. Fauser, D. Sattlegger, and C. Steger, “MVTec AD—A comprehensive real-world dataset for unsupervised anomaly detection,” Proc. CVPR, 2019.</w:t>
      </w:r>
    </w:p>
    <w:p>
      <w:pPr>
        <w:spacing w:after="80"/>
        <w:ind w:left="454" w:hanging="454"/>
      </w:pPr>
      <w:r>
        <w:rPr>
          <w:rFonts w:ascii="Times New Roman" w:hAnsi="Times New Roman" w:cs="Times New Roman"/>
          <w:sz w:val="19"/>
        </w:rPr>
        <w:t>[2] Y. Zou et al., “SPot-the-Difference self-supervised pre-training for anomaly detection and segmentation,” Proc. ECCV, 2022.</w:t>
      </w:r>
    </w:p>
    <w:p>
      <w:pPr>
        <w:spacing w:after="80"/>
        <w:ind w:left="454" w:hanging="454"/>
      </w:pPr>
      <w:r>
        <w:rPr>
          <w:rFonts w:ascii="Times New Roman" w:hAnsi="Times New Roman" w:cs="Times New Roman"/>
          <w:sz w:val="19"/>
        </w:rPr>
        <w:t>[3] K. Roth et al., “Towards total recall in industrial anomaly detection,” Proc. CVPR, 2022.</w:t>
      </w:r>
    </w:p>
    <w:p>
      <w:pPr>
        <w:spacing w:after="80"/>
        <w:ind w:left="454" w:hanging="454"/>
      </w:pPr>
      <w:r>
        <w:rPr>
          <w:rFonts w:ascii="Times New Roman" w:hAnsi="Times New Roman" w:cs="Times New Roman"/>
          <w:sz w:val="19"/>
        </w:rPr>
        <w:t>[4] J. Yu et al., “FastFlow: Unsupervised anomaly detection and localization via 2D normalizing flows,” arXiv:2111.07677, 2021.</w:t>
      </w:r>
    </w:p>
    <w:p>
      <w:pPr>
        <w:spacing w:after="80"/>
        <w:ind w:left="454" w:hanging="454"/>
      </w:pPr>
      <w:r>
        <w:rPr>
          <w:rFonts w:ascii="Times New Roman" w:hAnsi="Times New Roman" w:cs="Times New Roman"/>
          <w:sz w:val="19"/>
        </w:rPr>
        <w:t>[5] K. Batzner, L. Heckler, and R. König, “EfficientAD: Accurate visual anomaly detection at millisecond-level latencies,” Proc. WACV, 2024.</w:t>
      </w:r>
    </w:p>
    <w:p>
      <w:pPr>
        <w:spacing w:after="80"/>
        <w:ind w:left="454" w:hanging="454"/>
      </w:pPr>
      <w:r>
        <w:rPr>
          <w:rFonts w:ascii="Times New Roman" w:hAnsi="Times New Roman" w:cs="Times New Roman"/>
          <w:sz w:val="19"/>
        </w:rPr>
        <w:t>[6] A. Radford et al., “Learning transferable visual models from natural language supervision,” Proc. ICML, 2021.</w:t>
      </w:r>
    </w:p>
    <w:p>
      <w:pPr>
        <w:spacing w:after="80"/>
        <w:ind w:left="454" w:hanging="454"/>
      </w:pPr>
      <w:r>
        <w:rPr>
          <w:rFonts w:ascii="Times New Roman" w:hAnsi="Times New Roman" w:cs="Times New Roman"/>
          <w:sz w:val="19"/>
        </w:rPr>
        <w:t>[7] J. Jeong et al., “WinCLIP: Zero-/few-shot anomaly classification and segmentation,” Proc. CVPR, 2023.</w:t>
      </w:r>
    </w:p>
    <w:p>
      <w:pPr>
        <w:spacing w:after="80"/>
        <w:ind w:left="454" w:hanging="454"/>
      </w:pPr>
      <w:r>
        <w:rPr>
          <w:rFonts w:ascii="Times New Roman" w:hAnsi="Times New Roman" w:cs="Times New Roman"/>
          <w:sz w:val="19"/>
        </w:rPr>
        <w:t>[8] Q. Zhou, G. Pang, Y. Tian, S. He, and J. Chen, “AnomalyCLIP: Object-agnostic prompt learning for zero-shot anomaly detection,” Proc. ICLR, 2024.</w:t>
      </w:r>
    </w:p>
    <w:p>
      <w:pPr>
        <w:spacing w:after="80"/>
        <w:ind w:left="454" w:hanging="454"/>
      </w:pPr>
      <w:r>
        <w:rPr>
          <w:rFonts w:ascii="Times New Roman" w:hAnsi="Times New Roman" w:cs="Times New Roman"/>
          <w:sz w:val="19"/>
        </w:rPr>
        <w:t>[9] V. Zavrtanik, M. Kristan, and D. Skočaj, “DRAEM—A discriminatively trained reconstruction embedding for surface anomaly detection,” Proc. ICCV, 2021.</w:t>
      </w:r>
    </w:p>
    <w:p>
      <w:pPr>
        <w:spacing w:after="80"/>
        <w:ind w:left="454" w:hanging="454"/>
      </w:pPr>
      <w:r>
        <w:rPr>
          <w:rFonts w:ascii="Times New Roman" w:hAnsi="Times New Roman" w:cs="Times New Roman"/>
          <w:sz w:val="19"/>
        </w:rPr>
        <w:t>[10] H. Deng and X. Li, “Anomaly detection via reverse distillation from one-class embedding,” Proc. CVPR, 2022.</w:t>
      </w:r>
    </w:p>
    <w:p>
      <w:pPr>
        <w:spacing w:after="80"/>
        <w:ind w:left="454" w:hanging="454"/>
      </w:pPr>
      <w:r>
        <w:rPr>
          <w:rFonts w:ascii="Times New Roman" w:hAnsi="Times New Roman" w:cs="Times New Roman"/>
          <w:sz w:val="19"/>
        </w:rPr>
        <w:t>[11] D. Gudovskiy, S. Ishizaka, and K. Kozuka, “CFLOW-AD: Real-time unsupervised anomaly detection with localization via conditional normalizing flows,” arXiv:2107.12571, 2021.</w:t>
      </w:r>
    </w:p>
    <w:tbl>
      <w:tblPr>
        <w:tblStyle w:val="TableGrid"/>
        <w:tblW w:type="auto" w:w="0"/>
        <w:jc w:val="center"/>
        <w:tblLook w:firstColumn="1" w:firstRow="1" w:lastColumn="0" w:lastRow="0" w:noHBand="0" w:noVBand="1" w:val="04A0"/>
      </w:tblPr>
      <w:tblGrid>
        <w:gridCol w:w="9752"/>
      </w:tblGrid>
      <w:tr>
        <w:tc>
          <w:tcPr>
            <w:tcW w:type="dxa" w:w="9752"/>
            <w:shd w:fill="F2F2F2"/>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b/>
                <w:sz w:val="19"/>
              </w:rPr>
              <w:t>Bibliography note</w:t>
              <w:br/>
            </w:r>
            <w:r>
              <w:rPr>
                <w:rFonts w:ascii="Times New Roman" w:hAnsi="Times New Roman" w:cs="Times New Roman"/>
                <w:sz w:val="18"/>
              </w:rPr>
              <w:t>The final submission should convert these references to the target venue style and verify volume, pages, DOI, and URLs.</w:t>
            </w:r>
          </w:p>
        </w:tc>
      </w:tr>
    </w:tbl>
    <w:p/>
    <w:p>
      <w:r>
        <w:br w:type="page"/>
      </w:r>
    </w:p>
    <w:p>
      <w:pPr>
        <w:pStyle w:val="Heading1"/>
        <w:keepNext/>
        <w:spacing w:before="80" w:after="100" w:line="252" w:lineRule="auto"/>
      </w:pPr>
      <w:r>
        <w:rPr>
          <w:rFonts w:ascii="Arial" w:hAnsi="Arial" w:cs="Arial"/>
          <w:b/>
          <w:color w:val="1F4E79"/>
          <w:sz w:val="30"/>
        </w:rPr>
        <w:t>Appendix A. Experimental Inventory</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6"/>
              </w:rPr>
              <w:t>Evidence block</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6"/>
              </w:rPr>
              <w:t>Dataset</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Purpose</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6"/>
              </w:rPr>
              <w:t>Status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Localization-to-reasoning</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 early MVTec</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Verify crop evidence improves VLM focus</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System baseline panel</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Primary category protocol</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PatchCore, EfficientAD, WinCLIP, full/context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 protocol-limited</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QCR ablation</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PatchCore + 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Identify quality and consistency roles</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Frozen selection</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PatchCore category-LOCO</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Select wmax, q-quantile, τΔ</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 and locked</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Cross-backbone transfer</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No-label frozen transfer</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AD2 transfer</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Four categories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Cross-dataset behavior and AnomalyCLIP baseline</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MVTec 15-class rerun</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1,725 test images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Unified detector, candidates, CLIP, SRB transfer</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Bootstrap</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MVTec 15 classes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Uncertainty and non-inferiority</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2,500 repeats</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Actual runtime</w:t>
            </w:r>
          </w:p>
        </w:tc>
        <w:tc>
          <w:tcPr>
            <w:tcW w:type="dxa" w:w="1984"/>
            <w:tcMar>
              <w:top w:w="80" w:type="dxa"/>
              <w:start w:w="80" w:type="dxa"/>
              <w:bottom w:w="80" w:type="dxa"/>
              <w:end w:w="80" w:type="dxa"/>
            </w:tcMar>
            <w:vAlign w:val="center"/>
          </w:tcPr>
          <w:p>
            <w:r>
              <w:rPr>
                <w:sz w:val="17"/>
              </w:rPr>
              <w:t>MVTec AD 15 classes + AD2 four categories</w:t>
            </w:r>
          </w:p>
        </w:tc>
        <w:tc>
          <w:tcPr>
            <w:tcW w:type="dxa" w:w="3969"/>
            <w:tcMar>
              <w:top w:w="80" w:type="dxa"/>
              <w:start w:w="80" w:type="dxa"/>
              <w:bottom w:w="80" w:type="dxa"/>
              <w:end w:w="80" w:type="dxa"/>
            </w:tcMar>
            <w:vAlign w:val="center"/>
          </w:tcPr>
          <w:p>
            <w:r>
              <w:rPr>
                <w:sz w:val="17"/>
              </w:rPr>
              <w:t>Full vs selective execution and deployment provenance</w:t>
            </w:r>
          </w:p>
        </w:tc>
        <w:tc>
          <w:tcPr>
            <w:tcW w:type="dxa" w:w="1701"/>
            <w:tcMar>
              <w:top w:w="80" w:type="dxa"/>
              <w:start w:w="80" w:type="dxa"/>
              <w:bottom w:w="80" w:type="dxa"/>
              <w:end w:w="80" w:type="dxa"/>
            </w:tcMar>
            <w:vAlign w:val="center"/>
          </w:tcPr>
          <w:p>
            <w:r>
              <w:rPr>
                <w:sz w:val="17"/>
              </w:rPr>
              <w:t>3 paired repeats on each target</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Qualitative boundaries</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MVTec 15 classes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Gate success/failure taxonomy</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Complete</w:t>
            </w:r>
          </w:p>
        </w:tc>
      </w:tr>
    </w:tbl>
    <w:p/>
    <w:p>
      <w:pPr>
        <w:keepNext w:val="0"/>
        <w:spacing w:before="0" w:after="100" w:line="283" w:lineRule="auto"/>
        <w:ind w:firstLine="312"/>
      </w:pPr>
      <w:r>
        <w:rPr>
          <w:rFonts w:ascii="Times New Roman" w:hAnsi="Times New Roman" w:cs="Times New Roman"/>
          <w:sz w:val="21"/>
        </w:rPr>
        <w:t>All core experiments are treated as frozen for drafting. New parameter tuning on MVTec or AD2 would invalidate the transfer narrative and should not be performed without redefining the protocol.</w:t>
      </w:r>
    </w:p>
    <w:p>
      <w:r>
        <w:br w:type="page"/>
      </w:r>
    </w:p>
    <w:p>
      <w:pPr>
        <w:pStyle w:val="Heading1"/>
        <w:keepNext/>
        <w:spacing w:before="80" w:after="100" w:line="252" w:lineRule="auto"/>
      </w:pPr>
      <w:r>
        <w:rPr>
          <w:rFonts w:ascii="Arial" w:hAnsi="Arial" w:cs="Arial"/>
          <w:b/>
          <w:color w:val="1F4E79"/>
          <w:sz w:val="30"/>
        </w:rPr>
        <w:t>Appendix B. Score Variant Definitions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020"/>
            <w:shd w:fill="D9EAF7"/>
            <w:tcMar>
              <w:top w:w="80" w:type="dxa"/>
              <w:start w:w="80" w:type="dxa"/>
              <w:bottom w:w="80" w:type="dxa"/>
              <w:end w:w="80" w:type="dxa"/>
            </w:tcMar>
            <w:vAlign w:val="center"/>
          </w:tcPr>
          <w:p>
            <w:pPr>
              <w:jc w:val="center"/>
            </w:pPr>
            <w:r>
              <w:rPr>
                <w:rFonts w:ascii="Times New Roman" w:hAnsi="Times New Roman" w:cs="Times New Roman"/>
                <w:b/>
                <w:sz w:val="17"/>
              </w:rPr>
              <w:t>ID</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7"/>
              </w:rPr>
              <w:t>Formula</w:t>
            </w:r>
          </w:p>
        </w:tc>
        <w:tc>
          <w:tcPr>
            <w:tcW w:type="dxa" w:w="4535"/>
            <w:shd w:fill="D9EAF7"/>
            <w:tcMar>
              <w:top w:w="80" w:type="dxa"/>
              <w:start w:w="80" w:type="dxa"/>
              <w:bottom w:w="80" w:type="dxa"/>
              <w:end w:w="80" w:type="dxa"/>
            </w:tcMar>
            <w:vAlign w:val="center"/>
          </w:tcPr>
          <w:p>
            <w:pPr>
              <w:jc w:val="center"/>
            </w:pPr>
            <w:r>
              <w:rPr>
                <w:rFonts w:ascii="Times New Roman" w:hAnsi="Times New Roman" w:cs="Times New Roman"/>
                <w:b/>
                <w:sz w:val="17"/>
              </w:rPr>
              <w:t>Meaning</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D0</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D</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Detector-only anchor</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M0</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M</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Crop VLM only</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V3</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0.5D+0.5M</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Naive fusion</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V4</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0.5D+0.5M(0.5+0.5Q)</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Old quality-calibrated core</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V6</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V4+0.05·Q·K·agreement</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Old adaptive diagnostic/refinement</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S1</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D+w(M−D)</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SRB-QCR; w=wmax·Gpre·Q·A</w:t>
            </w:r>
          </w:p>
        </w:tc>
      </w:tr>
    </w:tbl>
    <w:p/>
    <w:tbl>
      <w:tblPr>
        <w:tblStyle w:val="TableGrid"/>
        <w:tblW w:type="auto" w:w="0"/>
        <w:jc w:val="center"/>
        <w:tblLook w:firstColumn="1" w:firstRow="1" w:lastColumn="0" w:lastRow="0" w:noHBand="0" w:noVBand="1" w:val="04A0"/>
      </w:tblPr>
      <w:tblGrid>
        <w:gridCol w:w="9752"/>
      </w:tblGrid>
      <w:tr>
        <w:tc>
          <w:tcPr>
            <w:tcW w:type="dxa" w:w="9752"/>
            <w:shd w:fill="FFF2CC"/>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b/>
                <w:sz w:val="19"/>
              </w:rPr>
              <w:t>Important protocol note</w:t>
              <w:br/>
            </w:r>
            <w:r>
              <w:rPr>
                <w:rFonts w:ascii="Times New Roman" w:hAnsi="Times New Roman" w:cs="Times New Roman"/>
                <w:sz w:val="18"/>
              </w:rPr>
              <w:t>V6 on MVTec is diagnostic because K was reconstructed from the fixed high-high rule. S1 is the final frozen method.</w:t>
            </w:r>
          </w:p>
        </w:tc>
      </w:tr>
    </w:tbl>
    <w:p/>
    <w:p>
      <w:r>
        <w:br w:type="page"/>
      </w:r>
    </w:p>
    <w:p>
      <w:pPr>
        <w:pStyle w:val="Heading1"/>
        <w:keepNext/>
        <w:spacing w:before="80" w:after="100" w:line="252" w:lineRule="auto"/>
      </w:pPr>
      <w:r>
        <w:rPr>
          <w:rFonts w:ascii="Arial" w:hAnsi="Arial" w:cs="Arial"/>
          <w:b/>
          <w:color w:val="1F4E79"/>
          <w:sz w:val="30"/>
        </w:rPr>
        <w:t>Appendix C. Reproducibility Checklist</w:t>
      </w:r>
    </w:p>
    <w:p>
      <w:pPr>
        <w:keepNext w:val="0"/>
        <w:spacing w:before="0" w:after="40" w:line="269" w:lineRule="auto"/>
        <w:ind w:hanging="312" w:left="312"/>
      </w:pPr>
      <w:r>
        <w:rPr>
          <w:rFonts w:ascii="Times New Roman" w:hAnsi="Times New Roman" w:cs="Times New Roman"/>
          <w:sz w:val="21"/>
        </w:rPr>
        <w:t>1. Record exact dataset paths, category lists, and normal/anomaly directory mappings.</w:t>
      </w:r>
    </w:p>
    <w:p>
      <w:pPr>
        <w:keepNext w:val="0"/>
        <w:spacing w:before="0" w:after="40" w:line="269" w:lineRule="auto"/>
        <w:ind w:hanging="312" w:left="312"/>
      </w:pPr>
      <w:r>
        <w:rPr>
          <w:rFonts w:ascii="Times New Roman" w:hAnsi="Times New Roman" w:cs="Times New Roman"/>
          <w:sz w:val="21"/>
        </w:rPr>
        <w:t>2. Use PatchCore Wide-ResNet-50-2 with layer2 and layer3; record anomalib and PyTorch versions.</w:t>
      </w:r>
    </w:p>
    <w:p>
      <w:pPr>
        <w:keepNext w:val="0"/>
        <w:spacing w:before="0" w:after="40" w:line="269" w:lineRule="auto"/>
        <w:ind w:hanging="312" w:left="312"/>
      </w:pPr>
      <w:r>
        <w:rPr>
          <w:rFonts w:ascii="Times New Roman" w:hAnsi="Times New Roman" w:cs="Times New Roman"/>
          <w:sz w:val="21"/>
        </w:rPr>
        <w:t>3. Use per-image 97th-percentile candidate threshold, top-3 components, and minimum area 20.</w:t>
      </w:r>
    </w:p>
    <w:p>
      <w:pPr>
        <w:keepNext w:val="0"/>
        <w:spacing w:before="0" w:after="40" w:line="269" w:lineRule="auto"/>
        <w:ind w:hanging="312" w:left="312"/>
      </w:pPr>
      <w:r>
        <w:rPr>
          <w:rFonts w:ascii="Times New Roman" w:hAnsi="Times New Roman" w:cs="Times New Roman"/>
          <w:sz w:val="21"/>
        </w:rPr>
        <w:t>4. Use OpenCLIP ViT-B/32 with OpenAI weights and the inspection_binary prompt strategy.</w:t>
      </w:r>
    </w:p>
    <w:p>
      <w:pPr>
        <w:keepNext w:val="0"/>
        <w:spacing w:before="0" w:after="40" w:line="269" w:lineRule="auto"/>
        <w:ind w:hanging="312" w:left="312"/>
      </w:pPr>
      <w:r>
        <w:rPr>
          <w:rFonts w:ascii="Times New Roman" w:hAnsi="Times New Roman" w:cs="Times New Roman"/>
          <w:sz w:val="21"/>
        </w:rPr>
        <w:t>5. Normalize D, M, and Q within category for the MVTec transfer table.</w:t>
      </w:r>
    </w:p>
    <w:p>
      <w:pPr>
        <w:keepNext w:val="0"/>
        <w:spacing w:before="0" w:after="40" w:line="269" w:lineRule="auto"/>
        <w:ind w:hanging="312" w:left="312"/>
      </w:pPr>
      <w:r>
        <w:rPr>
          <w:rFonts w:ascii="Times New Roman" w:hAnsi="Times New Roman" w:cs="Times New Roman"/>
          <w:sz w:val="21"/>
        </w:rPr>
        <w:t>6. Select τq as the 25th percentile of unlabeled eligible target Q values.</w:t>
      </w:r>
    </w:p>
    <w:p>
      <w:pPr>
        <w:keepNext w:val="0"/>
        <w:spacing w:before="0" w:after="40" w:line="269" w:lineRule="auto"/>
        <w:ind w:hanging="312" w:left="312"/>
      </w:pPr>
      <w:r>
        <w:rPr>
          <w:rFonts w:ascii="Times New Roman" w:hAnsi="Times New Roman" w:cs="Times New Roman"/>
          <w:sz w:val="21"/>
        </w:rPr>
        <w:t>7. Keep wmax=0.35 and τΔ=0.75; do not tune on target labels.</w:t>
      </w:r>
    </w:p>
    <w:p>
      <w:pPr>
        <w:keepNext w:val="0"/>
        <w:spacing w:before="0" w:after="40" w:line="269" w:lineRule="auto"/>
        <w:ind w:hanging="312" w:left="312"/>
      </w:pPr>
      <w:r>
        <w:rPr>
          <w:rFonts w:ascii="Times New Roman" w:hAnsi="Times New Roman" w:cs="Times New Roman"/>
          <w:sz w:val="21"/>
        </w:rPr>
        <w:t>8. For runtime, preload CLIP/text/boxes; include image I/O, crop construction, preprocessing, and image inference.</w:t>
      </w:r>
    </w:p>
    <w:p>
      <w:pPr>
        <w:keepNext w:val="0"/>
        <w:spacing w:before="0" w:after="40" w:line="269" w:lineRule="auto"/>
        <w:ind w:hanging="312" w:left="312"/>
      </w:pPr>
      <w:r>
        <w:rPr>
          <w:rFonts w:ascii="Times New Roman" w:hAnsi="Times New Roman" w:cs="Times New Roman"/>
          <w:sz w:val="21"/>
        </w:rPr>
        <w:t>9. Alternate full/selective execution order and report all repeats.</w:t>
      </w:r>
    </w:p>
    <w:p>
      <w:pPr>
        <w:keepNext w:val="0"/>
        <w:spacing w:before="0" w:after="40" w:line="269" w:lineRule="auto"/>
        <w:ind w:hanging="312" w:left="312"/>
      </w:pPr>
      <w:r>
        <w:rPr>
          <w:rFonts w:ascii="Times New Roman" w:hAnsi="Times New Roman" w:cs="Times New Roman"/>
          <w:sz w:val="21"/>
        </w:rPr>
        <w:t>10. Audit score equivalence and fallback count before reporting speedup.</w:t>
      </w:r>
    </w:p>
    <w:p>
      <w:pPr>
        <w:keepNext w:val="0"/>
        <w:spacing w:before="0" w:after="40" w:line="269" w:lineRule="auto"/>
        <w:ind w:hanging="312" w:left="312"/>
      </w:pPr>
      <w:r>
        <w:rPr>
          <w:rFonts w:ascii="Times New Roman" w:hAnsi="Times New Roman" w:cs="Times New Roman"/>
          <w:sz w:val="21"/>
        </w:rPr>
        <w:t>11. Separate system baselines from QCR ablations in all tables.</w:t>
      </w:r>
    </w:p>
    <w:p>
      <w:pPr>
        <w:keepNext w:val="0"/>
        <w:spacing w:before="0" w:after="40" w:line="269" w:lineRule="auto"/>
        <w:ind w:hanging="312" w:left="312"/>
      </w:pPr>
      <w:r>
        <w:rPr>
          <w:rFonts w:ascii="Times New Roman" w:hAnsi="Times New Roman" w:cs="Times New Roman"/>
          <w:sz w:val="21"/>
        </w:rPr>
        <w:t>12. Preserve logs, CSVs, JSON protocol files, and figure manifests in the artifact package.</w:t>
      </w:r>
    </w:p>
    <w:p>
      <w:r>
        <w:br w:type="page"/>
      </w:r>
    </w:p>
    <w:p>
      <w:pPr>
        <w:pStyle w:val="Heading1"/>
        <w:keepNext/>
        <w:spacing w:before="80" w:after="100" w:line="252" w:lineRule="auto"/>
      </w:pPr>
      <w:r>
        <w:rPr>
          <w:rFonts w:ascii="Arial" w:hAnsi="Arial" w:cs="Arial"/>
          <w:b/>
          <w:color w:val="1F4E79"/>
          <w:sz w:val="30"/>
        </w:rPr>
        <w:t>Appendix D. Full Qualitative Audit Grid</w:t>
      </w:r>
    </w:p>
    <w:p>
      <w:pPr>
        <w:keepNext w:val="0"/>
        <w:spacing w:before="80" w:after="40" w:line="240" w:lineRule="auto"/>
        <w:jc w:val="center"/>
      </w:pPr>
      <w:r>
        <w:drawing>
          <wp:inline xmlns:a="http://schemas.openxmlformats.org/drawingml/2006/main" xmlns:pic="http://schemas.openxmlformats.org/drawingml/2006/picture">
            <wp:extent cx="4389120" cy="7695991"/>
            <wp:docPr id="6" name="Picture 6" title="Figure A1. Eight-case gate behavior audit on MVTec AD." descr="Four rows: harmful VLM rejected, useful VLM missed, useful VLM accepted, harmful VLM accepted; two cases each."/>
            <wp:cNvGraphicFramePr>
              <a:graphicFrameLocks noChangeAspect="1"/>
            </wp:cNvGraphicFramePr>
            <a:graphic>
              <a:graphicData uri="http://schemas.openxmlformats.org/drawingml/2006/picture">
                <pic:pic>
                  <pic:nvPicPr>
                    <pic:cNvPr id="0" name="stage22_d7c_gate_behavior_grid.png"/>
                    <pic:cNvPicPr/>
                  </pic:nvPicPr>
                  <pic:blipFill>
                    <a:blip r:embed="rId16"/>
                    <a:stretch>
                      <a:fillRect/>
                    </a:stretch>
                  </pic:blipFill>
                  <pic:spPr>
                    <a:xfrm>
                      <a:off x="0" y="0"/>
                      <a:ext cx="4389120" cy="7695991"/>
                    </a:xfrm>
                    <a:prstGeom prst="rect"/>
                  </pic:spPr>
                </pic:pic>
              </a:graphicData>
            </a:graphic>
          </wp:inline>
        </w:drawing>
      </w:r>
    </w:p>
    <w:p>
      <w:pPr>
        <w:keepNext w:val="0"/>
        <w:spacing w:before="40" w:after="120" w:line="240" w:lineRule="auto"/>
        <w:jc w:val="center"/>
      </w:pPr>
      <w:r>
        <w:rPr>
          <w:rFonts w:ascii="Times New Roman" w:hAnsi="Times New Roman" w:cs="Times New Roman"/>
          <w:i/>
          <w:sz w:val="18"/>
        </w:rPr>
        <w:t>Figure A1. Eight-case gate behavior audit on MVTec AD.</w:t>
      </w:r>
    </w:p>
    <w:p>
      <w:pPr>
        <w:keepNext w:val="0"/>
        <w:spacing w:before="0" w:after="100" w:line="283" w:lineRule="auto"/>
        <w:ind w:firstLine="312"/>
      </w:pPr>
      <w:r>
        <w:rPr>
          <w:rFonts w:ascii="Times New Roman" w:hAnsi="Times New Roman" w:cs="Times New Roman"/>
          <w:sz w:val="21"/>
        </w:rPr>
        <w:t>This appendix figure is retained for auditing rather than used as the main-paper layout. Gate-off M values are retrospective full-inference values.</w:t>
      </w:r>
    </w:p>
    <w:p>
      <w:r>
        <w:br w:type="page"/>
      </w:r>
    </w:p>
    <w:p>
      <w:pPr>
        <w:pStyle w:val="Heading1"/>
        <w:keepNext/>
        <w:spacing w:before="80" w:after="100" w:line="252" w:lineRule="auto"/>
      </w:pPr>
      <w:r>
        <w:rPr>
          <w:rFonts w:ascii="Arial" w:hAnsi="Arial" w:cs="Arial"/>
          <w:b/>
          <w:color w:val="1F4E79"/>
          <w:sz w:val="30"/>
        </w:rPr>
        <w:t>Appendix E. Claim-Boundary Guide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shd w:fill="D9EAF7"/>
            <w:tcMar>
              <w:top w:w="80" w:type="dxa"/>
              <w:start w:w="80" w:type="dxa"/>
              <w:bottom w:w="80" w:type="dxa"/>
              <w:end w:w="80" w:type="dxa"/>
            </w:tcMar>
            <w:vAlign w:val="center"/>
          </w:tcPr>
          <w:p>
            <w:pPr>
              <w:jc w:val="center"/>
            </w:pPr>
            <w:r>
              <w:rPr>
                <w:rFonts w:ascii="Times New Roman" w:hAnsi="Times New Roman" w:cs="Times New Roman"/>
                <w:b/>
                <w:sz w:val="16"/>
              </w:rPr>
              <w:t>Topic</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Allowed wording</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Forbidden wording</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Detector comparison</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is non-inferior to PatchCore within the predeclared tolerance.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significantly beats PatchCore.</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Fusion comparison</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significantly outperforms naive fusion and old Quality-QCR on MVTec.</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is always the best fusion on every dataset.</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VLM baseline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Under the implemented AD2 protocol, the fair LOCO system exceeds official AnomalyCLIP execution.</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We comprehensively outperform AnomalyCLIP/CLIP methods.</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EfficientAD</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EfficientAD-30 is a fixed-budget baseline with sensitivity checks.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We fully defeat EfficientAD.</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Localization</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Detector localization supports candidate reasoning.</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We achieve pixel-level segmentation SOTA.</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Semantics</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VLM provides complementary anomaly evidence.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The system understands manufacturing causes.</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Runtime</w:t>
            </w:r>
          </w:p>
        </w:tc>
        <w:tc>
          <w:tcPr>
            <w:tcW w:type="dxa" w:w="3969"/>
            <w:tcMar>
              <w:top w:w="80" w:type="dxa"/>
              <w:start w:w="80" w:type="dxa"/>
              <w:bottom w:w="80" w:type="dxa"/>
              <w:end w:w="80" w:type="dxa"/>
            </w:tcMar>
            <w:vAlign w:val="center"/>
          </w:tcPr>
          <w:p>
            <w:r>
              <w:rPr>
                <w:sz w:val="17"/>
              </w:rPr>
              <w:t>MVTec: 24.99% fewer calls and 21.21% lower median time. AD2: 25.10% fewer calls, 18.95% lower median time, and 1.234× median speedup on the measured setup.</w:t>
            </w:r>
          </w:p>
        </w:tc>
        <w:tc>
          <w:tcPr>
            <w:tcW w:type="dxa" w:w="3969"/>
            <w:tcMar>
              <w:top w:w="80" w:type="dxa"/>
              <w:start w:w="80" w:type="dxa"/>
              <w:bottom w:w="80" w:type="dxa"/>
              <w:end w:w="80" w:type="dxa"/>
            </w:tcMar>
            <w:vAlign w:val="center"/>
          </w:tcPr>
          <w:p>
            <w:r>
              <w:rPr>
                <w:sz w:val="17"/>
              </w:rPr>
              <w:t>The same speedup or exact historical margin replay is guaranteed on all targets.</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Same-set</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Same-set is an upper-bound diagnostic.</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Same-set is the primary fair comparison.</w:t>
            </w:r>
          </w:p>
        </w:tc>
      </w:tr>
    </w:tbl>
    <w:p/>
    <w:p>
      <w:r>
        <w:br w:type="page"/>
      </w:r>
    </w:p>
    <w:p>
      <w:pPr>
        <w:pStyle w:val="Heading1"/>
        <w:keepNext/>
        <w:spacing w:before="80" w:after="100" w:line="252" w:lineRule="auto"/>
      </w:pPr>
      <w:r>
        <w:rPr>
          <w:rFonts w:ascii="Arial" w:hAnsi="Arial" w:cs="Arial"/>
          <w:b/>
          <w:color w:val="1F4E79"/>
          <w:sz w:val="30"/>
        </w:rPr>
        <w:t>Appendix F. Anticipated Reviewer Questions</w:t>
      </w:r>
    </w:p>
    <w:p>
      <w:pPr>
        <w:pStyle w:val="Heading2"/>
        <w:keepNext/>
        <w:spacing w:before="60" w:after="100" w:line="252" w:lineRule="auto"/>
      </w:pPr>
      <w:r>
        <w:rPr>
          <w:rFonts w:ascii="Arial" w:hAnsi="Arial" w:cs="Arial"/>
          <w:b/>
          <w:color w:val="1F4E79"/>
          <w:sz w:val="25"/>
        </w:rPr>
        <w:t>Why not simply use the detector?</w:t>
      </w:r>
    </w:p>
    <w:p>
      <w:pPr>
        <w:keepNext w:val="0"/>
        <w:spacing w:before="0" w:after="100" w:line="283" w:lineRule="auto"/>
        <w:ind w:firstLine="312"/>
      </w:pPr>
      <w:r>
        <w:rPr>
          <w:rFonts w:ascii="Times New Roman" w:hAnsi="Times New Roman" w:cs="Times New Roman"/>
          <w:sz w:val="21"/>
        </w:rPr>
        <w:t>The detector is the safest anchor; SRB adds semantic evidence only when it is reliable and reduces unnecessary VLM computation. The goal is bounded augmentation, not replacement.</w:t>
      </w:r>
    </w:p>
    <w:p>
      <w:pPr>
        <w:pStyle w:val="Heading2"/>
        <w:keepNext/>
        <w:spacing w:before="60" w:after="100" w:line="252" w:lineRule="auto"/>
      </w:pPr>
      <w:r>
        <w:rPr>
          <w:rFonts w:ascii="Arial" w:hAnsi="Arial" w:cs="Arial"/>
          <w:b/>
          <w:color w:val="1F4E79"/>
          <w:sz w:val="25"/>
        </w:rPr>
        <w:t>Why does SRB not beat the detector significantly?</w:t>
      </w:r>
    </w:p>
    <w:p>
      <w:pPr>
        <w:keepNext w:val="0"/>
        <w:spacing w:before="0" w:after="100" w:line="283" w:lineRule="auto"/>
        <w:ind w:firstLine="312"/>
      </w:pPr>
      <w:r>
        <w:rPr>
          <w:rFonts w:ascii="Times New Roman" w:hAnsi="Times New Roman" w:cs="Times New Roman"/>
          <w:sz w:val="21"/>
        </w:rPr>
        <w:t>The detector already reaches 0.988 macro AUROC. The predeclared objective is non-inferiority plus selective efficiency. The confidence interval supports that objective.</w:t>
      </w:r>
    </w:p>
    <w:p>
      <w:pPr>
        <w:pStyle w:val="Heading2"/>
        <w:keepNext/>
        <w:spacing w:before="60" w:after="100" w:line="252" w:lineRule="auto"/>
      </w:pPr>
      <w:r>
        <w:rPr>
          <w:rFonts w:ascii="Arial" w:hAnsi="Arial" w:cs="Arial"/>
          <w:b/>
          <w:color w:val="1F4E79"/>
          <w:sz w:val="25"/>
        </w:rPr>
        <w:t>Is Q tuned on MVTec labels?</w:t>
      </w:r>
    </w:p>
    <w:p>
      <w:pPr>
        <w:keepNext w:val="0"/>
        <w:spacing w:before="0" w:after="100" w:line="283" w:lineRule="auto"/>
        <w:ind w:firstLine="312"/>
      </w:pPr>
      <w:r>
        <w:rPr>
          <w:rFonts w:ascii="Times New Roman" w:hAnsi="Times New Roman" w:cs="Times New Roman"/>
          <w:sz w:val="21"/>
        </w:rPr>
        <w:t>No. The adapter and quantile rule are frozen before metrics; τq uses only unlabeled target quality values.</w:t>
      </w:r>
    </w:p>
    <w:p>
      <w:pPr>
        <w:pStyle w:val="Heading2"/>
        <w:keepNext/>
        <w:spacing w:before="60" w:after="100" w:line="252" w:lineRule="auto"/>
      </w:pPr>
      <w:r>
        <w:rPr>
          <w:rFonts w:ascii="Arial" w:hAnsi="Arial" w:cs="Arial"/>
          <w:b/>
          <w:color w:val="1F4E79"/>
          <w:sz w:val="25"/>
        </w:rPr>
        <w:t>Does gate-off require M?</w:t>
      </w:r>
    </w:p>
    <w:p>
      <w:pPr>
        <w:keepNext w:val="0"/>
        <w:spacing w:before="0" w:after="100" w:line="283" w:lineRule="auto"/>
        <w:ind w:firstLine="312"/>
      </w:pPr>
      <w:r>
        <w:rPr>
          <w:rFonts w:ascii="Times New Roman" w:hAnsi="Times New Roman" w:cs="Times New Roman"/>
          <w:sz w:val="21"/>
        </w:rPr>
        <w:t>No. The actual selective implementation computes the pre-gate from candidate availability and Q. Retrospective M is shown only in audits.</w:t>
      </w:r>
    </w:p>
    <w:p>
      <w:pPr>
        <w:pStyle w:val="Heading2"/>
        <w:keepNext/>
        <w:spacing w:before="60" w:after="100" w:line="252" w:lineRule="auto"/>
      </w:pPr>
      <w:r>
        <w:rPr>
          <w:rFonts w:ascii="Arial" w:hAnsi="Arial" w:cs="Arial"/>
          <w:b/>
          <w:color w:val="1F4E79"/>
          <w:sz w:val="25"/>
        </w:rPr>
        <w:t>Why is peak memory unchanged?</w:t>
      </w:r>
    </w:p>
    <w:p>
      <w:pPr>
        <w:keepNext w:val="0"/>
        <w:spacing w:before="0" w:after="100" w:line="283" w:lineRule="auto"/>
        <w:ind w:firstLine="312"/>
      </w:pPr>
      <w:r>
        <w:rPr>
          <w:rFonts w:ascii="Times New Roman" w:hAnsi="Times New Roman" w:cs="Times New Roman"/>
          <w:sz w:val="21"/>
        </w:rPr>
        <w:t>The same model and per-call batch are used. Selectivity reduces frequency, not the memory footprint of one CLIP call.</w:t>
      </w:r>
    </w:p>
    <w:p>
      <w:pPr>
        <w:pStyle w:val="Heading2"/>
        <w:keepNext/>
        <w:spacing w:before="60" w:after="100" w:line="252" w:lineRule="auto"/>
      </w:pPr>
      <w:r>
        <w:rPr>
          <w:rFonts w:ascii="Arial" w:hAnsi="Arial" w:cs="Arial"/>
          <w:b/>
          <w:color w:val="1F4E79"/>
          <w:sz w:val="25"/>
        </w:rPr>
        <w:t>Could a learned gate perform better?</w:t>
      </w:r>
    </w:p>
    <w:p>
      <w:pPr>
        <w:keepNext w:val="0"/>
        <w:spacing w:before="0" w:after="100" w:line="283" w:lineRule="auto"/>
        <w:ind w:firstLine="312"/>
      </w:pPr>
      <w:r>
        <w:rPr>
          <w:rFonts w:ascii="Times New Roman" w:hAnsi="Times New Roman" w:cs="Times New Roman"/>
          <w:sz w:val="21"/>
        </w:rPr>
        <w:t>Possibly, but it would introduce training and calibration risks. The present deterministic gate is transparent and supports frozen transfer; learned alternatives are future work.</w:t>
      </w:r>
    </w:p>
    <w:sectPr w:rsidR="00FC693F" w:rsidRPr="0006063C" w:rsidSect="00034616">
      <w:headerReference w:type="default" r:id="rId9"/>
      <w:footerReference w:type="default" r:id="rId10"/>
      <w:pgSz w:w="11906" w:h="16838"/>
      <w:pgMar w:top="1020"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color w:val="666666"/>
        <w:sz w:val="17"/>
      </w:rPr>
      <w:t>SRB-QCR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Reliability-Bounded Selective Vision-Language Reasoning for Industrial Anomaly Detection</dc:title>
  <dc:subject>Bilingual paper draft based on SRB-QCR experiments</dc:subject>
  <dc:creator>Anonymous Authors</dc:creator>
  <cp:keywords>industrial anomaly detection, vision-language model, selective inference, reliability, SRB-QCR</cp:keywords>
  <dc:description>generated by python-docx</dc:description>
  <cp:lastModifiedBy/>
  <cp:revision>1</cp:revision>
  <dcterms:created xsi:type="dcterms:W3CDTF">2013-12-23T23:15:00Z</dcterms:created>
  <dcterms:modified xsi:type="dcterms:W3CDTF">2013-12-23T23:15:00Z</dcterms:modified>
  <cp:category/>
</cp:coreProperties>
</file>