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用户可见的关键前端/模板文案已补做一轮中文收口，包括任务标题、完成提示、错误页与日志页</w:t>
      </w:r>
    </w:p>
    <w:p>
      <w:pPr>
        <w:pStyle w:val="ListBullet"/>
      </w:pPr>
      <w:r>
        <w:t>误混入仓库源码和文档的占位截断文本已清理，</w:t>
      </w:r>
      <w:r>
        <w:rPr>
          <w:rFonts w:ascii="Consolas" w:hAnsi="Consolas"/>
          <w:sz w:val="20"/>
        </w:rPr>
        <w:t>web/libs/editor/src/components/App/App.jsx</w:t>
      </w:r>
      <w:r>
        <w:t xml:space="preserve"> 已从 source map 还原后再汉化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1.1 本轮额外完成的界面与资产收口</w:t>
      </w:r>
    </w:p>
    <w:p>
      <w:r>
        <w:t>这轮 closeout 额外完成了两类容易在交付后继续制造噪音的问题清理：</w:t>
      </w:r>
    </w:p>
    <w:p>
      <w:pPr>
        <w:pStyle w:val="ListBullet"/>
      </w:pPr>
      <w:r>
        <w:t xml:space="preserve">把直接暴露给用户的英文文案再收了一轮，覆盖 </w:t>
      </w:r>
      <w:r>
        <w:rPr>
          <w:rFonts w:ascii="Consolas" w:hAnsi="Consolas"/>
          <w:sz w:val="20"/>
        </w:rPr>
        <w:t>web/libs/editor/src/components/App/App.jsx</w:t>
      </w:r>
      <w:r>
        <w:t>、</w:t>
      </w:r>
      <w:r>
        <w:rPr>
          <w:rFonts w:ascii="Consolas" w:hAnsi="Consolas"/>
          <w:sz w:val="20"/>
        </w:rPr>
        <w:t>web/libs/datamanager/src/components/App/App.jsx</w:t>
      </w:r>
      <w:r>
        <w:t xml:space="preserve"> 以及 </w:t>
      </w: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</w:p>
    <w:p>
      <w:pPr>
        <w:pStyle w:val="ListBullet"/>
      </w:pPr>
      <w:r>
        <w:t xml:space="preserve">把一批机械化改动的 </w:t>
      </w:r>
      <w:r>
        <w:rPr>
          <w:rFonts w:ascii="Consolas" w:hAnsi="Consolas"/>
          <w:sz w:val="20"/>
        </w:rPr>
        <w:t>label_studio/core/static_build/*.js</w:t>
      </w:r>
      <w:r>
        <w:t xml:space="preserve"> 编译产物全部退回基线，避免把无明确业务价值的产物改动混进 English-study 交付范围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 xml:space="preserve"> 继续保留为仓库内中文操作说明，但口径已改回 English-study；</w:t>
      </w:r>
      <w:r>
        <w:rPr>
          <w:rFonts w:ascii="Consolas" w:hAnsi="Consolas"/>
          <w:sz w:val="20"/>
        </w:rPr>
        <w:t>roadmap.md</w:t>
      </w:r>
      <w:r>
        <w:t xml:space="preserve"> 则仅作为上游历史参考，不作为当前交付承诺的一部分</w:t>
      </w:r>
    </w:p>
    <w:p>
      <w:r>
        <w:t xml:space="preserve">其中 </w:t>
      </w:r>
      <w:r>
        <w:rPr>
          <w:rFonts w:ascii="Consolas" w:hAnsi="Consolas"/>
          <w:sz w:val="20"/>
        </w:rPr>
        <w:t>docker-compose.yml</w:t>
      </w:r>
      <w:r>
        <w:t xml:space="preserve"> 里新增的 </w:t>
      </w:r>
      <w:r>
        <w:rPr>
          <w:rFonts w:ascii="Consolas" w:hAnsi="Consolas"/>
          <w:sz w:val="20"/>
        </w:rPr>
        <w:t>PLAYWRIGHT_BROWSERS_PATH</w:t>
      </w:r>
      <w:r>
        <w:t xml:space="preserve"> 透传暂时不并入 English-study 交付结论：它是 OpenClaw 全局运行时配置，且默认空值，不设环境变量时不会启用。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>审视这批上游补回文件的实际保留范围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单独决定是否保留根目录 </w:t>
      </w:r>
      <w:r>
        <w:rPr>
          <w:rFonts w:ascii="Consolas" w:hAnsi="Consolas"/>
          <w:sz w:val="20"/>
        </w:rPr>
        <w:t>docker-compose.yml</w:t>
      </w:r>
      <w:r>
        <w:t xml:space="preserve"> 里的 </w:t>
      </w:r>
      <w:r>
        <w:rPr>
          <w:rFonts w:ascii="Consolas" w:hAnsi="Consolas"/>
          <w:sz w:val="20"/>
        </w:rPr>
        <w:t>PLAYWRIGHT_BROWSERS_PATH</w:t>
      </w:r>
      <w:r>
        <w:t xml:space="preserve"> 可选透传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