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English-study 部署手册</w:t>
      </w:r>
    </w:p>
    <w:p>
      <w:pPr>
        <w:pStyle w:val="Heading2"/>
      </w:pPr>
      <w:r>
        <w:t>1. 文档目的</w:t>
      </w:r>
    </w:p>
    <w:p>
      <w:r>
        <w:t>本文档说明 English-study 当前仓库形态下的建议部署方式、关键配置项、启动入口和最小验收步骤。</w:t>
      </w:r>
    </w:p>
    <w:p>
      <w:pPr>
        <w:pStyle w:val="Heading2"/>
      </w:pPr>
      <w:r>
        <w:t>2. 适用范围</w:t>
      </w:r>
    </w:p>
    <w:p>
      <w:r>
        <w:t>适用于当前源码仓库：</w:t>
      </w:r>
    </w:p>
    <w:p>
      <w:pPr>
        <w:pStyle w:val="ListBullet"/>
      </w:pPr>
      <w:r>
        <w:rPr>
          <w:rFonts w:ascii="Consolas" w:hAnsi="Consolas"/>
          <w:sz w:val="20"/>
        </w:rPr>
        <w:t>projects/english-study/repo</w:t>
      </w:r>
    </w:p>
    <w:p>
      <w:r>
        <w:t>当前版本更适合“源码运行与继续开发”，不适合作为已经固化的正式安装包或官方镜像直接交付。</w:t>
      </w:r>
    </w:p>
    <w:p>
      <w:pPr>
        <w:pStyle w:val="Heading2"/>
      </w:pPr>
      <w:r>
        <w:t>3. 部署前提</w:t>
      </w:r>
    </w:p>
    <w:p>
      <w:pPr>
        <w:pStyle w:val="Heading3"/>
      </w:pPr>
      <w:r>
        <w:t>3.1 基础环境</w:t>
      </w:r>
    </w:p>
    <w:p>
      <w:r>
        <w:t>建议准备：</w:t>
      </w:r>
    </w:p>
    <w:p>
      <w:pPr>
        <w:pStyle w:val="ListBullet"/>
      </w:pPr>
      <w:r>
        <w:t>Python 3.8+</w:t>
      </w:r>
    </w:p>
    <w:p>
      <w:pPr>
        <w:pStyle w:val="ListBullet"/>
      </w:pPr>
      <w:r>
        <w:t>Poetry</w:t>
      </w:r>
    </w:p>
    <w:p>
      <w:pPr>
        <w:pStyle w:val="ListBullet"/>
      </w:pPr>
      <w:r>
        <w:t>可用数据库（SQLite / PostgreSQL / MySQL 其一）</w:t>
      </w:r>
    </w:p>
    <w:p>
      <w:pPr>
        <w:pStyle w:val="ListBullet"/>
      </w:pPr>
      <w:r>
        <w:t>Linux 开发或测试环境</w:t>
      </w:r>
    </w:p>
    <w:p>
      <w:pPr>
        <w:pStyle w:val="Heading3"/>
      </w:pPr>
      <w:r>
        <w:t>3.2 当前已知限制</w:t>
      </w:r>
    </w:p>
    <w:p>
      <w:r>
        <w:t>在部署前，需要注意：</w:t>
      </w:r>
    </w:p>
    <w:p>
      <w:pPr>
        <w:pStyle w:val="ListBullet"/>
      </w:pPr>
      <w:r>
        <w:t>当前仓库曾存在严重缺失和占位文本污染，本轮已补回启动所需关键文件并完成本地启动验证</w:t>
      </w:r>
    </w:p>
    <w:p>
      <w:pPr>
        <w:pStyle w:val="ListBullet"/>
      </w:pPr>
      <w:r>
        <w:t>Playwright 冒烟在当前环境下依赖工作区本地浏览器目录和用户态共享库，不是系统级长期部署方案</w:t>
      </w:r>
    </w:p>
    <w:p>
      <w:pPr>
        <w:pStyle w:val="ListBullet"/>
      </w:pPr>
      <w:r>
        <w:t xml:space="preserve">交付文档当前同时提供 Markdown 与本地导出的 Word 版本，Word 导出依赖 </w:t>
      </w:r>
      <w:r>
        <w:rPr>
          <w:rFonts w:ascii="Consolas" w:hAnsi="Consolas"/>
          <w:sz w:val="20"/>
        </w:rPr>
        <w:t>projects/english-study/tools/export_delivery_docs.py</w:t>
      </w:r>
      <w:r>
        <w:t xml:space="preserve"> 和工作区 </w:t>
      </w:r>
      <w:r>
        <w:rPr>
          <w:rFonts w:ascii="Consolas" w:hAnsi="Consolas"/>
          <w:sz w:val="20"/>
        </w:rPr>
        <w:t>doc-tools</w:t>
      </w:r>
      <w:r>
        <w:t xml:space="preserve"> venv</w:t>
      </w:r>
    </w:p>
    <w:p>
      <w:pPr>
        <w:pStyle w:val="ListBullet"/>
      </w:pPr>
      <w:r>
        <w:t>如需正式环境部署，建议先把当前补回的官方文件与 English-study 定制差异再次梳理清楚</w:t>
      </w:r>
    </w:p>
    <w:p>
      <w:pPr>
        <w:pStyle w:val="Heading2"/>
      </w:pPr>
      <w:r>
        <w:t>4. 目录说明</w:t>
      </w:r>
    </w:p>
    <w:p>
      <w:pPr>
        <w:pStyle w:val="ListBullet"/>
      </w:pPr>
      <w:r>
        <w:rPr>
          <w:rFonts w:ascii="Consolas" w:hAnsi="Consolas"/>
          <w:sz w:val="20"/>
        </w:rPr>
        <w:t>label_studio/manage.py</w:t>
      </w:r>
      <w:r>
        <w:t>：Django 管理入口</w:t>
      </w:r>
    </w:p>
    <w:p>
      <w:pPr>
        <w:pStyle w:val="ListBullet"/>
      </w:pPr>
      <w:r>
        <w:rPr>
          <w:rFonts w:ascii="Consolas" w:hAnsi="Consolas"/>
          <w:sz w:val="20"/>
        </w:rPr>
        <w:t>label_studio/server.py</w:t>
      </w:r>
      <w:r>
        <w:t>：CLI/服务入口</w:t>
      </w:r>
    </w:p>
    <w:p>
      <w:pPr>
        <w:pStyle w:val="ListBullet"/>
      </w:pPr>
      <w:r>
        <w:rPr>
          <w:rFonts w:ascii="Consolas" w:hAnsi="Consolas"/>
          <w:sz w:val="20"/>
        </w:rPr>
        <w:t>label_studio/core/settings/base.py</w:t>
      </w:r>
      <w:r>
        <w:t>：基础配置</w:t>
      </w:r>
    </w:p>
    <w:p>
      <w:pPr>
        <w:pStyle w:val="ListBullet"/>
      </w:pPr>
      <w:r>
        <w:rPr>
          <w:rFonts w:ascii="Consolas" w:hAnsi="Consolas"/>
          <w:sz w:val="20"/>
        </w:rPr>
        <w:t>pyproject.toml</w:t>
      </w:r>
      <w:r>
        <w:t>：依赖与脚本入口</w:t>
      </w:r>
    </w:p>
    <w:p>
      <w:pPr>
        <w:pStyle w:val="ListBullet"/>
      </w:pPr>
      <w:r>
        <w:rPr>
          <w:rFonts w:ascii="Consolas" w:hAnsi="Consolas"/>
          <w:sz w:val="20"/>
        </w:rPr>
        <w:t>README.md</w:t>
      </w:r>
      <w:r>
        <w:t>：本地仓库定位说明</w:t>
      </w:r>
    </w:p>
    <w:p>
      <w:pPr>
        <w:pStyle w:val="Heading2"/>
      </w:pPr>
      <w:r>
        <w:t>5. 安装步骤</w:t>
      </w:r>
    </w:p>
    <w:p>
      <w:pPr>
        <w:pStyle w:val="Heading3"/>
      </w:pPr>
      <w:r>
        <w:t>5.1 安装依赖</w:t>
      </w:r>
    </w:p>
    <w:p>
      <w:r>
        <w:rPr>
          <w:rFonts w:ascii="Consolas" w:hAnsi="Consolas"/>
          <w:sz w:val="18"/>
        </w:rPr>
        <w:t>cd projects/english-study/repo</w:t>
        <w:br/>
      </w:r>
    </w:p>
    <w:p>
      <w:r>
        <w:rPr>
          <w:rFonts w:ascii="Consolas" w:hAnsi="Consolas"/>
          <w:sz w:val="18"/>
        </w:rPr>
        <w:t>pip install poetry</w:t>
        <w:br/>
      </w:r>
    </w:p>
    <w:p>
      <w:r>
        <w:rPr>
          <w:rFonts w:ascii="Consolas" w:hAnsi="Consolas"/>
          <w:sz w:val="18"/>
        </w:rPr>
        <w:t>poetry install</w:t>
      </w:r>
    </w:p>
    <w:p>
      <w:pPr>
        <w:pStyle w:val="Heading3"/>
      </w:pPr>
      <w:r>
        <w:t>5.2 初始化数据库</w:t>
      </w:r>
    </w:p>
    <w:p>
      <w:r>
        <w:rPr>
          <w:rFonts w:ascii="Consolas" w:hAnsi="Consolas"/>
          <w:sz w:val="18"/>
        </w:rPr>
        <w:t>python label_studio/manage.py migrate</w:t>
      </w:r>
    </w:p>
    <w:p>
      <w:pPr>
        <w:pStyle w:val="Heading3"/>
      </w:pPr>
      <w:r>
        <w:t>5.3 收集静态资源</w:t>
      </w:r>
    </w:p>
    <w:p>
      <w:r>
        <w:rPr>
          <w:rFonts w:ascii="Consolas" w:hAnsi="Consolas"/>
          <w:sz w:val="18"/>
        </w:rPr>
        <w:t>python label_studio/manage.py collectstatic</w:t>
      </w:r>
    </w:p>
    <w:p>
      <w:pPr>
        <w:pStyle w:val="Heading3"/>
      </w:pPr>
      <w:r>
        <w:t>5.4 启动服务</w:t>
      </w:r>
    </w:p>
    <w:p>
      <w:r>
        <w:rPr>
          <w:rFonts w:ascii="Consolas" w:hAnsi="Consolas"/>
          <w:sz w:val="18"/>
        </w:rPr>
        <w:t>python label_studio/manage.py runserver</w:t>
      </w:r>
    </w:p>
    <w:p>
      <w:r>
        <w:t>或使用脚本入口：</w:t>
      </w:r>
    </w:p>
    <w:p>
      <w:r>
        <w:rPr>
          <w:rFonts w:ascii="Consolas" w:hAnsi="Consolas"/>
          <w:sz w:val="18"/>
        </w:rPr>
        <w:t>label-studio</w:t>
      </w:r>
    </w:p>
    <w:p>
      <w:pPr>
        <w:pStyle w:val="Heading2"/>
      </w:pPr>
      <w:r>
        <w:t>6. 关键配置项</w:t>
      </w:r>
    </w:p>
    <w:p>
      <w:r>
        <w:t xml:space="preserve">根据 </w:t>
      </w:r>
      <w:r>
        <w:rPr>
          <w:rFonts w:ascii="Consolas" w:hAnsi="Consolas"/>
          <w:sz w:val="20"/>
        </w:rPr>
        <w:t>label_studio/core/settings/base.py</w:t>
      </w:r>
      <w:r>
        <w:t>，部署中优先核对以下变量：</w:t>
      </w:r>
    </w:p>
    <w:p>
      <w:pPr>
        <w:pStyle w:val="Heading3"/>
      </w:pPr>
      <w:r>
        <w:t>6.1 地址与调试</w:t>
      </w:r>
    </w:p>
    <w:p>
      <w:pPr>
        <w:pStyle w:val="ListBullet"/>
      </w:pPr>
      <w:r>
        <w:rPr>
          <w:rFonts w:ascii="Consolas" w:hAnsi="Consolas"/>
          <w:sz w:val="20"/>
        </w:rPr>
        <w:t>HOST</w:t>
      </w:r>
    </w:p>
    <w:p>
      <w:pPr>
        <w:pStyle w:val="ListBullet"/>
      </w:pPr>
      <w:r>
        <w:rPr>
          <w:rFonts w:ascii="Consolas" w:hAnsi="Consolas"/>
          <w:sz w:val="20"/>
        </w:rPr>
        <w:t>DEBUG</w:t>
      </w:r>
    </w:p>
    <w:p>
      <w:pPr>
        <w:pStyle w:val="Heading3"/>
      </w:pPr>
      <w:r>
        <w:t>6.2 数据目录</w:t>
      </w:r>
    </w:p>
    <w:p>
      <w:pPr>
        <w:pStyle w:val="ListBullet"/>
      </w:pPr>
      <w:r>
        <w:rPr>
          <w:rFonts w:ascii="Consolas" w:hAnsi="Consolas"/>
          <w:sz w:val="20"/>
        </w:rPr>
        <w:t>BASE_DATA_DIR</w:t>
      </w:r>
    </w:p>
    <w:p>
      <w:r>
        <w:t>若未指定，则系统会使用默认运行数据目录。</w:t>
      </w:r>
    </w:p>
    <w:p>
      <w:pPr>
        <w:pStyle w:val="Heading3"/>
      </w:pPr>
      <w:r>
        <w:t>6.3 数据库</w:t>
      </w:r>
    </w:p>
    <w:p>
      <w:r>
        <w:t>可选数据库包括：</w:t>
      </w:r>
    </w:p>
    <w:p>
      <w:pPr>
        <w:pStyle w:val="ListBullet"/>
      </w:pPr>
      <w:r>
        <w:t>SQLite</w:t>
      </w:r>
    </w:p>
    <w:p>
      <w:pPr>
        <w:pStyle w:val="ListBullet"/>
      </w:pPr>
      <w:r>
        <w:t>PostgreSQL</w:t>
      </w:r>
    </w:p>
    <w:p>
      <w:pPr>
        <w:pStyle w:val="ListBullet"/>
      </w:pPr>
      <w:r>
        <w:t>MySQL</w:t>
      </w:r>
    </w:p>
    <w:p>
      <w:r>
        <w:t>相关环境变量包括：</w:t>
      </w:r>
    </w:p>
    <w:p>
      <w:pPr>
        <w:pStyle w:val="ListBullet"/>
      </w:pPr>
      <w:r>
        <w:rPr>
          <w:rFonts w:ascii="Consolas" w:hAnsi="Consolas"/>
          <w:sz w:val="20"/>
        </w:rPr>
        <w:t>DJANGO_DB</w:t>
      </w:r>
    </w:p>
    <w:p>
      <w:pPr>
        <w:pStyle w:val="ListBullet"/>
      </w:pPr>
      <w:r>
        <w:rPr>
          <w:rFonts w:ascii="Consolas" w:hAnsi="Consolas"/>
          <w:sz w:val="20"/>
        </w:rPr>
        <w:t>POSTGRE_USER</w:t>
      </w:r>
    </w:p>
    <w:p>
      <w:pPr>
        <w:pStyle w:val="ListBullet"/>
      </w:pPr>
      <w:r>
        <w:rPr>
          <w:rFonts w:ascii="Consolas" w:hAnsi="Consolas"/>
          <w:sz w:val="20"/>
        </w:rPr>
        <w:t>POSTGRE_PASSWORD</w:t>
      </w:r>
    </w:p>
    <w:p>
      <w:pPr>
        <w:pStyle w:val="ListBullet"/>
      </w:pPr>
      <w:r>
        <w:rPr>
          <w:rFonts w:ascii="Consolas" w:hAnsi="Consolas"/>
          <w:sz w:val="20"/>
        </w:rPr>
        <w:t>POSTGRE_NAME</w:t>
      </w:r>
    </w:p>
    <w:p>
      <w:pPr>
        <w:pStyle w:val="ListBullet"/>
      </w:pPr>
      <w:r>
        <w:rPr>
          <w:rFonts w:ascii="Consolas" w:hAnsi="Consolas"/>
          <w:sz w:val="20"/>
        </w:rPr>
        <w:t>POSTGRE_HOST</w:t>
      </w:r>
    </w:p>
    <w:p>
      <w:pPr>
        <w:pStyle w:val="ListBullet"/>
      </w:pPr>
      <w:r>
        <w:rPr>
          <w:rFonts w:ascii="Consolas" w:hAnsi="Consolas"/>
          <w:sz w:val="20"/>
        </w:rPr>
        <w:t>POSTGRE_PORT</w:t>
      </w:r>
    </w:p>
    <w:p>
      <w:pPr>
        <w:pStyle w:val="ListBullet"/>
      </w:pPr>
      <w:r>
        <w:rPr>
          <w:rFonts w:ascii="Consolas" w:hAnsi="Consolas"/>
          <w:sz w:val="20"/>
        </w:rPr>
        <w:t>MYSQL_USER</w:t>
      </w:r>
    </w:p>
    <w:p>
      <w:pPr>
        <w:pStyle w:val="ListBullet"/>
      </w:pPr>
      <w:r>
        <w:rPr>
          <w:rFonts w:ascii="Consolas" w:hAnsi="Consolas"/>
          <w:sz w:val="20"/>
        </w:rPr>
        <w:t>MYSQL_PASSWORD</w:t>
      </w:r>
    </w:p>
    <w:p>
      <w:pPr>
        <w:pStyle w:val="ListBullet"/>
      </w:pPr>
      <w:r>
        <w:rPr>
          <w:rFonts w:ascii="Consolas" w:hAnsi="Consolas"/>
          <w:sz w:val="20"/>
        </w:rPr>
        <w:t>MYSQL_NAME</w:t>
      </w:r>
    </w:p>
    <w:p>
      <w:pPr>
        <w:pStyle w:val="ListBullet"/>
      </w:pPr>
      <w:r>
        <w:rPr>
          <w:rFonts w:ascii="Consolas" w:hAnsi="Consolas"/>
          <w:sz w:val="20"/>
        </w:rPr>
        <w:t>MYSQL_HOST</w:t>
      </w:r>
    </w:p>
    <w:p>
      <w:pPr>
        <w:pStyle w:val="ListBullet"/>
      </w:pPr>
      <w:r>
        <w:rPr>
          <w:rFonts w:ascii="Consolas" w:hAnsi="Consolas"/>
          <w:sz w:val="20"/>
        </w:rPr>
        <w:t>MYSQL_PORT</w:t>
      </w:r>
    </w:p>
    <w:p>
      <w:pPr>
        <w:pStyle w:val="Heading2"/>
      </w:pPr>
      <w:r>
        <w:t>7. 默认行为</w:t>
      </w:r>
    </w:p>
    <w:p>
      <w:pPr>
        <w:pStyle w:val="ListBullet"/>
      </w:pPr>
      <w:r>
        <w:t>默认内部端口：</w:t>
      </w:r>
      <w:r>
        <w:rPr>
          <w:rFonts w:ascii="Consolas" w:hAnsi="Consolas"/>
          <w:sz w:val="20"/>
        </w:rPr>
        <w:t>8080</w:t>
      </w:r>
    </w:p>
    <w:p>
      <w:pPr>
        <w:pStyle w:val="ListBullet"/>
      </w:pPr>
      <w:r>
        <w:t>默认数据目录：运行时自动生成</w:t>
      </w:r>
    </w:p>
    <w:p>
      <w:pPr>
        <w:pStyle w:val="ListBullet"/>
      </w:pPr>
      <w:r>
        <w:t>默认数据库策略：按环境变量决定，代码中保留 SQLite / PostgreSQL / MySQL 支持</w:t>
      </w:r>
    </w:p>
    <w:p>
      <w:pPr>
        <w:pStyle w:val="Heading2"/>
      </w:pPr>
      <w:r>
        <w:t>8. 最小验收步骤</w:t>
      </w:r>
    </w:p>
    <w:p>
      <w:r>
        <w:t>在源码问题修复后，建议按以下顺序验收：</w:t>
      </w:r>
    </w:p>
    <w:p>
      <w:pPr>
        <w:pStyle w:val="ListNumber"/>
      </w:pPr>
      <w:r>
        <w:t xml:space="preserve">执行 </w:t>
      </w:r>
      <w:r>
        <w:rPr>
          <w:rFonts w:ascii="Consolas" w:hAnsi="Consolas"/>
          <w:sz w:val="20"/>
        </w:rPr>
        <w:t>python3 -m py_compile</w:t>
      </w:r>
      <w:r>
        <w:t xml:space="preserve"> 检查核心入口文件</w:t>
      </w:r>
    </w:p>
    <w:p>
      <w:pPr>
        <w:pStyle w:val="ListNumber"/>
      </w:pPr>
      <w:r>
        <w:t>执行数据库迁移</w:t>
      </w:r>
    </w:p>
    <w:p>
      <w:pPr>
        <w:pStyle w:val="ListNumber"/>
      </w:pPr>
      <w:r>
        <w:t>启动 Django 服务</w:t>
      </w:r>
    </w:p>
    <w:p>
      <w:pPr>
        <w:pStyle w:val="ListNumber"/>
      </w:pPr>
      <w:r>
        <w:t>浏览器访问首页</w:t>
      </w:r>
    </w:p>
    <w:p>
      <w:pPr>
        <w:pStyle w:val="ListNumber"/>
      </w:pPr>
      <w:r>
        <w:t>创建测试项目</w:t>
      </w:r>
    </w:p>
    <w:p>
      <w:pPr>
        <w:pStyle w:val="ListNumber"/>
      </w:pPr>
      <w:r>
        <w:t>检查模型连接入口是否存在</w:t>
      </w:r>
    </w:p>
    <w:p>
      <w:pPr>
        <w:pStyle w:val="ListNumber"/>
      </w:pPr>
      <w:r>
        <w:t>导入一批测试任务</w:t>
      </w:r>
    </w:p>
    <w:p>
      <w:pPr>
        <w:pStyle w:val="ListNumber"/>
      </w:pPr>
      <w:r>
        <w:t>完成一条标注并尝试导出结果</w:t>
      </w:r>
    </w:p>
    <w:p>
      <w:pPr>
        <w:pStyle w:val="Heading2"/>
      </w:pPr>
      <w:r>
        <w:t>9. 浏览器冒烟建议</w:t>
      </w:r>
    </w:p>
    <w:p>
      <w:r>
        <w:t>修复源码问题后，建议补一个简单 Playwright 冒烟，覆盖：</w:t>
      </w:r>
    </w:p>
    <w:p>
      <w:pPr>
        <w:pStyle w:val="ListBullet"/>
      </w:pPr>
      <w:r>
        <w:t>首页可打开</w:t>
      </w:r>
    </w:p>
    <w:p>
      <w:pPr>
        <w:pStyle w:val="ListBullet"/>
      </w:pPr>
      <w:r>
        <w:t>核心静态资源正常返回</w:t>
      </w:r>
    </w:p>
    <w:p>
      <w:pPr>
        <w:pStyle w:val="ListBullet"/>
      </w:pPr>
      <w:r>
        <w:t>登录页或项目列表页可见</w:t>
      </w:r>
    </w:p>
    <w:p>
      <w:pPr>
        <w:pStyle w:val="ListBullet"/>
      </w:pPr>
      <w:r>
        <w:t>无首屏致命报错</w:t>
      </w:r>
    </w:p>
    <w:p>
      <w:pPr>
        <w:pStyle w:val="Heading2"/>
      </w:pPr>
      <w:r>
        <w:t>10. 文档交付包</w:t>
      </w:r>
    </w:p>
    <w:p>
      <w:r>
        <w:t>当前交付文档目录包括：</w:t>
      </w:r>
    </w:p>
    <w:p>
      <w:pPr>
        <w:pStyle w:val="ListBullet"/>
      </w:pPr>
      <w:r>
        <w:t>Markdown 原稿：</w:t>
      </w:r>
      <w:r>
        <w:rPr>
          <w:rFonts w:ascii="Consolas" w:hAnsi="Consolas"/>
          <w:sz w:val="20"/>
        </w:rPr>
        <w:t>projects/english-study/delivery/*.md</w:t>
      </w:r>
    </w:p>
    <w:p>
      <w:pPr>
        <w:pStyle w:val="ListBullet"/>
      </w:pPr>
      <w:r>
        <w:t>Word 导出：</w:t>
      </w:r>
      <w:r>
        <w:rPr>
          <w:rFonts w:ascii="Consolas" w:hAnsi="Consolas"/>
          <w:sz w:val="20"/>
        </w:rPr>
        <w:t>projects/english-study/delivery/docx/*.docx</w:t>
      </w:r>
    </w:p>
    <w:p>
      <w:pPr>
        <w:pStyle w:val="ListBullet"/>
      </w:pPr>
      <w:r>
        <w:t>导出脚本：</w:t>
      </w:r>
      <w:r>
        <w:rPr>
          <w:rFonts w:ascii="Consolas" w:hAnsi="Consolas"/>
          <w:sz w:val="20"/>
        </w:rPr>
        <w:t>projects/english-study/tools/export_delivery_docs.py</w:t>
      </w:r>
    </w:p>
    <w:p>
      <w:r>
        <w:t>如 Markdown 有更新，可执行：</w:t>
      </w:r>
    </w:p>
    <w:p>
      <w:r>
        <w:rPr>
          <w:rFonts w:ascii="Consolas" w:hAnsi="Consolas"/>
          <w:sz w:val="18"/>
        </w:rPr>
        <w:t>/home/gaga/openclaw/var/workspace/.venvs/doc-tools/bin/python \</w:t>
        <w:br/>
      </w:r>
    </w:p>
    <w:p>
      <w:r>
        <w:rPr>
          <w:rFonts w:ascii="Consolas" w:hAnsi="Consolas"/>
          <w:sz w:val="18"/>
        </w:rPr>
        <w:t xml:space="preserve">  projects/english-study/tools/export_delivery_docs.py</w:t>
      </w:r>
    </w:p>
    <w:p>
      <w:r>
        <w:t>导出后建议抽查：</w:t>
      </w:r>
    </w:p>
    <w:p>
      <w:pPr>
        <w:pStyle w:val="ListNumber"/>
      </w:pPr>
      <w:r>
        <w:t>表格列是否对齐</w:t>
      </w:r>
    </w:p>
    <w:p>
      <w:pPr>
        <w:pStyle w:val="ListNumber"/>
      </w:pPr>
      <w:r>
        <w:t>代码块是否保持可读</w:t>
      </w:r>
    </w:p>
    <w:p>
      <w:pPr>
        <w:pStyle w:val="ListNumber"/>
      </w:pPr>
      <w:r>
        <w:t>中文标题层级是否正常</w:t>
      </w:r>
    </w:p>
    <w:p>
      <w:pPr>
        <w:pStyle w:val="Heading2"/>
      </w:pPr>
      <w:r>
        <w:t>11. 回滚建议</w:t>
      </w:r>
    </w:p>
    <w:p>
      <w:r>
        <w:t>部署前务必保留可回滚 git 版本。建议至少保留两类提交点：</w:t>
      </w:r>
    </w:p>
    <w:p>
      <w:pPr>
        <w:pStyle w:val="ListBullet"/>
      </w:pPr>
      <w:r>
        <w:t>文档与基线整理版</w:t>
      </w:r>
    </w:p>
    <w:p>
      <w:pPr>
        <w:pStyle w:val="ListBullet"/>
      </w:pPr>
      <w:r>
        <w:t>源码修复与冒烟验证通过版</w:t>
      </w:r>
    </w:p>
    <w:p>
      <w:pPr>
        <w:pStyle w:val="Heading2"/>
      </w:pPr>
      <w:r>
        <w:t>12. 当前结论</w:t>
      </w:r>
    </w:p>
    <w:p>
      <w:r>
        <w:t>当前部署手册已经可以作为本地验证和继续修复的操作基线。本轮已完成语法修复、数据库迁移、本地启动、最小 Playwright 冒烟，以及交付文档的本地 Word 导出；如果要用于正式环境部署，仍建议先收敛官方补回文件与 English-study 定制之间的差异。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