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光大银行普惠金融业务月度经营分析报告"/>
    <w:p>
      <w:pPr>
        <w:pStyle w:val="Heading1"/>
      </w:pPr>
      <w:r>
        <w:rPr>
          <w:rFonts w:hint="eastAsia"/>
        </w:rPr>
        <w:t xml:space="preserve">光大银行普惠金融业务月度经营分析报告</w:t>
      </w:r>
    </w:p>
    <w:bookmarkStart w:id="9" w:name="一报告基本信息"/>
    <w:p>
      <w:pPr>
        <w:pStyle w:val="Heading2"/>
      </w:pPr>
      <w:r>
        <w:rPr>
          <w:rFonts w:hint="eastAsia"/>
        </w:rPr>
        <w:t xml:space="preserve">一、报告基本信息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公司金融经营报告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2024年12月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  <w:r>
              <w:t xml:space="preserve">2026/5/21</w:t>
            </w:r>
          </w:p>
        </w:tc>
      </w:tr>
    </w:tbl>
    <w:bookmarkEnd w:id="9"/>
    <w:bookmarkStart w:id="12" w:name="二核心业务指标"/>
    <w:p>
      <w:pPr>
        <w:pStyle w:val="Heading2"/>
      </w:pPr>
      <w:r>
        <w:rPr>
          <w:rFonts w:hint="eastAsia"/>
        </w:rPr>
        <w:t xml:space="preserve">二、核心业务指标</w:t>
      </w:r>
    </w:p>
    <w:bookmarkStart w:id="10" w:name="普惠金融贷款余额"/>
    <w:p>
      <w:pPr>
        <w:pStyle w:val="Heading3"/>
      </w:pPr>
      <w:r>
        <w:t xml:space="preserve">2.1 </w:t>
      </w:r>
      <w:r>
        <w:rPr>
          <w:rFonts w:hint="eastAsia"/>
        </w:rPr>
        <w:t xml:space="preserve">普惠金融贷款余额</w:t>
      </w:r>
    </w:p>
    <w:p>
      <w:pPr>
        <w:pStyle w:val="FirstParagraph"/>
      </w:pPr>
      <w:r>
        <w:rPr>
          <w:rFonts w:hint="eastAsia"/>
          <w:b/>
          <w:bCs/>
        </w:rPr>
        <w:t xml:space="preserve">单位：亿元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期末余额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较上月变化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普惠金融贷款余额</w:t>
            </w:r>
          </w:p>
        </w:tc>
        <w:tc>
          <w:tcPr/>
          <w:p>
            <w:pPr>
              <w:pStyle w:val="Compact"/>
            </w:pPr>
            <w:r>
              <w:t xml:space="preserve">1,256.80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+18.3%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对公贷款余额</w:t>
            </w:r>
          </w:p>
        </w:tc>
        <w:tc>
          <w:tcPr/>
          <w:p>
            <w:pPr>
              <w:pStyle w:val="Compact"/>
            </w:pPr>
            <w:r>
              <w:t xml:space="preserve">2,345.60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+12.5%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制造业贷款余额</w:t>
            </w:r>
          </w:p>
        </w:tc>
        <w:tc>
          <w:tcPr/>
          <w:p>
            <w:pPr>
              <w:pStyle w:val="Compact"/>
            </w:pPr>
            <w:r>
              <w:t xml:space="preserve">890.50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  <w:tc>
          <w:tcPr/>
          <w:p>
            <w:pPr>
              <w:pStyle w:val="Compact"/>
            </w:pPr>
            <w:r>
              <w:t xml:space="preserve">+15.2%</w:t>
            </w:r>
          </w:p>
        </w:tc>
      </w:tr>
    </w:tbl>
    <w:bookmarkEnd w:id="10"/>
    <w:bookmarkStart w:id="11" w:name="客户数量分析"/>
    <w:p>
      <w:pPr>
        <w:pStyle w:val="Heading3"/>
      </w:pPr>
      <w:r>
        <w:t xml:space="preserve">2.2 </w:t>
      </w:r>
      <w:r>
        <w:rPr>
          <w:rFonts w:hint="eastAsia"/>
        </w:rPr>
        <w:t xml:space="preserve">客户数量分析</w:t>
      </w:r>
    </w:p>
    <w:p>
      <w:pPr>
        <w:pStyle w:val="FirstParagraph"/>
      </w:pPr>
      <w:r>
        <w:rPr>
          <w:rFonts w:hint="eastAsia"/>
          <w:b/>
          <w:bCs/>
        </w:rPr>
        <w:t xml:space="preserve">单位：户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对公客户数：12,345户（+2.1%）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对公客户数：12,345户（+2.1%）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制造业客户数：8,900户（+3.5%）</w:t>
      </w:r>
    </w:p>
    <w:bookmarkEnd w:id="11"/>
    <w:bookmarkEnd w:id="12"/>
    <w:bookmarkStart w:id="15" w:name="三业务分析"/>
    <w:p>
      <w:pPr>
        <w:pStyle w:val="Heading2"/>
      </w:pPr>
      <w:r>
        <w:rPr>
          <w:rFonts w:hint="eastAsia"/>
        </w:rPr>
        <w:t xml:space="preserve">三、业务分析</w:t>
      </w:r>
    </w:p>
    <w:bookmarkStart w:id="13" w:name="普惠金融业务概述"/>
    <w:p>
      <w:pPr>
        <w:pStyle w:val="Heading3"/>
      </w:pPr>
      <w:r>
        <w:t xml:space="preserve">3.1 </w:t>
      </w:r>
      <w:r>
        <w:rPr>
          <w:rFonts w:hint="eastAsia"/>
        </w:rPr>
        <w:t xml:space="preserve">普惠金融业务概述</w:t>
      </w:r>
    </w:p>
    <w:p>
      <w:pPr>
        <w:pStyle w:val="FirstParagraph"/>
      </w:pPr>
      <w:r>
        <w:rPr>
          <w:rFonts w:hint="eastAsia"/>
        </w:rPr>
        <w:t xml:space="preserve">本月普惠金融业务保持稳健增长态势，</w:t>
      </w:r>
      <w:r>
        <w:rPr>
          <w:rFonts w:hint="eastAsia"/>
          <w:b/>
          <w:bCs/>
        </w:rPr>
        <w:t xml:space="preserve">贷款余额突破1200亿元大关</w:t>
      </w:r>
      <w:r>
        <w:rPr>
          <w:rFonts w:hint="eastAsia"/>
        </w:rPr>
        <w:t xml:space="preserve">，创历史新高。主要得益于以下几个方面：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政策支持力度加大</w:t>
      </w:r>
      <w:r>
        <w:rPr>
          <w:rFonts w:hint="eastAsia"/>
        </w:rPr>
        <w:t xml:space="preserve">：央行定向降准释放流动性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产品创新成效显著</w:t>
      </w:r>
      <w:r>
        <w:rPr>
          <w:rFonts w:hint="eastAsia"/>
        </w:rPr>
        <w:t xml:space="preserve">：推出多款特色信贷产品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数字化转型加速</w:t>
      </w:r>
      <w:r>
        <w:rPr>
          <w:rFonts w:hint="eastAsia"/>
        </w:rPr>
        <w:t xml:space="preserve">：线上审批效率提升30%</w:t>
      </w:r>
    </w:p>
    <w:bookmarkEnd w:id="13"/>
    <w:bookmarkStart w:id="14" w:name="区域发展情况"/>
    <w:p>
      <w:pPr>
        <w:pStyle w:val="Heading3"/>
      </w:pPr>
      <w:r>
        <w:t xml:space="preserve">3.2 </w:t>
      </w:r>
      <w:r>
        <w:rPr>
          <w:rFonts w:hint="eastAsia"/>
        </w:rPr>
        <w:t xml:space="preserve">区域发展情况</w:t>
      </w:r>
    </w:p>
    <w:p>
      <w:pPr>
        <w:pStyle w:val="FirstParagraph"/>
      </w:pPr>
      <w:r>
        <w:rPr>
          <w:rFonts w:hint="eastAsia"/>
          <w:b/>
          <w:bCs/>
        </w:rPr>
        <w:t xml:space="preserve">长三角地区</w:t>
      </w:r>
      <w:r>
        <w:rPr>
          <w:rFonts w:hint="eastAsia"/>
        </w:rPr>
        <w:t xml:space="preserve">表现突出，占比达到35%；</w:t>
      </w:r>
      <w:r>
        <w:rPr>
          <w:rFonts w:hint="eastAsia"/>
          <w:b/>
          <w:bCs/>
        </w:rPr>
        <w:t xml:space="preserve">珠三角地区</w:t>
      </w:r>
      <w:r>
        <w:rPr>
          <w:rFonts w:hint="eastAsia"/>
        </w:rPr>
        <w:t xml:space="preserve">紧随其后，占比28%。</w:t>
      </w:r>
    </w:p>
    <w:bookmarkEnd w:id="14"/>
    <w:bookmarkEnd w:id="15"/>
    <w:bookmarkStart w:id="18" w:name="四风险分析"/>
    <w:p>
      <w:pPr>
        <w:pStyle w:val="Heading2"/>
      </w:pPr>
      <w:r>
        <w:rPr>
          <w:rFonts w:hint="eastAsia"/>
        </w:rPr>
        <w:t xml:space="preserve">四、风险分析</w:t>
      </w:r>
    </w:p>
    <w:bookmarkStart w:id="16" w:name="信用风险"/>
    <w:p>
      <w:pPr>
        <w:pStyle w:val="Heading3"/>
      </w:pPr>
      <w:r>
        <w:t xml:space="preserve">4.1 </w:t>
      </w:r>
      <w:r>
        <w:rPr>
          <w:rFonts w:hint="eastAsia"/>
        </w:rPr>
        <w:t xml:space="preserve">信用风险</w:t>
      </w:r>
    </w:p>
    <w:p>
      <w:pPr>
        <w:pStyle w:val="FirstParagraph"/>
      </w:pPr>
      <w:r>
        <w:rPr>
          <w:rFonts w:hint="eastAsia"/>
        </w:rPr>
        <w:t xml:space="preserve">不良贷款率控制在</w:t>
      </w:r>
      <w:r>
        <w:rPr>
          <w:b/>
          <w:bCs/>
        </w:rPr>
        <w:t xml:space="preserve">1.25%</w:t>
      </w:r>
      <w:r>
        <w:rPr>
          <w:rFonts w:hint="eastAsia"/>
        </w:rPr>
        <w:t xml:space="preserve">以内，低于行业平均水平。</w:t>
      </w:r>
    </w:p>
    <w:bookmarkEnd w:id="16"/>
    <w:bookmarkStart w:id="17" w:name="市场风险"/>
    <w:p>
      <w:pPr>
        <w:pStyle w:val="Heading3"/>
      </w:pPr>
      <w:r>
        <w:t xml:space="preserve">4.2 </w:t>
      </w:r>
      <w:r>
        <w:rPr>
          <w:rFonts w:hint="eastAsia"/>
        </w:rPr>
        <w:t xml:space="preserve">市场风险</w:t>
      </w:r>
    </w:p>
    <w:p>
      <w:pPr>
        <w:pStyle w:val="FirstParagraph"/>
      </w:pPr>
      <w:r>
        <w:rPr>
          <w:rFonts w:hint="eastAsia"/>
        </w:rPr>
        <w:t xml:space="preserve">利率市场化改革对利差的影响正在逐步显现。</w:t>
      </w:r>
    </w:p>
    <w:bookmarkEnd w:id="17"/>
    <w:bookmarkEnd w:id="18"/>
    <w:bookmarkStart w:id="19" w:name="五下月工作计划"/>
    <w:p>
      <w:pPr>
        <w:pStyle w:val="Heading2"/>
      </w:pPr>
      <w:r>
        <w:rPr>
          <w:rFonts w:hint="eastAsia"/>
        </w:rPr>
        <w:t xml:space="preserve">五、下月工作计划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完成年度目标冲刺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推进数字化转型项目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加强风险防控体系建设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报告生成时间：2026/5/21</w:t>
      </w:r>
      <w:r>
        <w:rPr>
          <w:i/>
          <w:iCs/>
        </w:rPr>
        <w:t xml:space="preserve"> 14:43:05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2026-05-21T06:43:05Z</dcterms:created>
  <dcterms:modified xsi:type="dcterms:W3CDTF">2026-05-21T06:43:05Z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