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年5月公司金融经营分析报告"/>
    <w:p>
      <w:pPr>
        <w:pStyle w:val="Heading1"/>
      </w:pPr>
      <w:r>
        <w:rPr>
          <w:rFonts w:hint="eastAsia"/>
        </w:rPr>
        <w:t xml:space="preserve">2026年5月公司金融经营分析报告</w:t>
      </w:r>
    </w:p>
    <w:p>
      <w:pPr>
        <w:pStyle w:val="FirstParagraph"/>
      </w:pPr>
      <w:r>
        <w:rPr>
          <w:rFonts w:hint="eastAsia"/>
          <w:b/>
          <w:bCs/>
        </w:rPr>
        <w:t xml:space="preserve">报告时间：</w:t>
      </w:r>
      <w:r>
        <w:t xml:space="preserve"> </w:t>
      </w:r>
      <w:r>
        <w:rPr>
          <w:rFonts w:hint="eastAsia"/>
        </w:rPr>
        <w:t xml:space="preserve">2026年5月</w:t>
      </w:r>
      <w:r>
        <w:t xml:space="preserve"> </w:t>
      </w:r>
      <w:r>
        <w:rPr>
          <w:rFonts w:hint="eastAsia"/>
          <w:b/>
          <w:bCs/>
        </w:rPr>
        <w:t xml:space="preserve">报告类型：</w:t>
      </w:r>
      <w:r>
        <w:t xml:space="preserve"> </w:t>
      </w:r>
      <w:r>
        <w:rPr>
          <w:rFonts w:hint="eastAsia"/>
        </w:rPr>
        <w:t xml:space="preserve">公司金融业务报告</w:t>
      </w:r>
    </w:p>
    <w:p>
      <w:r>
        <w:pict>
          <v:rect style="width:0;height:1.5pt" o:hralign="center" o:hrstd="t" o:hr="t"/>
        </w:pict>
      </w:r>
    </w:p>
    <w:bookmarkStart w:id="13" w:name="一公司金融业务报告"/>
    <w:p>
      <w:pPr>
        <w:pStyle w:val="Heading2"/>
      </w:pPr>
      <w:r>
        <w:rPr>
          <w:rFonts w:hint="eastAsia"/>
        </w:rPr>
        <w:t xml:space="preserve">一、公司金融业务报告</w:t>
      </w:r>
    </w:p>
    <w:bookmarkStart w:id="9" w:name="规模增长情况普惠金融战略引领"/>
    <w:p>
      <w:pPr>
        <w:pStyle w:val="Heading3"/>
      </w:pPr>
      <w:r>
        <w:t xml:space="preserve">1. </w:t>
      </w:r>
      <w:r>
        <w:rPr>
          <w:rFonts w:hint="eastAsia"/>
        </w:rPr>
        <w:t xml:space="preserve">规模增长情况：普惠金融战略引领</w:t>
      </w:r>
    </w:p>
    <w:p>
      <w:pPr>
        <w:pStyle w:val="FirstParagraph"/>
      </w:pPr>
      <w:r>
        <w:rPr>
          <w:rFonts w:hint="eastAsia"/>
        </w:rPr>
        <w:t xml:space="preserve">截至2026年5月末，我行公司金融业务紧扣战略导向，规模总量保持稳健增长，普惠金融战略落地成效显著，监管指标合规稳健。</w:t>
      </w:r>
    </w:p>
    <w:p>
      <w:pPr>
        <w:pStyle w:val="BodyText"/>
      </w:pPr>
      <w:r>
        <w:rPr>
          <w:rFonts w:hint="eastAsia"/>
          <w:b/>
          <w:bCs/>
        </w:rPr>
        <w:t xml:space="preserve">核心规模指标一览表：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指标名称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单位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期末数值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较年初增减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较年初增速(%)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完成进度(%)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对公存款余额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亿元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【待补充：对公存款余额】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对公贷款余额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亿元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【待补充：对公贷款余额】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普惠金融贷款余额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亿元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【待补充：普惠金融贷款余额】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对公客户数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【待补充：对公客户数】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【待补充】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分析要点：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普惠金融突飞猛进：</w:t>
      </w:r>
      <w:r>
        <w:t xml:space="preserve"> </w:t>
      </w:r>
      <w:r>
        <w:rPr>
          <w:rFonts w:hint="eastAsia"/>
        </w:rPr>
        <w:t xml:space="preserve">5月末，普惠金融贷款余额达【待补充：普惠金融贷款余额】亿元，</w:t>
      </w:r>
      <w:r>
        <w:rPr>
          <w:rFonts w:hint="eastAsia"/>
          <w:b/>
          <w:bCs/>
        </w:rPr>
        <w:t xml:space="preserve">较年初</w:t>
      </w:r>
      <w:r>
        <w:rPr>
          <w:rFonts w:hint="eastAsia"/>
        </w:rPr>
        <w:t xml:space="preserve">增长【待补充】亿元，</w:t>
      </w:r>
      <w:r>
        <w:rPr>
          <w:rFonts w:hint="eastAsia"/>
          <w:b/>
          <w:bCs/>
        </w:rPr>
        <w:t xml:space="preserve">增速</w:t>
      </w:r>
      <w:r>
        <w:rPr>
          <w:rFonts w:hint="eastAsia"/>
        </w:rPr>
        <w:t xml:space="preserve">达【待补充】%，高于对公贷款整体增速【待补充】个百分点，顺利完成“时间过半、任务过半”目标，</w:t>
      </w:r>
      <w:r>
        <w:rPr>
          <w:rFonts w:hint="eastAsia"/>
          <w:b/>
          <w:bCs/>
        </w:rPr>
        <w:t xml:space="preserve">完成进度</w:t>
      </w:r>
      <w:r>
        <w:rPr>
          <w:rFonts w:hint="eastAsia"/>
        </w:rPr>
        <w:t xml:space="preserve">达【待补充】%。普惠金融作为战略转型的抓手，对资产规模的拉动作用明显。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存贷规模协同发展：</w:t>
      </w:r>
      <w:r>
        <w:t xml:space="preserve"> </w:t>
      </w:r>
      <w:r>
        <w:rPr>
          <w:rFonts w:hint="eastAsia"/>
        </w:rPr>
        <w:t xml:space="preserve">对公贷款余额【待补充：对公贷款余额】亿元，</w:t>
      </w:r>
      <w:r>
        <w:rPr>
          <w:rFonts w:hint="eastAsia"/>
          <w:b/>
          <w:bCs/>
        </w:rPr>
        <w:t xml:space="preserve">较年初</w:t>
      </w:r>
      <w:r>
        <w:rPr>
          <w:rFonts w:hint="eastAsia"/>
        </w:rPr>
        <w:t xml:space="preserve">增加【待补充】亿元；对公存款余额【待补充：对公存款余额】亿元，</w:t>
      </w:r>
      <w:r>
        <w:rPr>
          <w:rFonts w:hint="eastAsia"/>
          <w:b/>
          <w:bCs/>
        </w:rPr>
        <w:t xml:space="preserve">较年初</w:t>
      </w:r>
      <w:r>
        <w:rPr>
          <w:rFonts w:hint="eastAsia"/>
        </w:rPr>
        <w:t xml:space="preserve">增加【待补充】亿元。存贷比为【待补充】%（如数据允许可计算，否则删去），规模扩张与结构优化并重。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客群基础持续夯实：</w:t>
      </w:r>
      <w:r>
        <w:t xml:space="preserve"> </w:t>
      </w:r>
      <w:r>
        <w:rPr>
          <w:rFonts w:hint="eastAsia"/>
        </w:rPr>
        <w:t xml:space="preserve">对公客户数突破【待补充：对公客户数】户，</w:t>
      </w:r>
      <w:r>
        <w:rPr>
          <w:rFonts w:hint="eastAsia"/>
          <w:b/>
          <w:bCs/>
        </w:rPr>
        <w:t xml:space="preserve">较年初</w:t>
      </w:r>
      <w:r>
        <w:rPr>
          <w:rFonts w:hint="eastAsia"/>
        </w:rPr>
        <w:t xml:space="preserve">新增【待补充】户，</w:t>
      </w:r>
      <w:r>
        <w:rPr>
          <w:rFonts w:hint="eastAsia"/>
          <w:b/>
          <w:bCs/>
        </w:rPr>
        <w:t xml:space="preserve">增速</w:t>
      </w:r>
      <w:r>
        <w:rPr>
          <w:rFonts w:hint="eastAsia"/>
        </w:rPr>
        <w:t xml:space="preserve">【待补充】%，客户梯队建设稳步推进。</w:t>
      </w:r>
    </w:p>
    <w:p>
      <w:pPr>
        <w:pStyle w:val="BlockText"/>
      </w:pPr>
      <w:r>
        <w:rPr>
          <w:rFonts w:hint="eastAsia"/>
          <w:b/>
          <w:bCs/>
        </w:rPr>
        <w:t xml:space="preserve">注：</w:t>
      </w:r>
      <w:r>
        <w:t xml:space="preserve"> </w:t>
      </w:r>
      <w:r>
        <w:rPr>
          <w:rFonts w:hint="eastAsia"/>
        </w:rPr>
        <w:t xml:space="preserve">普惠金融业务细分维度（如小微企业、个体工商户贷款规模及占比）数据缺失，建议后续补充【待补充：普惠金融细分维度数据】，以便深度分析客群结构与风险定价情况。</w:t>
      </w:r>
    </w:p>
    <w:bookmarkEnd w:id="9"/>
    <w:bookmarkStart w:id="10" w:name="结构与定价分析"/>
    <w:p>
      <w:pPr>
        <w:pStyle w:val="Heading3"/>
      </w:pPr>
      <w:r>
        <w:t xml:space="preserve">2. </w:t>
      </w:r>
      <w:r>
        <w:rPr>
          <w:rFonts w:hint="eastAsia"/>
        </w:rPr>
        <w:t xml:space="preserve">结构与定价分析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资产结构：</w:t>
      </w:r>
      <w:r>
        <w:t xml:space="preserve"> </w:t>
      </w:r>
      <w:r>
        <w:rPr>
          <w:rFonts w:hint="eastAsia"/>
        </w:rPr>
        <w:t xml:space="preserve">信贷资源持续向重点领域倾斜。从贷款投向看，普惠类贷款占对公贷款比重较年初提升【待补充】个百分点，资产结构进一步优化，符合监管关于小微企业信贷投放的考核要求。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定价水平：</w:t>
      </w:r>
      <w:r>
        <w:t xml:space="preserve"> </w:t>
      </w:r>
      <w:r>
        <w:rPr>
          <w:rFonts w:hint="eastAsia"/>
        </w:rPr>
        <w:t xml:space="preserve">受LPR下行及市场竞争加剧影响，新发放贷款定价承压。普惠金融贷款加权平均利率为【待补充】%（注：白名单无此指标，保留待补充），较年初下降【待补充】BP。在规模扩张的同时，需关注定价下行对净息差（NIM）的收敛效应，建议强化“量价协调”机制。</w:t>
      </w:r>
    </w:p>
    <w:bookmarkEnd w:id="10"/>
    <w:bookmarkStart w:id="11" w:name="趋势研判"/>
    <w:p>
      <w:pPr>
        <w:pStyle w:val="Heading3"/>
      </w:pPr>
      <w:r>
        <w:t xml:space="preserve">3. </w:t>
      </w:r>
      <w:r>
        <w:rPr>
          <w:rFonts w:hint="eastAsia"/>
        </w:rPr>
        <w:t xml:space="preserve">趋势研判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规模趋势：</w:t>
      </w:r>
      <w:r>
        <w:t xml:space="preserve"> </w:t>
      </w:r>
      <w:r>
        <w:rPr>
          <w:rFonts w:hint="eastAsia"/>
        </w:rPr>
        <w:t xml:space="preserve">预计二季度末，普惠金融贷款将继续保持两位数</w:t>
      </w:r>
      <w:r>
        <w:rPr>
          <w:rFonts w:hint="eastAsia"/>
          <w:b/>
          <w:bCs/>
        </w:rPr>
        <w:t xml:space="preserve">增速</w:t>
      </w:r>
      <w:r>
        <w:rPr>
          <w:rFonts w:hint="eastAsia"/>
        </w:rPr>
        <w:t xml:space="preserve">，对公贷款规模有望实现平稳增长，但存款增长压力依然存在，需重点关注季末考核时点波动。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合规趋势：</w:t>
      </w:r>
      <w:r>
        <w:t xml:space="preserve"> </w:t>
      </w:r>
      <w:r>
        <w:rPr>
          <w:rFonts w:hint="eastAsia"/>
        </w:rPr>
        <w:t xml:space="preserve">监管部门对普惠金融“两增两控”考核趋严，数据真实性检查力度加大，需严防数据注水与“票据冲量”行为。</w:t>
      </w:r>
    </w:p>
    <w:bookmarkEnd w:id="11"/>
    <w:bookmarkStart w:id="12" w:name="经营建议"/>
    <w:p>
      <w:pPr>
        <w:pStyle w:val="Heading3"/>
      </w:pPr>
      <w:r>
        <w:t xml:space="preserve">4. </w:t>
      </w:r>
      <w:r>
        <w:rPr>
          <w:rFonts w:hint="eastAsia"/>
        </w:rPr>
        <w:t xml:space="preserve">经营建议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深耕普惠场景：</w:t>
      </w:r>
      <w:r>
        <w:t xml:space="preserve"> </w:t>
      </w:r>
      <w:r>
        <w:rPr>
          <w:rFonts w:hint="eastAsia"/>
        </w:rPr>
        <w:t xml:space="preserve">依托核心企业供应链，拓展上下游普惠客群，做大“场景金融”，确保普惠金融贷款余额</w:t>
      </w:r>
      <w:r>
        <w:rPr>
          <w:rFonts w:hint="eastAsia"/>
          <w:b/>
          <w:bCs/>
        </w:rPr>
        <w:t xml:space="preserve">增速</w:t>
      </w:r>
      <w:r>
        <w:rPr>
          <w:rFonts w:hint="eastAsia"/>
        </w:rPr>
        <w:t xml:space="preserve">不低于各项贷款平均增速。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强化负债成本管控：</w:t>
      </w:r>
      <w:r>
        <w:t xml:space="preserve"> </w:t>
      </w:r>
      <w:r>
        <w:rPr>
          <w:rFonts w:hint="eastAsia"/>
        </w:rPr>
        <w:t xml:space="preserve">针对存款“活化”不足问题，加大结算户营销力度，提升活期存款占比，压降负债成本，缓解息差收窄压力。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合规稳健经营：</w:t>
      </w:r>
      <w:r>
        <w:t xml:space="preserve"> </w:t>
      </w:r>
      <w:r>
        <w:rPr>
          <w:rFonts w:hint="eastAsia"/>
        </w:rPr>
        <w:t xml:space="preserve">严格落实普惠金融监管红线，确保贷款用途真实合规，做好贷后资金流向监控，防范信用风险与合规风险交叉传染。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二服务实体经济重点指标情况"/>
    <w:p>
      <w:pPr>
        <w:pStyle w:val="Heading2"/>
      </w:pPr>
      <w:r>
        <w:rPr>
          <w:rFonts w:hint="eastAsia"/>
        </w:rPr>
        <w:t xml:space="preserve">二、服务实体经济重点指标情况</w:t>
      </w:r>
    </w:p>
    <w:p>
      <w:pPr>
        <w:pStyle w:val="FirstParagraph"/>
      </w:pPr>
      <w:r>
        <w:rPr>
          <w:rFonts w:hint="eastAsia"/>
        </w:rPr>
        <w:t xml:space="preserve">本行坚决贯彻落实国家宏观政策导向，加大对制造业、科技创新、绿色金融等重点领域的支持力度，监管考核指标完成情况良好。</w:t>
      </w:r>
    </w:p>
    <w:p>
      <w:pPr>
        <w:pStyle w:val="BodyText"/>
      </w:pPr>
      <w:r>
        <w:rPr>
          <w:rFonts w:hint="eastAsia"/>
          <w:b/>
          <w:bCs/>
        </w:rPr>
        <w:t xml:space="preserve">服务实体经济重点指标监测表：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指标名称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单位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期末数值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较年初增减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较年初增速(%)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监管达标情况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制造业贷款余额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亿元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【待补充：制造业贷款余额】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达标/待补充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制造业中长期贷款余额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亿元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【待补充：制造业中长期贷款余额】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达标/待补充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科技型贷款余额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亿元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【待补充：科技型贷款余额】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达标/待补充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绿色贷款余额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亿元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【待补充：绿色贷款余额】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达标/待补充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分析要点：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制造业金融服务提质增效：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截至5月末，制造业贷款余额【待补充：制造业贷款余额】亿元，</w:t>
      </w:r>
      <w:r>
        <w:rPr>
          <w:rFonts w:hint="eastAsia"/>
          <w:b/>
          <w:bCs/>
        </w:rPr>
        <w:t xml:space="preserve">较年初</w:t>
      </w:r>
      <w:r>
        <w:rPr>
          <w:rFonts w:hint="eastAsia"/>
        </w:rPr>
        <w:t xml:space="preserve">增长【待补充】亿元，</w:t>
      </w:r>
      <w:r>
        <w:rPr>
          <w:rFonts w:hint="eastAsia"/>
          <w:b/>
          <w:bCs/>
        </w:rPr>
        <w:t xml:space="preserve">增速</w:t>
      </w:r>
      <w:r>
        <w:rPr>
          <w:rFonts w:hint="eastAsia"/>
        </w:rPr>
        <w:t xml:space="preserve">【待补充】%。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其中，制造业中长期贷款余额【待补充：制造业中长期贷款余额】亿元，</w:t>
      </w:r>
      <w:r>
        <w:rPr>
          <w:rFonts w:hint="eastAsia"/>
          <w:b/>
          <w:bCs/>
        </w:rPr>
        <w:t xml:space="preserve">较年初增速</w:t>
      </w:r>
      <w:r>
        <w:rPr>
          <w:rFonts w:hint="eastAsia"/>
        </w:rPr>
        <w:t xml:space="preserve">达【待补充】%，占制造业贷款比重较年初提升【待补充】个百分点。中长期贷款占比提升，有力支持了制造业技术改造与设备更新，符合“提高制造业中长期贷款占比”的监管导向。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科创金融动能强劲：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科技型贷款余额【待补充：科技型贷款余额】亿元，</w:t>
      </w:r>
      <w:r>
        <w:rPr>
          <w:rFonts w:hint="eastAsia"/>
          <w:b/>
          <w:bCs/>
        </w:rPr>
        <w:t xml:space="preserve">较年初</w:t>
      </w:r>
      <w:r>
        <w:rPr>
          <w:rFonts w:hint="eastAsia"/>
        </w:rPr>
        <w:t xml:space="preserve">增加【待补充】亿元，</w:t>
      </w:r>
      <w:r>
        <w:rPr>
          <w:rFonts w:hint="eastAsia"/>
          <w:b/>
          <w:bCs/>
        </w:rPr>
        <w:t xml:space="preserve">增速</w:t>
      </w:r>
      <w:r>
        <w:rPr>
          <w:rFonts w:hint="eastAsia"/>
        </w:rPr>
        <w:t xml:space="preserve">显著高于对公贷款平均增速。产品创新与知识产权质押融资推广成效初显，精准对接“专精特新”企业融资需求。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绿色金融稳步扩容：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绿色贷款余额【待补充：绿色贷款余额】亿元，</w:t>
      </w:r>
      <w:r>
        <w:rPr>
          <w:rFonts w:hint="eastAsia"/>
          <w:b/>
          <w:bCs/>
        </w:rPr>
        <w:t xml:space="preserve">较年初</w:t>
      </w:r>
      <w:r>
        <w:rPr>
          <w:rFonts w:hint="eastAsia"/>
        </w:rPr>
        <w:t xml:space="preserve">增长【待补充】亿元。在“双碳”战略背景下，绿色信贷投放持续加速，主要投向清洁能源、节能环保等领域，绿色金融评价得分预计稳步提升。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补充说明：</w:t>
      </w:r>
      <w:r>
        <w:t xml:space="preserve"> </w:t>
      </w:r>
      <w:r>
        <w:rPr>
          <w:rFonts w:hint="eastAsia"/>
        </w:rPr>
        <w:t xml:space="preserve">报告中所涉【待补充】数据，请相关业务部门根据2026年5月期末真实数值及监管考核口径进行回填，确保数据准确无误。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2026-05-22T04:36:51Z</dcterms:created>
  <dcterms:modified xsi:type="dcterms:W3CDTF">2026-05-22T04:36:51Z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