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分支机构名称2025年12月经营分析报告"/>
    <w:p>
      <w:pPr>
        <w:pStyle w:val="Heading1"/>
      </w:pPr>
      <w:r>
        <w:rPr>
          <w:rFonts w:hint="eastAsia"/>
        </w:rPr>
        <w:t xml:space="preserve">【分支机构名称】2025年12月经营分析报告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报告时间：</w:t>
      </w:r>
      <w:r>
        <w:t xml:space="preserve"> </w:t>
      </w:r>
      <w:r>
        <w:rPr>
          <w:rFonts w:hint="eastAsia"/>
        </w:rPr>
        <w:t xml:space="preserve">2025年12月</w:t>
      </w:r>
      <w:r>
        <w:t xml:space="preserve"> </w:t>
      </w:r>
      <w:r>
        <w:rPr>
          <w:rFonts w:hint="eastAsia"/>
          <w:b/>
          <w:bCs/>
        </w:rPr>
        <w:t xml:space="preserve">报告类型：</w:t>
      </w:r>
      <w:r>
        <w:t xml:space="preserve"> </w:t>
      </w:r>
      <w:r>
        <w:rPr>
          <w:rFonts w:hint="eastAsia"/>
        </w:rPr>
        <w:t xml:space="preserve">分支机构经营分析</w:t>
      </w:r>
      <w:r>
        <w:t xml:space="preserve"> </w:t>
      </w:r>
      <w:r>
        <w:rPr>
          <w:rFonts w:hint="eastAsia"/>
          <w:b/>
          <w:bCs/>
        </w:rPr>
        <w:t xml:space="preserve">分析对象：</w:t>
      </w:r>
      <w:r>
        <w:t xml:space="preserve"> </w:t>
      </w:r>
      <w:r>
        <w:rPr>
          <w:rFonts w:hint="eastAsia"/>
        </w:rPr>
        <w:t xml:space="preserve">【待补充：分支机构名称】</w:t>
      </w:r>
    </w:p>
    <w:p>
      <w:r>
        <w:pict>
          <v:rect style="width:0;height:1.5pt" o:hralign="center" o:hrstd="t" o:hr="t"/>
        </w:pict>
      </w:r>
    </w:p>
    <w:bookmarkStart w:id="9" w:name="一-总体经营情况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总体经营情况</w:t>
      </w:r>
    </w:p>
    <w:p>
      <w:pPr>
        <w:pStyle w:val="FirstParagraph"/>
      </w:pPr>
      <w:r>
        <w:rPr>
          <w:rFonts w:hint="eastAsia"/>
        </w:rPr>
        <w:t xml:space="preserve">2025年12月，本机构紧紧围绕总行战略部署，扎实做好“五篇大文章”，主要经营指标总体平稳。资产规模稳步扩张，存贷规模与组内均值相比呈现【优于/差于】态势，定价管理面临一定压力。</w:t>
      </w:r>
    </w:p>
    <w:p>
      <w:pPr>
        <w:pStyle w:val="BodyText"/>
      </w:pPr>
      <w:r>
        <w:rPr>
          <w:rFonts w:hint="eastAsia"/>
          <w:b/>
          <w:bCs/>
        </w:rPr>
        <w:t xml:space="preserve">表1：核心经营指标概览（2025年12月）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本期数值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组内均值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较均值差异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环比变动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同比变动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一般存款年日均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亿元、境内本外币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【待补充：一般存款年日均】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【待补充：环比】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【待补充：同比】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基础性贷款年日均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亿元、境内本外币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【待补充：基础性贷款年日均】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【待补充：环比】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【待补充：同比】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存贷利差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百分点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【待补充：存贷利差】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【待补充：环比】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【待补充：同比】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存款成本率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%、年化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【待补充：存款成本率】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【待补充：环比】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【待补充：同比】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分析点评：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规模端：</w:t>
      </w:r>
      <w:r>
        <w:t xml:space="preserve"> </w:t>
      </w:r>
      <w:r>
        <w:rPr>
          <w:rFonts w:hint="eastAsia"/>
        </w:rPr>
        <w:t xml:space="preserve">一般存款年日均达到【待补充：数值】亿元，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组内均值【待补充：数值】亿元，主要受【待补充：原因，如对公营销攻坚】拉动。基础性贷款年日均保持增长，规模增量在组内排名【待补充：排名】。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价格端：</w:t>
      </w:r>
      <w:r>
        <w:t xml:space="preserve"> </w:t>
      </w:r>
      <w:r>
        <w:rPr>
          <w:rFonts w:hint="eastAsia"/>
        </w:rPr>
        <w:t xml:space="preserve">存贷利差为【待补充：数值】个百分点，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组内均值，主要受资产端定价下行影响。存款成本率录得【待补充：数值】%，环比【上升/下降】，成本管控效果【显著/一般】。</w:t>
      </w:r>
    </w:p>
    <w:p>
      <w:r>
        <w:pict>
          <v:rect style="width:0;height:1.5pt" o:hralign="center" o:hrstd="t" o:hr="t"/>
        </w:pict>
      </w:r>
    </w:p>
    <w:bookmarkEnd w:id="9"/>
    <w:bookmarkStart w:id="10" w:name="二-资产质量情况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资产质量情况</w:t>
      </w:r>
    </w:p>
    <w:p>
      <w:pPr>
        <w:pStyle w:val="FirstParagraph"/>
      </w:pPr>
      <w:r>
        <w:rPr>
          <w:rFonts w:hint="eastAsia"/>
        </w:rPr>
        <w:t xml:space="preserve">本机构坚持底线思维，风险抵补能力保持稳定，资产质量整体可控。</w:t>
      </w:r>
    </w:p>
    <w:p>
      <w:pPr>
        <w:pStyle w:val="BodyText"/>
      </w:pPr>
      <w:r>
        <w:rPr>
          <w:rFonts w:hint="eastAsia"/>
          <w:b/>
          <w:bCs/>
        </w:rPr>
        <w:t xml:space="preserve">表2：资产质量核心指标（2025年12月）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本期数值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组内中位数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较中位数差异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较年初变动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不良贷款率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【待补充：不良贷款率】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【待补充：组内中位数】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【待补充：变动】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拨备覆盖率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【待补充：拨备覆盖率】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【待补充：组内中位数】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【待补充：变动】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分析点评：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不良贷款率为【待补充：数值】%，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组内中位数，资产质量在组内处于【上游/中游/下游】水平。</w:t>
      </w:r>
      <w:r>
        <w:t xml:space="preserve"> </w:t>
      </w:r>
      <w:r>
        <w:t xml:space="preserve">2. </w:t>
      </w:r>
      <w:r>
        <w:rPr>
          <w:rFonts w:hint="eastAsia"/>
        </w:rPr>
        <w:t xml:space="preserve">拨备覆盖率为【待补充：数值】%，风险抵补能力</w:t>
      </w:r>
      <w:r>
        <w:rPr>
          <w:rFonts w:hint="eastAsia"/>
          <w:b/>
          <w:bCs/>
        </w:rPr>
        <w:t xml:space="preserve">【高于/低于】</w:t>
      </w:r>
      <w:r>
        <w:rPr>
          <w:rFonts w:hint="eastAsia"/>
        </w:rPr>
        <w:t xml:space="preserve">组内中位数，满足监管及总行考核要求。</w:t>
      </w:r>
    </w:p>
    <w:p>
      <w:r>
        <w:pict>
          <v:rect style="width:0;height:1.5pt" o:hralign="center" o:hrstd="t" o:hr="t"/>
        </w:pict>
      </w:r>
    </w:p>
    <w:bookmarkEnd w:id="10"/>
    <w:bookmarkStart w:id="11" w:name="三-对公业务分析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对公业务分析</w:t>
      </w:r>
    </w:p>
    <w:p>
      <w:pPr>
        <w:pStyle w:val="FirstParagraph"/>
      </w:pPr>
      <w:r>
        <w:rPr>
          <w:rFonts w:hint="eastAsia"/>
        </w:rPr>
        <w:t xml:space="preserve">对公业务聚焦服务实体经济，深度融入区域产业发展，“五篇大文章”落地成效显著。</w:t>
      </w:r>
    </w:p>
    <w:p>
      <w:pPr>
        <w:pStyle w:val="BodyText"/>
      </w:pPr>
      <w:r>
        <w:rPr>
          <w:rFonts w:hint="eastAsia"/>
          <w:b/>
          <w:bCs/>
        </w:rPr>
        <w:t xml:space="preserve">表3：对公业务结构与重点领域指标（2025年12月）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本期余额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组内均值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较均值差异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较年初增量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对公客户数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【待补充：对公客户数】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普惠小微贷款余额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【待补充：普惠小微贷款余额】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科技型企业贷款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【待补充：科技型企业贷款】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绿色贷款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【待补充：绿色贷款】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分析点评：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客群基础：</w:t>
      </w:r>
      <w:r>
        <w:t xml:space="preserve"> </w:t>
      </w:r>
      <w:r>
        <w:rPr>
          <w:rFonts w:hint="eastAsia"/>
        </w:rPr>
        <w:t xml:space="preserve">对公客户数新增【待补充：数值】户，总量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组内均值，基础客群拓展工作【扎实/滞后】。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重点领域：</w:t>
      </w:r>
      <w:r>
        <w:t xml:space="preserve"> </w:t>
      </w:r>
      <w:r>
        <w:rPr>
          <w:rFonts w:hint="eastAsia"/>
        </w:rPr>
        <w:t xml:space="preserve">普惠小微贷款余额【待补充：数值】亿元，增速【待补充：数值】%，有力支撑了普惠金融发展。科技型企业贷款与绿色贷款余额分别达到【待补充：数值】亿元和【待补充：数值】亿元，均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组内均值，体现了在科技金融与绿色金融领域的差异化竞争优势。</w:t>
      </w:r>
    </w:p>
    <w:p>
      <w:r>
        <w:pict>
          <v:rect style="width:0;height:1.5pt" o:hralign="center" o:hrstd="t" o:hr="t"/>
        </w:pict>
      </w:r>
    </w:p>
    <w:bookmarkEnd w:id="11"/>
    <w:bookmarkStart w:id="12" w:name="四-零售业务分析"/>
    <w:p>
      <w:pPr>
        <w:pStyle w:val="Heading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零售业务分析</w:t>
      </w:r>
    </w:p>
    <w:p>
      <w:pPr>
        <w:pStyle w:val="FirstParagraph"/>
      </w:pPr>
      <w:r>
        <w:rPr>
          <w:rFonts w:hint="eastAsia"/>
        </w:rPr>
        <w:t xml:space="preserve">零售业务坚持“以客户为中心”，财富管理转型稳步推进，客群价值贡献持续提升。</w:t>
      </w:r>
    </w:p>
    <w:p>
      <w:pPr>
        <w:pStyle w:val="BodyText"/>
      </w:pPr>
      <w:r>
        <w:rPr>
          <w:rFonts w:hint="eastAsia"/>
          <w:b/>
          <w:bCs/>
        </w:rPr>
        <w:t xml:space="preserve">表4：零售业务核心指标（2025年12月）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本期数值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组内均值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较均值差异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较年初增量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零售客户数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【待补充：零售客户数】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对私客户AUM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【待补充：对私客户AUM】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信用卡发卡量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【待补充：信用卡发卡量】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【待补充：组内均值】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【待补充：排名】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【待补充：差异值】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【待补充：增量】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分析点评：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财富管理：</w:t>
      </w:r>
      <w:r>
        <w:t xml:space="preserve"> </w:t>
      </w:r>
      <w:r>
        <w:rPr>
          <w:rFonts w:hint="eastAsia"/>
        </w:rPr>
        <w:t xml:space="preserve">对私客户AUM余额【待补充：数值】亿元，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组内均值【待补充：数值】亿元，中高端客户资产配置能力【强/弱】于组内平均水平。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客群拓展：</w:t>
      </w:r>
      <w:r>
        <w:t xml:space="preserve"> </w:t>
      </w:r>
      <w:r>
        <w:rPr>
          <w:rFonts w:hint="eastAsia"/>
        </w:rPr>
        <w:t xml:space="preserve">零售客户数达到【待补充：数值】户，在组内排名【待补充：排名】。信用卡发卡量新增【待补充：数值】张，获客渠道【畅通/受阻】。</w:t>
      </w:r>
    </w:p>
    <w:p>
      <w:r>
        <w:pict>
          <v:rect style="width:0;height:1.5pt" o:hralign="center" o:hrstd="t" o:hr="t"/>
        </w:pict>
      </w:r>
    </w:p>
    <w:bookmarkEnd w:id="12"/>
    <w:bookmarkStart w:id="13" w:name="五-社会责任与服务实体经济"/>
    <w:p>
      <w:pPr>
        <w:pStyle w:val="Heading2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社会责任与服务实体经济</w:t>
      </w:r>
    </w:p>
    <w:p>
      <w:pPr>
        <w:pStyle w:val="FirstParagraph"/>
      </w:pPr>
      <w:r>
        <w:rPr>
          <w:rFonts w:hint="eastAsia"/>
        </w:rPr>
        <w:t xml:space="preserve">本机构积极响应国家政策导向，落实“五篇大文章”战略部署，切实提升服务实体经济质效。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科技金融：</w:t>
      </w:r>
      <w:r>
        <w:t xml:space="preserve"> </w:t>
      </w:r>
      <w:r>
        <w:rPr>
          <w:rFonts w:hint="eastAsia"/>
        </w:rPr>
        <w:t xml:space="preserve">截至年末，科技型企业贷款余额【待补充：数值】亿元，同比多增【待补充：数值】亿元，精准滴灌“专精特新”企业，科技金融服务能力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区域平均水平。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绿色金融：</w:t>
      </w:r>
      <w:r>
        <w:t xml:space="preserve"> </w:t>
      </w:r>
      <w:r>
        <w:rPr>
          <w:rFonts w:hint="eastAsia"/>
        </w:rPr>
        <w:t xml:space="preserve">绿色贷款规模持续扩大，余额达【待补充：数值】亿元，重点支持了【待补充：具体行业，如清洁能源、节能环保】等领域，助力区域经济低碳转型。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普惠金融：</w:t>
      </w:r>
      <w:r>
        <w:t xml:space="preserve"> </w:t>
      </w:r>
      <w:r>
        <w:rPr>
          <w:rFonts w:hint="eastAsia"/>
        </w:rPr>
        <w:t xml:space="preserve">普惠小微贷款余额【待补充：数值】亿元，户数【待补充：数值】户，切实降低了小微企业融资成本，践行社会责任担当。</w:t>
      </w:r>
    </w:p>
    <w:p>
      <w:r>
        <w:pict>
          <v:rect style="width:0;height:1.5pt" o:hralign="center" o:hrstd="t" o:hr="t"/>
        </w:pict>
      </w:r>
    </w:p>
    <w:bookmarkEnd w:id="13"/>
    <w:bookmarkStart w:id="14" w:name="六-下阶段经营建议"/>
    <w:p>
      <w:pPr>
        <w:pStyle w:val="Heading2"/>
      </w:pPr>
      <w:r>
        <w:rPr>
          <w:rFonts w:hint="eastAsia"/>
        </w:rPr>
        <w:t xml:space="preserve">六、</w:t>
      </w:r>
      <w:r>
        <w:t xml:space="preserve"> </w:t>
      </w:r>
      <w:r>
        <w:rPr>
          <w:rFonts w:hint="eastAsia"/>
        </w:rPr>
        <w:t xml:space="preserve">下阶段经营建议</w:t>
      </w:r>
    </w:p>
    <w:p>
      <w:pPr>
        <w:pStyle w:val="FirstParagraph"/>
      </w:pPr>
      <w:r>
        <w:rPr>
          <w:rFonts w:hint="eastAsia"/>
        </w:rPr>
        <w:t xml:space="preserve">基于上述数据分析，提出以下经营策略建议：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优化负债结构，降低资金成本。</w:t>
      </w:r>
      <w:r>
        <w:t xml:space="preserve"> </w:t>
      </w:r>
      <w:r>
        <w:rPr>
          <w:rFonts w:hint="eastAsia"/>
        </w:rPr>
        <w:t xml:space="preserve">针对存款成本率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组内均值的情况，下阶段应重点压降高息结构性存款占比，提升结算性存款占比，确保存款成本率稳中有降。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深耕“五篇大文章”，优化资产结构。</w:t>
      </w:r>
      <w:r>
        <w:t xml:space="preserve"> </w:t>
      </w:r>
      <w:r>
        <w:rPr>
          <w:rFonts w:hint="eastAsia"/>
        </w:rPr>
        <w:t xml:space="preserve">针对科技型企业贷款和绿色贷款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组内均值的现状，建议进一步梳理区域内重点科创企业及绿色项目清单，加大信贷投放力度，提升高收益资产占比。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强化客群经营，做大AUM规模。</w:t>
      </w:r>
      <w:r>
        <w:t xml:space="preserve"> </w:t>
      </w:r>
      <w:r>
        <w:rPr>
          <w:rFonts w:hint="eastAsia"/>
        </w:rPr>
        <w:t xml:space="preserve">零售业务需聚焦对私客户AUM增长，针对AUM</w:t>
      </w:r>
      <w:r>
        <w:rPr>
          <w:rFonts w:hint="eastAsia"/>
          <w:b/>
          <w:bCs/>
        </w:rPr>
        <w:t xml:space="preserve">【优于/差于】</w:t>
      </w:r>
      <w:r>
        <w:rPr>
          <w:rFonts w:hint="eastAsia"/>
        </w:rPr>
        <w:t xml:space="preserve">组内均值的情况，开展针对性客户提升活动，增强客户粘性与综合贡献度。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严控资产质量，筑牢风险防线。</w:t>
      </w:r>
      <w:r>
        <w:t xml:space="preserve"> </w:t>
      </w:r>
      <w:r>
        <w:rPr>
          <w:rFonts w:hint="eastAsia"/>
        </w:rPr>
        <w:t xml:space="preserve">持续关注不良贷款率变动趋势，对潜在风险客户实施名单制管理，确保资产质量指标持续</w:t>
      </w:r>
      <w:r>
        <w:rPr>
          <w:rFonts w:hint="eastAsia"/>
          <w:b/>
          <w:bCs/>
        </w:rPr>
        <w:t xml:space="preserve">优于</w:t>
      </w:r>
      <w:r>
        <w:rPr>
          <w:rFonts w:hint="eastAsia"/>
        </w:rPr>
        <w:t xml:space="preserve">组内平均水平。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本报告中“组内均值/中位数”指【待补充：具体组别名称，如某分行下辖支行/某区域银行同业】的平均水平。</w:t>
      </w:r>
      <w:r>
        <w:t xml:space="preserve"> </w:t>
      </w:r>
      <w:r>
        <w:t xml:space="preserve">2. </w:t>
      </w:r>
      <w:r>
        <w:rPr>
          <w:rFonts w:hint="eastAsia"/>
        </w:rPr>
        <w:t xml:space="preserve">标注“【待补充】”处需根据实际业务数据回填后方可生成最终结论。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2026-05-28T07:19:43Z</dcterms:created>
  <dcterms:modified xsi:type="dcterms:W3CDTF">2026-05-28T07:19:43Z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