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5月公司金融经营分析报告"/>
    <w:p>
      <w:pPr>
        <w:pStyle w:val="Heading1"/>
      </w:pPr>
      <w:r>
        <w:rPr>
          <w:rFonts w:hint="eastAsia"/>
        </w:rPr>
        <w:t xml:space="preserve">2026年5月公司金融经营分析报告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2026年5月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公司金融经营报告</w:t>
      </w:r>
    </w:p>
    <w:p>
      <w:r>
        <w:pict>
          <v:rect style="width:0;height:1.5pt" o:hralign="center" o:hrstd="t" o:hr="t"/>
        </w:pict>
      </w:r>
    </w:p>
    <w:bookmarkStart w:id="11" w:name="一公司金融业务报告"/>
    <w:p>
      <w:pPr>
        <w:pStyle w:val="Heading2"/>
      </w:pPr>
      <w:r>
        <w:rPr>
          <w:rFonts w:hint="eastAsia"/>
        </w:rPr>
        <w:t xml:space="preserve">一、公司金融业务报告</w:t>
      </w:r>
    </w:p>
    <w:p>
      <w:pPr>
        <w:pStyle w:val="FirstParagraph"/>
      </w:pPr>
      <w:r>
        <w:rPr>
          <w:rFonts w:hint="eastAsia"/>
        </w:rPr>
        <w:t xml:space="preserve">本章节重点分析公司金融条线规模增长与结构调整情况，遵循“规模→结构→定价→趋势”分析框架，评估整体经营质效。</w:t>
      </w:r>
    </w:p>
    <w:bookmarkStart w:id="9" w:name="规模增长与市场份额分析"/>
    <w:p>
      <w:pPr>
        <w:pStyle w:val="Heading3"/>
      </w:pPr>
      <w:r>
        <w:t xml:space="preserve">1.1 </w:t>
      </w:r>
      <w:r>
        <w:rPr>
          <w:rFonts w:hint="eastAsia"/>
        </w:rPr>
        <w:t xml:space="preserve">规模增长与市场份额分析</w:t>
      </w:r>
    </w:p>
    <w:p>
      <w:pPr>
        <w:pStyle w:val="FirstParagraph"/>
      </w:pPr>
      <w:r>
        <w:rPr>
          <w:rFonts w:hint="eastAsia"/>
        </w:rPr>
        <w:t xml:space="preserve">截至2026年5月末，公司金融核心规模指标保持稳健增长态势，资产负债结构持续优化，战略转型成效逐步显现。</w:t>
      </w:r>
    </w:p>
    <w:p>
      <w:pPr>
        <w:pStyle w:val="BodyText"/>
      </w:pPr>
      <w:r>
        <w:rPr>
          <w:rFonts w:hint="eastAsia"/>
          <w:b/>
          <w:bCs/>
        </w:rPr>
        <w:t xml:space="preserve">表1：公司金融核心规模指标情况表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对公存款余额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[待补充：对公存款余额]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核心负债支撑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资产投放主力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[待补充：对公客户数]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客户基础扩容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经营分析：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存款业务：</w:t>
      </w:r>
      <w:r>
        <w:t xml:space="preserve"> </w:t>
      </w:r>
      <w:r>
        <w:rPr>
          <w:rFonts w:hint="eastAsia"/>
        </w:rPr>
        <w:t xml:space="preserve">5月末对公存款余额</w:t>
      </w:r>
      <w:r>
        <w:rPr>
          <w:rFonts w:hint="eastAsia"/>
          <w:b/>
          <w:bCs/>
        </w:rPr>
        <w:t xml:space="preserve">[待补充：对公存款余额]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达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%。存款增长稳定性需进一步关注，应持续优化存款期限结构，压降高息负债成本。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贷款业务：</w:t>
      </w:r>
      <w:r>
        <w:t xml:space="preserve"> </w:t>
      </w:r>
      <w:r>
        <w:rPr>
          <w:rFonts w:hint="eastAsia"/>
        </w:rPr>
        <w:t xml:space="preserve">对公贷款余额</w:t>
      </w:r>
      <w:r>
        <w:rPr>
          <w:rFonts w:hint="eastAsia"/>
          <w:b/>
          <w:bCs/>
        </w:rPr>
        <w:t xml:space="preserve">[待补充：对公贷款余额]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亿元。信贷投放节奏平稳，主要支持了实体经济重点领域，资产端定价符合管理预期。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客群建设：</w:t>
      </w:r>
      <w:r>
        <w:t xml:space="preserve"> </w:t>
      </w:r>
      <w:r>
        <w:rPr>
          <w:rFonts w:hint="eastAsia"/>
        </w:rPr>
        <w:t xml:space="preserve">对公客户数达</w:t>
      </w:r>
      <w:r>
        <w:rPr>
          <w:rFonts w:hint="eastAsia"/>
          <w:b/>
          <w:bCs/>
        </w:rPr>
        <w:t xml:space="preserve">[待补充：对公客户数]</w:t>
      </w:r>
      <w:r>
        <w:rPr>
          <w:rFonts w:hint="eastAsia"/>
        </w:rPr>
        <w:t xml:space="preserve">户，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户。客户拓展工作有序推进，但需关注有效户及高价值客户的转化率。</w:t>
      </w:r>
    </w:p>
    <w:bookmarkEnd w:id="9"/>
    <w:bookmarkStart w:id="10" w:name="结构优化与定价趋势"/>
    <w:p>
      <w:pPr>
        <w:pStyle w:val="Heading3"/>
      </w:pPr>
      <w:r>
        <w:t xml:space="preserve">1.2 </w:t>
      </w:r>
      <w:r>
        <w:rPr>
          <w:rFonts w:hint="eastAsia"/>
        </w:rPr>
        <w:t xml:space="preserve">结构优化与定价趋势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结构分析：</w:t>
      </w:r>
      <w:r>
        <w:t xml:space="preserve"> </w:t>
      </w:r>
      <w:r>
        <w:rPr>
          <w:rFonts w:hint="eastAsia"/>
        </w:rPr>
        <w:t xml:space="preserve">信贷资源持续向国家战略导向领域倾斜。从期限结构看，中长期贷款占比稳步提升，有效匹配了企业固定资产投资需求；从行业结构看，高耗能行业贷款占比持续压降，符合监管合规要求。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定价趋势：</w:t>
      </w:r>
      <w:r>
        <w:t xml:space="preserve"> </w:t>
      </w:r>
      <w:r>
        <w:rPr>
          <w:rFonts w:hint="eastAsia"/>
        </w:rPr>
        <w:t xml:space="preserve">受LPR下行及市场竞争加剧影响，新发放贷款利率较年初有所下行。需加强贷款定价精细化管理，通过综合金融服务提升客户贡献度，缓解息差收窄压力。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服务实体经济重点指标情况"/>
    <w:p>
      <w:pPr>
        <w:pStyle w:val="Heading2"/>
      </w:pPr>
      <w:r>
        <w:rPr>
          <w:rFonts w:hint="eastAsia"/>
        </w:rPr>
        <w:t xml:space="preserve">二、服务实体经济重点指标情况</w:t>
      </w:r>
    </w:p>
    <w:p>
      <w:pPr>
        <w:pStyle w:val="FirstParagraph"/>
      </w:pPr>
      <w:r>
        <w:rPr>
          <w:rFonts w:hint="eastAsia"/>
        </w:rPr>
        <w:t xml:space="preserve">本章节聚焦监管考核指标与战略落地情况，重点监测制造业、科技金融、绿色金融及普惠金融领域信贷投放进度。</w:t>
      </w:r>
    </w:p>
    <w:bookmarkStart w:id="12" w:name="重点领域监管指标监测"/>
    <w:p>
      <w:pPr>
        <w:pStyle w:val="Heading3"/>
      </w:pPr>
      <w:r>
        <w:t xml:space="preserve">2.1 </w:t>
      </w:r>
      <w:r>
        <w:rPr>
          <w:rFonts w:hint="eastAsia"/>
        </w:rPr>
        <w:t xml:space="preserve">重点领域监管指标监测</w:t>
      </w:r>
    </w:p>
    <w:p>
      <w:pPr>
        <w:pStyle w:val="FirstParagraph"/>
      </w:pPr>
      <w:r>
        <w:rPr>
          <w:rFonts w:hint="eastAsia"/>
        </w:rPr>
        <w:t xml:space="preserve">严格对照监管报送标准，确保重点领域贷款增速不低于各项贷款平均增速，完成进度符合预期。</w:t>
      </w:r>
    </w:p>
    <w:p>
      <w:pPr>
        <w:pStyle w:val="BodyText"/>
      </w:pPr>
      <w:r>
        <w:rPr>
          <w:rFonts w:hint="eastAsia"/>
          <w:b/>
          <w:bCs/>
        </w:rPr>
        <w:t xml:space="preserve">表2：服务实体经济重点指标监测表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各项贷款增速差(百分点)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监管达标情况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制造业中长期贷款余额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[待补充：制造业中长期贷款余额]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[待补充：科技型贷款余额]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[待补充：绿色贷款余额]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普惠金融贷款余额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[待补充：普惠金融贷款余额]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</w:tbl>
    <w:bookmarkEnd w:id="12"/>
    <w:bookmarkStart w:id="13" w:name="战略落地与合规分析"/>
    <w:p>
      <w:pPr>
        <w:pStyle w:val="Heading3"/>
      </w:pPr>
      <w:r>
        <w:t xml:space="preserve">2.2 </w:t>
      </w:r>
      <w:r>
        <w:rPr>
          <w:rFonts w:hint="eastAsia"/>
        </w:rPr>
        <w:t xml:space="preserve">战略落地与合规分析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制造业金融：</w:t>
      </w:r>
      <w:r>
        <w:t xml:space="preserve"> </w:t>
      </w:r>
      <w:r>
        <w:rPr>
          <w:rFonts w:hint="eastAsia"/>
        </w:rPr>
        <w:t xml:space="preserve">制造业贷款余额</w:t>
      </w:r>
      <w:r>
        <w:rPr>
          <w:rFonts w:hint="eastAsia"/>
          <w:b/>
          <w:bCs/>
        </w:rPr>
        <w:t xml:space="preserve">[待补充：制造业贷款余额]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增速为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%。其中，制造业中长期贷款余额</w:t>
      </w:r>
      <w:r>
        <w:rPr>
          <w:rFonts w:hint="eastAsia"/>
          <w:b/>
          <w:bCs/>
        </w:rPr>
        <w:t xml:space="preserve">[待补充：制造业中长期贷款余额]</w:t>
      </w:r>
      <w:r>
        <w:rPr>
          <w:rFonts w:hint="eastAsia"/>
        </w:rPr>
        <w:t xml:space="preserve">亿元，占制造业贷款比重持续提升，有力支持了制造业转型升级。后续需继续加大先进制造业对接力度，确保监管考核达标。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科技型贷款余额</w:t>
      </w:r>
      <w:r>
        <w:rPr>
          <w:rFonts w:hint="eastAsia"/>
          <w:b/>
          <w:bCs/>
        </w:rPr>
        <w:t xml:space="preserve">[待补充：科技型贷款余额]</w:t>
      </w:r>
      <w:r>
        <w:rPr>
          <w:rFonts w:hint="eastAsia"/>
        </w:rPr>
        <w:t xml:space="preserve">亿元，增速显著。通过创新“科创贷”等产品，有效解决了科技型中小企业轻资产、融资难问题，战略导向明确。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绿色贷款余额</w:t>
      </w:r>
      <w:r>
        <w:rPr>
          <w:rFonts w:hint="eastAsia"/>
          <w:b/>
          <w:bCs/>
        </w:rPr>
        <w:t xml:space="preserve">[待补充：绿色贷款余额]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实现多增。重点支持了清洁能源、节能环保等领域，环境效益与社会效益显著，符合ESG发展战略。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普惠金融贷款余额</w:t>
      </w:r>
      <w:r>
        <w:rPr>
          <w:rFonts w:hint="eastAsia"/>
          <w:b/>
          <w:bCs/>
        </w:rPr>
        <w:t xml:space="preserve">[待补充：普惠金融贷款余额]</w:t>
      </w:r>
      <w:r>
        <w:rPr>
          <w:rFonts w:hint="eastAsia"/>
        </w:rPr>
        <w:t xml:space="preserve">亿元，严格落实“两增两控”监管要求。在保持规模增长的同时，需强化风险管控，确保资产质量稳健。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趋势研判与经营建议"/>
    <w:p>
      <w:pPr>
        <w:pStyle w:val="Heading2"/>
      </w:pPr>
      <w:r>
        <w:rPr>
          <w:rFonts w:hint="eastAsia"/>
        </w:rPr>
        <w:t xml:space="preserve">三、趋势研判与经营建议</w:t>
      </w:r>
    </w:p>
    <w:bookmarkStart w:id="15" w:name="趋势研判"/>
    <w:p>
      <w:pPr>
        <w:pStyle w:val="Heading3"/>
      </w:pPr>
      <w:r>
        <w:t xml:space="preserve">3.1 </w:t>
      </w:r>
      <w:r>
        <w:rPr>
          <w:rFonts w:hint="eastAsia"/>
        </w:rPr>
        <w:t xml:space="preserve">趋势研判</w:t>
      </w:r>
    </w:p>
    <w:p>
      <w:pPr>
        <w:pStyle w:val="FirstParagraph"/>
      </w:pPr>
      <w:r>
        <w:rPr>
          <w:rFonts w:hint="eastAsia"/>
        </w:rPr>
        <w:t xml:space="preserve">预计下半年宏观经济持续复苏，企业信贷需求将呈现结构性分化特征。监管机构对服务实体经济、特别是制造业中长期贷款的考核力度将持续加强，合规经营底线不容突破。利率下行趋势下，净息差管控压力依然较大。</w:t>
      </w:r>
    </w:p>
    <w:bookmarkEnd w:id="15"/>
    <w:bookmarkStart w:id="16" w:name="经营建议"/>
    <w:p>
      <w:pPr>
        <w:pStyle w:val="Heading3"/>
      </w:pPr>
      <w:r>
        <w:t xml:space="preserve">3.2 </w:t>
      </w:r>
      <w:r>
        <w:rPr>
          <w:rFonts w:hint="eastAsia"/>
        </w:rPr>
        <w:t xml:space="preserve">经营建议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稳存增存，优化负债结构。</w:t>
      </w:r>
      <w:r>
        <w:t xml:space="preserve"> </w:t>
      </w:r>
      <w:r>
        <w:rPr>
          <w:rFonts w:hint="eastAsia"/>
        </w:rPr>
        <w:t xml:space="preserve">紧抓结算资金回流，压降高成本结构性存款，提升核心存款占比，降低负债成本。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精准投放，强化战略执行。</w:t>
      </w:r>
      <w:r>
        <w:t xml:space="preserve"> </w:t>
      </w:r>
      <w:r>
        <w:rPr>
          <w:rFonts w:hint="eastAsia"/>
        </w:rPr>
        <w:t xml:space="preserve">聚焦制造业、科创、绿色等重点领域，加大中长期贷款投放力度，确保监管指标</w:t>
      </w:r>
      <w:r>
        <w:rPr>
          <w:rFonts w:hint="eastAsia"/>
          <w:b/>
          <w:bCs/>
        </w:rPr>
        <w:t xml:space="preserve">完成进度</w:t>
      </w:r>
      <w:r>
        <w:rPr>
          <w:rFonts w:hint="eastAsia"/>
        </w:rPr>
        <w:t xml:space="preserve">超时间进度。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合规经营，严守风险底线。</w:t>
      </w:r>
      <w:r>
        <w:t xml:space="preserve"> </w:t>
      </w:r>
      <w:r>
        <w:rPr>
          <w:rFonts w:hint="eastAsia"/>
        </w:rPr>
        <w:t xml:space="preserve">严格按照监管口径认定业务数据，杜绝数据造假，加强贷后管理，确保存量资产质量稳定。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报告中数据均需根据后台系统实际提取值回填，未回填部分暂以“[待补充]”或占位符显示。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2026-05-26T06:02:49Z</dcterms:created>
  <dcterms:modified xsi:type="dcterms:W3CDTF">2026-05-26T06:02:49Z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