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rPr>
          <w:sz w:val="22"/>
          <w:szCs w:val="22"/>
        </w:rPr>
      </w:pPr>
      <w:r>
        <w:drawing>
          <wp:anchor behindDoc="0" distT="0" distB="0" distL="114300" distR="114300" simplePos="0" locked="0" layoutInCell="0" allowOverlap="1" relativeHeight="10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45" y="0"/>
                <wp:lineTo x="-45" y="20906"/>
                <wp:lineTo x="21189" y="20906"/>
                <wp:lineTo x="21189" y="0"/>
                <wp:lineTo x="-45" y="0"/>
              </wp:wrapPolygon>
            </wp:wrapTight>
            <wp:docPr id="1" name="Рисунок 1" descr="Изображение выглядит как символ, линия, Прямоугольник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иния, Прямоугольник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МИНИСТЕРСТВО НАУКИ И ВЫСШЕГО ОБРАЗОВАНИЯ РФ</w:t>
      </w:r>
    </w:p>
    <w:p>
      <w:pPr>
        <w:pStyle w:val="Style1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17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БЮДЖЕТНОЕ</w:t>
      </w:r>
    </w:p>
    <w:p>
      <w:pPr>
        <w:pStyle w:val="Style17"/>
        <w:rPr>
          <w:sz w:val="22"/>
          <w:szCs w:val="22"/>
        </w:rPr>
      </w:pPr>
      <w:r>
        <w:rPr>
          <w:sz w:val="22"/>
          <w:szCs w:val="22"/>
        </w:rPr>
        <w:t>ОБРАЗОВАТЕЛЬНОЕ УЧРЕЖДЕНИЕ ВЫСШЕГО ОБРАЗОВАНИЯ</w:t>
      </w:r>
    </w:p>
    <w:p>
      <w:pPr>
        <w:pStyle w:val="Style17"/>
        <w:rPr/>
      </w:pPr>
      <w:r>
        <w:rPr>
          <w:sz w:val="22"/>
          <w:szCs w:val="22"/>
        </w:rPr>
        <w:t>«ЛИПЕЦКИЙ ГОСУДАРСТВЕННЫЙ ТЕХНИЧЕСКИЙ УНИВЕРСИТЕТ»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6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6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jc w:val="left"/>
        <w:rPr/>
      </w:pPr>
      <w:r>
        <w:rPr/>
      </w:r>
    </w:p>
    <w:p>
      <w:pPr>
        <w:pStyle w:val="Style16"/>
        <w:rPr/>
      </w:pPr>
      <w:r>
        <w:rPr/>
        <w:t>ЛАБОРАТОРНАЯ РАБОТА №4</w:t>
      </w:r>
    </w:p>
    <w:p>
      <w:pPr>
        <w:pStyle w:val="Style16"/>
        <w:rPr/>
      </w:pPr>
      <w:r>
        <w:rPr/>
        <w:t>по дисциплине «Администрирование информационных систем»</w:t>
      </w:r>
    </w:p>
    <w:p>
      <w:pPr>
        <w:pStyle w:val="Style16"/>
        <w:rPr/>
      </w:pPr>
      <w:r>
        <w:rPr/>
        <w:t>«Установка и настройка сервера DHCP»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5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rPr/>
      </w:pPr>
      <w:r>
        <w:rPr>
          <w:rStyle w:val="Style11"/>
        </w:rPr>
        <w:t>Студент АС</w:t>
      </w:r>
      <w:r>
        <w:rPr/>
        <w:t>-21-1</w:t>
        <w:tab/>
        <w:t>____________________</w:t>
        <w:tab/>
        <w:t>Станиславчук С.М.</w:t>
      </w:r>
    </w:p>
    <w:p>
      <w:pPr>
        <w:pStyle w:val="Style15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  <w:t>Руководитель</w:t>
      </w:r>
    </w:p>
    <w:p>
      <w:pPr>
        <w:pStyle w:val="Style15"/>
        <w:rPr/>
      </w:pPr>
      <w:r>
        <w:rPr/>
        <w:t>К.т.н, доцент</w:t>
        <w:tab/>
        <w:t>____________________</w:t>
        <w:tab/>
        <w:t>Домашнев П.А.</w:t>
      </w:r>
    </w:p>
    <w:p>
      <w:pPr>
        <w:pStyle w:val="Style15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6"/>
        <w:rPr/>
      </w:pPr>
      <w:r>
        <w:rPr/>
      </w:r>
    </w:p>
    <w:p>
      <w:pPr>
        <w:pStyle w:val="Style16"/>
        <w:jc w:val="left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jc w:val="left"/>
        <w:rPr/>
      </w:pPr>
      <w:r>
        <w:rPr/>
      </w:r>
    </w:p>
    <w:p>
      <w:pPr>
        <w:pStyle w:val="Style16"/>
        <w:rPr/>
      </w:pPr>
      <w:r>
        <w:rPr/>
        <w:t>Липецк 2024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webHidden/>
              <w:rStyle w:val="IndexLink"/>
              <w:i w:val="false"/>
              <w:b w:val="false"/>
              <w:iCs w:val="false"/>
              <w:bCs w:val="false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i w:val="false"/>
              <w:b w:val="false"/>
              <w:iCs w:val="false"/>
              <w:bCs w:val="false"/>
              <w:vanish w:val="false"/>
            </w:rPr>
            <w:fldChar w:fldCharType="separate"/>
          </w:r>
          <w:hyperlink w:anchor="_Toc178867923">
            <w:r>
              <w:rPr>
                <w:webHidden/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>Задание кафедры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_Toc178867923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4"/>
              <w:szCs w:val="24"/>
              <w:lang w:eastAsia="ru-RU"/>
            </w:rPr>
          </w:pPr>
          <w:hyperlink w:anchor="_Toc1788679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_Toc178867924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>Цель работы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4"/>
              <w:szCs w:val="24"/>
              <w:lang w:eastAsia="ru-RU"/>
            </w:rPr>
          </w:pPr>
          <w:hyperlink w:anchor="_Toc1788679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_Toc178867925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>Порядок выполнения работы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4"/>
              <w:szCs w:val="24"/>
              <w:lang w:eastAsia="ru-RU"/>
            </w:rPr>
          </w:pPr>
          <w:hyperlink w:anchor="_Toc1788679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_Toc178867926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>Вывод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jc w:val="both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Normal"/>
        <w:spacing w:lineRule="auto" w:line="240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0" w:name="_Toc178867923"/>
      <w:r>
        <w:rPr/>
        <w:t>Задание кафедры</w:t>
      </w:r>
      <w:bookmarkEnd w:id="0"/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 виртуальной машине полигона работающей под управлением ОС Windows 2003 Server установить сервер WINS.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Настроить все компьютеры полигона на использование для разрешения имен NetBIOS установленного сервера WINS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 виртуальной машине полигона работающей под управлением ОС Windows 2003 Server установить сервер DNS.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 сервере DNS создать зоны прямого и обратного просмотра (имена зоны прямого приведены в таблице 2), занеся туда информацию обо всех машинах полигона.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Прописать на всех машинах полигона корректный dns-суффикс и настроить все компьютеры полигона на использование установленного DNS сервера для разрешения dns-запросов.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Настроить установленный сервер DNS на перенаправление запросов, которые он не может разрешить, на DNS сервер кафедры АСУ (172.19.42.10)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Настроить установленный DNS-сервер таким образом, чтобы он имел возможность разрешать dns-запросы о хостах, находящихся в других полигонах. Для этого: для зон dns полигонов, находящихся на компьютерах PC50-PC53, использовать перенаправление запросов; для зон dns полигонов, находящихся на компьютерах PC54-PC56, создать зоны заглушки; сделать установленный dns-сервер носителем вторичных зон dns полигонов, находящихся на компьютерах PC57-PC60.</w:t>
      </w:r>
    </w:p>
    <w:p>
      <w:pPr>
        <w:pStyle w:val="Style18"/>
        <w:ind w:hanging="0" w:left="1069"/>
        <w:rPr/>
      </w:pPr>
      <w:r>
        <w:rPr/>
      </w:r>
    </w:p>
    <w:tbl>
      <w:tblPr>
        <w:tblStyle w:val="ad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1"/>
        <w:gridCol w:w="4962"/>
      </w:tblGrid>
      <w:tr>
        <w:trPr/>
        <w:tc>
          <w:tcPr>
            <w:tcW w:w="4671" w:type="dxa"/>
            <w:tcBorders/>
          </w:tcPr>
          <w:p>
            <w:pPr>
              <w:pStyle w:val="Style18"/>
              <w:suppressAutoHyphens w:val="true"/>
              <w:spacing w:before="0" w:after="160"/>
              <w:ind w:hanging="0"/>
              <w:jc w:val="center"/>
              <w:rPr>
                <w:rFonts w:eastAsia="Calibri"/>
                <w:lang w:val="ru-RU" w:eastAsia="en-US" w:bidi="ar-SA"/>
              </w:rPr>
            </w:pPr>
            <w:r>
              <w:rPr>
                <w:rFonts w:eastAsia="Calibri"/>
                <w:lang w:val="ru-RU" w:eastAsia="en-US" w:bidi="ar-SA"/>
              </w:rPr>
              <w:t xml:space="preserve">№ </w:t>
            </w:r>
            <w:r>
              <w:rPr>
                <w:rFonts w:eastAsia="Calibri"/>
                <w:lang w:val="ru-RU" w:eastAsia="en-US" w:bidi="ar-SA"/>
              </w:rPr>
              <w:t>Варианта</w:t>
            </w:r>
          </w:p>
        </w:tc>
        <w:tc>
          <w:tcPr>
            <w:tcW w:w="4962" w:type="dxa"/>
            <w:tcBorders/>
          </w:tcPr>
          <w:p>
            <w:pPr>
              <w:pStyle w:val="Style18"/>
              <w:suppressAutoHyphens w:val="true"/>
              <w:spacing w:before="0" w:after="160"/>
              <w:ind w:hanging="0"/>
              <w:jc w:val="center"/>
              <w:rPr>
                <w:rFonts w:eastAsia="Calibri"/>
                <w:lang w:val="ru-RU" w:eastAsia="en-US" w:bidi="ar-SA"/>
              </w:rPr>
            </w:pPr>
            <w:r>
              <w:rPr>
                <w:rFonts w:eastAsia="Calibri"/>
                <w:lang w:val="ru-RU" w:eastAsia="en-US" w:bidi="ar-SA"/>
              </w:rPr>
              <w:t xml:space="preserve">Название зоны </w:t>
            </w:r>
            <w:r>
              <w:rPr>
                <w:rFonts w:eastAsia="Calibri"/>
                <w:lang w:val="en-US" w:eastAsia="en-US" w:bidi="ar-SA"/>
              </w:rPr>
              <w:t>dns</w:t>
            </w:r>
          </w:p>
        </w:tc>
      </w:tr>
      <w:tr>
        <w:trPr/>
        <w:tc>
          <w:tcPr>
            <w:tcW w:w="4671" w:type="dxa"/>
            <w:tcBorders/>
          </w:tcPr>
          <w:p>
            <w:pPr>
              <w:pStyle w:val="Style18"/>
              <w:suppressAutoHyphens w:val="true"/>
              <w:spacing w:before="0" w:after="160"/>
              <w:ind w:hanging="0"/>
              <w:jc w:val="center"/>
              <w:rPr>
                <w:lang w:val="en-US"/>
              </w:rPr>
            </w:pPr>
            <w:r>
              <w:rPr>
                <w:rFonts w:eastAsia="Calibri"/>
                <w:lang w:val="en-US" w:eastAsia="en-US" w:bidi="ar-SA"/>
              </w:rPr>
              <w:t>6</w:t>
            </w:r>
            <w:r>
              <w:rPr>
                <w:rFonts w:eastAsia="Calibri"/>
                <w:lang w:val="en-US" w:eastAsia="en-US" w:bidi="ar-SA"/>
              </w:rPr>
              <w:t>8</w:t>
            </w:r>
          </w:p>
        </w:tc>
        <w:tc>
          <w:tcPr>
            <w:tcW w:w="4962" w:type="dxa"/>
            <w:tcBorders/>
          </w:tcPr>
          <w:p>
            <w:pPr>
              <w:pStyle w:val="Style18"/>
              <w:suppressAutoHyphens w:val="true"/>
              <w:spacing w:before="0" w:after="160"/>
              <w:ind w:hanging="0"/>
              <w:jc w:val="center"/>
              <w:rPr>
                <w:rFonts w:eastAsia="Calibri"/>
                <w:lang w:val="ru-RU" w:eastAsia="en-US" w:bidi="ar-SA"/>
              </w:rPr>
            </w:pPr>
            <w:r>
              <w:rPr>
                <w:rFonts w:eastAsia="Calibri"/>
                <w:lang w:val="ru-RU" w:eastAsia="en-US" w:bidi="ar-SA"/>
              </w:rPr>
              <w:t>Workgroup</w:t>
            </w:r>
            <w:r>
              <w:rPr>
                <w:rFonts w:eastAsia="Calibri"/>
                <w:lang w:val="en-US" w:eastAsia="en-US" w:bidi="ar-SA"/>
              </w:rPr>
              <w:t>5</w:t>
            </w:r>
            <w:r>
              <w:rPr>
                <w:rFonts w:eastAsia="Calibri"/>
                <w:lang w:val="ru-RU" w:eastAsia="en-US" w:bidi="ar-SA"/>
              </w:rPr>
              <w:t>-</w:t>
            </w:r>
            <w:r>
              <w:rPr>
                <w:rFonts w:eastAsia="Calibri"/>
                <w:lang w:val="en-US" w:eastAsia="en-US" w:bidi="ar-SA"/>
              </w:rPr>
              <w:t>3</w:t>
            </w:r>
            <w:r>
              <w:rPr>
                <w:rFonts w:eastAsia="Calibri"/>
                <w:lang w:val="ru-RU" w:eastAsia="en-US" w:bidi="ar-SA"/>
              </w:rPr>
              <w:t>.local</w:t>
            </w:r>
          </w:p>
        </w:tc>
      </w:tr>
    </w:tbl>
    <w:p>
      <w:pPr>
        <w:pStyle w:val="ListParagraph"/>
        <w:ind w:left="709"/>
        <w:jc w:val="both"/>
        <w:rPr/>
      </w:pPr>
      <w:r>
        <w:rPr/>
      </w:r>
      <w:r>
        <w:br w:type="page"/>
      </w:r>
    </w:p>
    <w:p>
      <w:pPr>
        <w:pStyle w:val="Heading1"/>
        <w:spacing w:lineRule="auto" w:line="360" w:before="0" w:after="0"/>
        <w:jc w:val="left"/>
        <w:rPr/>
      </w:pPr>
      <w:r>
        <w:rPr/>
        <w:tab/>
      </w:r>
      <w:bookmarkStart w:id="1" w:name="_Toc178867924"/>
      <w:r>
        <w:rPr/>
        <w:t>Цель работы</w:t>
      </w:r>
      <w:bookmarkEnd w:id="1"/>
    </w:p>
    <w:p>
      <w:pPr>
        <w:pStyle w:val="Normal"/>
        <w:ind w:firstLine="709"/>
        <w:jc w:val="both"/>
        <w:rPr/>
      </w:pPr>
      <w:r>
        <w:rPr/>
        <w:t>Изучение серверов WINS и DNS для операционной системы Windows Server 2003.</w:t>
      </w:r>
    </w:p>
    <w:p>
      <w:pPr>
        <w:pStyle w:val="Normal"/>
        <w:ind w:firstLine="709"/>
        <w:jc w:val="both"/>
        <w:rPr/>
      </w:pPr>
      <w:r>
        <w:rPr/>
        <w:t xml:space="preserve"> </w:t>
      </w:r>
      <w:r>
        <w:br w:type="page"/>
      </w:r>
    </w:p>
    <w:p>
      <w:pPr>
        <w:pStyle w:val="Heading1"/>
        <w:spacing w:lineRule="auto" w:line="360" w:before="0" w:after="0"/>
        <w:jc w:val="left"/>
        <w:rPr/>
      </w:pPr>
      <w:r>
        <w:rPr/>
        <w:tab/>
      </w:r>
      <w:bookmarkStart w:id="2" w:name="_Toc178867925"/>
      <w:r>
        <w:rPr/>
        <w:t>Порядок выполнения работы</w:t>
      </w:r>
      <w:bookmarkEnd w:id="2"/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6120130" cy="745680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8"/>
        <w:jc w:val="center"/>
        <w:rPr>
          <w:b/>
          <w:bCs/>
        </w:rPr>
      </w:pPr>
      <w:r>
        <w:rPr/>
        <w:t>Рисунок 1 - Схема виртуального полигона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  <w:t>Виртуальные машины были размещены по пути:</w:t>
      </w:r>
    </w:p>
    <w:p>
      <w:pPr>
        <w:pStyle w:val="Style18"/>
        <w:rPr>
          <w:lang w:val="en-US"/>
        </w:rPr>
      </w:pPr>
      <w:r>
        <w:rPr>
          <w:lang w:val="en-US"/>
        </w:rPr>
        <w:t>D:\VMWare\Stanislavchuk\</w:t>
      </w:r>
    </w:p>
    <w:tbl>
      <w:tblPr>
        <w:tblStyle w:val="ad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2"/>
        <w:gridCol w:w="2545"/>
        <w:gridCol w:w="3388"/>
        <w:gridCol w:w="1992"/>
      </w:tblGrid>
      <w:tr>
        <w:trPr/>
        <w:tc>
          <w:tcPr>
            <w:tcW w:w="170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Операционная система</w:t>
            </w:r>
          </w:p>
        </w:tc>
        <w:tc>
          <w:tcPr>
            <w:tcW w:w="2545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Путь размещения</w:t>
            </w:r>
          </w:p>
        </w:tc>
        <w:tc>
          <w:tcPr>
            <w:tcW w:w="3388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Название виртуальной машины</w:t>
            </w:r>
          </w:p>
        </w:tc>
        <w:tc>
          <w:tcPr>
            <w:tcW w:w="199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Имя пользователя и пароль</w:t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Windows XP</w:t>
            </w:r>
          </w:p>
        </w:tc>
        <w:tc>
          <w:tcPr>
            <w:tcW w:w="2545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D:\VMWare\Stanislavchuk\client0</w:t>
            </w:r>
          </w:p>
        </w:tc>
        <w:tc>
          <w:tcPr>
            <w:tcW w:w="3388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Stanislavchuk_PC-53-client0</w:t>
            </w:r>
          </w:p>
        </w:tc>
        <w:tc>
          <w:tcPr>
            <w:tcW w:w="199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user</w:t>
            </w:r>
            <w:r>
              <w:rPr>
                <w:rFonts w:eastAsia="Calibri"/>
                <w:sz w:val="24"/>
                <w:szCs w:val="24"/>
                <w:lang w:val="ru-RU" w:eastAsia="en-US" w:bidi="ar-SA"/>
              </w:rPr>
              <w:t xml:space="preserve"> (Администратор)</w:t>
            </w:r>
          </w:p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 xml:space="preserve">Пароль: </w:t>
            </w: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Windows XP</w:t>
            </w:r>
          </w:p>
        </w:tc>
        <w:tc>
          <w:tcPr>
            <w:tcW w:w="2545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D:\VMWare\Stanislavchuk\client1</w:t>
            </w:r>
          </w:p>
        </w:tc>
        <w:tc>
          <w:tcPr>
            <w:tcW w:w="3388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Stanislavchuk_PC-53-client1</w:t>
            </w:r>
          </w:p>
        </w:tc>
        <w:tc>
          <w:tcPr>
            <w:tcW w:w="199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user</w:t>
            </w:r>
            <w:r>
              <w:rPr>
                <w:rFonts w:eastAsia="Calibri"/>
                <w:sz w:val="24"/>
                <w:szCs w:val="24"/>
                <w:lang w:val="ru-RU" w:eastAsia="en-US" w:bidi="ar-SA"/>
              </w:rPr>
              <w:t xml:space="preserve"> (Администратор)</w:t>
            </w:r>
          </w:p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 xml:space="preserve">Пароль: </w:t>
            </w: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Windows Server 2003</w:t>
            </w:r>
          </w:p>
        </w:tc>
        <w:tc>
          <w:tcPr>
            <w:tcW w:w="2545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D:\VMWare\Stanislavchuk\serv0</w:t>
            </w:r>
          </w:p>
        </w:tc>
        <w:tc>
          <w:tcPr>
            <w:tcW w:w="3388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Stanislavchuk_PC-53-server1</w:t>
            </w:r>
          </w:p>
        </w:tc>
        <w:tc>
          <w:tcPr>
            <w:tcW w:w="199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Administrator</w:t>
            </w:r>
          </w:p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Пароль: «loloahki»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spacing w:before="0" w:after="0"/>
        <w:jc w:val="center"/>
        <w:rPr>
          <w:lang w:val="en-US"/>
        </w:rPr>
      </w:pPr>
      <w:r>
        <w:rPr/>
        <w:drawing>
          <wp:inline distT="0" distB="0" distL="0" distR="0">
            <wp:extent cx="6594475" cy="2763520"/>
            <wp:effectExtent l="0" t="0" r="0" b="0"/>
            <wp:docPr id="3" name="Image3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Изображение выглядит как текст, электроника, снимок экрана, диспле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47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2 - Список записей WINS сервера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6120130" cy="3906520"/>
            <wp:effectExtent l="0" t="0" r="0" b="0"/>
            <wp:docPr id="4" name="Рисунок 2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3 - Содержимое файла зоны D</w:t>
      </w:r>
      <w:r>
        <w:rPr>
          <w:lang w:val="en-US"/>
        </w:rPr>
        <w:t>NS</w:t>
      </w:r>
      <w:r>
        <w:rPr/>
        <w:t xml:space="preserve"> прямого просмотра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6120130" cy="3277870"/>
            <wp:effectExtent l="0" t="0" r="0" b="0"/>
            <wp:docPr id="5" name="Рисунок 3" descr="Изображение выглядит как текст, программное обеспечение, Значок на компьютер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 descr="Изображение выглядит как текст, программное обеспечение, Значок на компьютере, веб-страниц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4 - Содержимое файла зоны D</w:t>
      </w:r>
      <w:r>
        <w:rPr>
          <w:lang w:val="en-US"/>
        </w:rPr>
        <w:t>NS</w:t>
      </w:r>
      <w:r>
        <w:rPr/>
        <w:t xml:space="preserve"> обратного просмотра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977765" cy="3766820"/>
            <wp:effectExtent l="0" t="0" r="0" b="0"/>
            <wp:docPr id="6" name="Рисунок 4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76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5 – Перенаправление остальных запросов на</w:t>
      </w:r>
    </w:p>
    <w:p>
      <w:pPr>
        <w:pStyle w:val="Normal"/>
        <w:jc w:val="center"/>
        <w:rPr/>
      </w:pPr>
      <w:r>
        <w:rPr/>
        <w:t>DNS сервер кафедры АСУ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570980" cy="4194175"/>
            <wp:effectExtent l="0" t="0" r="0" b="0"/>
            <wp:docPr id="7" name="Image4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6 – Условное перенаправление запросов в зону</w:t>
      </w:r>
    </w:p>
    <w:p>
      <w:pPr>
        <w:pStyle w:val="Normal"/>
        <w:jc w:val="center"/>
        <w:rPr/>
      </w:pPr>
      <w:r>
        <w:rPr>
          <w:lang w:val="en-US"/>
        </w:rPr>
        <w:t>Workgroup5-2.local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120130" cy="3906520"/>
            <wp:effectExtent l="0" t="0" r="0" b="0"/>
            <wp:docPr id="8" name="Image5" descr="Изображение выглядит как текст, программное обеспечение, Значок на компьютер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Изображение выглядит как текст, программное обеспечение, Значок на компьютере, веб-страниц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7 – Зона заглушка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120130" cy="3906520"/>
            <wp:effectExtent l="0" t="0" r="0" b="0"/>
            <wp:docPr id="9" name="Image6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 xml:space="preserve">Рисунок 8 – Вторичная зона </w:t>
      </w:r>
      <w:r>
        <w:rPr>
          <w:lang w:val="en-US"/>
        </w:rPr>
        <w:t>DNS</w:t>
      </w:r>
      <w:r>
        <w:rPr/>
        <w:t xml:space="preserve"> прямого просмотра</w:t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rPr/>
      </w:pPr>
      <w:r>
        <w:rPr/>
      </w:r>
    </w:p>
    <w:p>
      <w:pPr>
        <w:pStyle w:val="Heading1"/>
        <w:spacing w:lineRule="auto" w:line="360" w:before="0" w:after="0"/>
        <w:jc w:val="left"/>
        <w:rPr/>
      </w:pPr>
      <w:r>
        <w:rPr/>
        <w:tab/>
      </w:r>
      <w:bookmarkStart w:id="3" w:name="_Toc178867926"/>
      <w:r>
        <w:rPr/>
        <w:t>Вывод</w:t>
      </w:r>
      <w:bookmarkEnd w:id="3"/>
    </w:p>
    <w:p>
      <w:pPr>
        <w:pStyle w:val="Normal"/>
        <w:ind w:firstLine="709"/>
        <w:jc w:val="both"/>
        <w:rPr/>
      </w:pPr>
      <w:r>
        <w:rPr/>
        <w:t>В ходе выполнения данной лабораторной работы были изучены сервисы WINS и DNS для операционной системы Windows Server 2003.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9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2b0c"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2"/>
      <w:sz w:val="28"/>
      <w:szCs w:val="28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93aff"/>
    <w:pPr>
      <w:spacing w:lineRule="auto" w:line="276"/>
      <w:jc w:val="center"/>
      <w:outlineLvl w:val="0"/>
    </w:pPr>
    <w:rPr>
      <w:b/>
      <w:bCs/>
    </w:rPr>
  </w:style>
  <w:style w:type="paragraph" w:styleId="Heading2">
    <w:name w:val="Heading 2"/>
    <w:basedOn w:val="ListParagraph"/>
    <w:link w:val="2"/>
    <w:uiPriority w:val="9"/>
    <w:qFormat/>
    <w:rsid w:val="00a14829"/>
    <w:pPr>
      <w:numPr>
        <w:ilvl w:val="0"/>
        <w:numId w:val="1"/>
      </w:numPr>
      <w:ind w:firstLine="709" w:left="0"/>
      <w:jc w:val="both"/>
      <w:outlineLvl w:val="1"/>
    </w:pPr>
    <w:rPr/>
  </w:style>
  <w:style w:type="paragraph" w:styleId="Heading3">
    <w:name w:val="Heading 3"/>
    <w:basedOn w:val="Heading2"/>
    <w:next w:val="Normal"/>
    <w:link w:val="3"/>
    <w:uiPriority w:val="9"/>
    <w:unhideWhenUsed/>
    <w:qFormat/>
    <w:rsid w:val="00cf3560"/>
    <w:pPr>
      <w:numPr>
        <w:ilvl w:val="0"/>
        <w:numId w:val="0"/>
      </w:numPr>
      <w:ind w:firstLine="709" w:left="720"/>
      <w:outlineLvl w:val="2"/>
    </w:pPr>
    <w:rPr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link w:val="Heading2"/>
    <w:uiPriority w:val="9"/>
    <w:qFormat/>
    <w:rsid w:val="00a14829"/>
    <w:rPr>
      <w:rFonts w:ascii="Times New Roman" w:hAnsi="Times New Roman" w:cs="Times New Roman"/>
      <w:sz w:val="28"/>
      <w:szCs w:val="28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093aff"/>
    <w:rPr>
      <w:rFonts w:ascii="Times New Roman" w:hAnsi="Times New Roman" w:cs="Times New Roman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93aff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cf3560"/>
    <w:rPr>
      <w:rFonts w:ascii="Times New Roman" w:hAnsi="Times New Roman" w:cs="Times New Roman"/>
      <w:sz w:val="28"/>
      <w:szCs w:val="28"/>
      <w:lang w:val="en-US"/>
    </w:rPr>
  </w:style>
  <w:style w:type="character" w:styleId="Style11" w:customStyle="1">
    <w:name w:val="Титульник. Основной текст [ВУЗ] Знак"/>
    <w:basedOn w:val="DefaultParagraphFont"/>
    <w:link w:val="Style15"/>
    <w:uiPriority w:val="1"/>
    <w:qFormat/>
    <w:locked/>
    <w:rsid w:val="00f51994"/>
    <w:rPr>
      <w:rFonts w:ascii="Times New Roman" w:hAnsi="Times New Roman" w:cs="Times New Roman"/>
      <w:sz w:val="28"/>
      <w:szCs w:val="28"/>
    </w:rPr>
  </w:style>
  <w:style w:type="character" w:styleId="Style12" w:customStyle="1">
    <w:name w:val="Титульник. По центру [ВУЗ] Знак"/>
    <w:basedOn w:val="DefaultParagraphFont"/>
    <w:link w:val="Style16"/>
    <w:uiPriority w:val="1"/>
    <w:qFormat/>
    <w:locked/>
    <w:rsid w:val="00f51994"/>
    <w:rPr>
      <w:rFonts w:ascii="Times New Roman" w:hAnsi="Times New Roman" w:cs="Times New Roman"/>
      <w:sz w:val="28"/>
      <w:szCs w:val="28"/>
    </w:rPr>
  </w:style>
  <w:style w:type="character" w:styleId="Style13" w:customStyle="1">
    <w:name w:val="Титульник. Шапка [ВУЗ] Знак"/>
    <w:basedOn w:val="Style12"/>
    <w:link w:val="Style17"/>
    <w:uiPriority w:val="1"/>
    <w:qFormat/>
    <w:locked/>
    <w:rsid w:val="00f51994"/>
    <w:rPr>
      <w:rFonts w:ascii="Times New Roman" w:hAnsi="Times New Roman" w:cs="Times New Roman"/>
      <w:b/>
      <w:sz w:val="28"/>
      <w:szCs w:val="28"/>
    </w:rPr>
  </w:style>
  <w:style w:type="character" w:styleId="Style14" w:customStyle="1">
    <w:name w:val="вуз Знак"/>
    <w:basedOn w:val="DefaultParagraphFont"/>
    <w:link w:val="Style18"/>
    <w:qFormat/>
    <w:rsid w:val="0053543e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633af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e633af"/>
    <w:pPr>
      <w:spacing w:beforeAutospacing="1" w:afterAutospacing="1"/>
    </w:pPr>
    <w:rPr>
      <w:rFonts w:eastAsia="Times New Roman"/>
      <w:kern w:val="0"/>
      <w:lang w:eastAsia="ru-RU"/>
      <w14:ligatures w14:val="none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93aff"/>
    <w:pPr>
      <w:spacing w:before="480" w:after="0"/>
      <w:outlineLvl w:val="9"/>
    </w:pPr>
    <w:rPr>
      <w:b w:val="false"/>
      <w:bCs w:val="false"/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3aff"/>
    <w:pPr>
      <w:spacing w:before="120" w:after="0"/>
    </w:pPr>
    <w:rPr>
      <w:rFonts w:cs="Calibr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093aff"/>
    <w:pPr>
      <w:spacing w:before="120" w:after="0"/>
      <w:ind w:left="240"/>
    </w:pPr>
    <w:rPr>
      <w:rFonts w:cs="Calibr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93aff"/>
    <w:pPr>
      <w:ind w:left="480"/>
    </w:pPr>
    <w:rPr>
      <w:rFonts w:cs="Calibr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93aff"/>
    <w:pPr>
      <w:ind w:left="720"/>
    </w:pPr>
    <w:rPr>
      <w:rFonts w:cs="Calibr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93aff"/>
    <w:pPr>
      <w:ind w:left="960"/>
    </w:pPr>
    <w:rPr>
      <w:rFonts w:cs="Calibr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93aff"/>
    <w:pPr>
      <w:ind w:left="1200"/>
    </w:pPr>
    <w:rPr>
      <w:rFonts w:cs="Calibr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93aff"/>
    <w:pPr>
      <w:ind w:left="1440"/>
    </w:pPr>
    <w:rPr>
      <w:rFonts w:cs="Calibr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93aff"/>
    <w:pPr>
      <w:ind w:left="1680"/>
    </w:pPr>
    <w:rPr>
      <w:rFonts w:cs="Calibr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93aff"/>
    <w:pPr>
      <w:ind w:left="1920"/>
    </w:pPr>
    <w:rPr>
      <w:rFonts w:cs="Calibri" w:cstheme="minorHAnsi"/>
      <w:sz w:val="20"/>
      <w:szCs w:val="20"/>
    </w:rPr>
  </w:style>
  <w:style w:type="paragraph" w:styleId="Style15" w:customStyle="1">
    <w:name w:val="Титульник. Основной текст [ВУЗ]"/>
    <w:link w:val="Style11"/>
    <w:uiPriority w:val="1"/>
    <w:qFormat/>
    <w:rsid w:val="00f51994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2"/>
      <w:sz w:val="28"/>
      <w:szCs w:val="28"/>
      <w:lang w:val="ru-RU" w:eastAsia="en-US" w:bidi="ar-SA"/>
      <w14:ligatures w14:val="standardContextual"/>
    </w:rPr>
  </w:style>
  <w:style w:type="paragraph" w:styleId="Style16" w:customStyle="1">
    <w:name w:val="Титульник. По центру [ВУЗ]"/>
    <w:link w:val="Style12"/>
    <w:uiPriority w:val="1"/>
    <w:qFormat/>
    <w:rsid w:val="00f51994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 w:eastAsiaTheme="minorHAnsi"/>
      <w:color w:val="auto"/>
      <w:kern w:val="2"/>
      <w:sz w:val="28"/>
      <w:szCs w:val="28"/>
      <w:lang w:val="ru-RU" w:eastAsia="en-US" w:bidi="ar-SA"/>
      <w14:ligatures w14:val="standardContextual"/>
    </w:rPr>
  </w:style>
  <w:style w:type="paragraph" w:styleId="Style17" w:customStyle="1">
    <w:name w:val="Титульник. Шапка [ВУЗ]"/>
    <w:basedOn w:val="Style16"/>
    <w:link w:val="Style13"/>
    <w:uiPriority w:val="1"/>
    <w:qFormat/>
    <w:rsid w:val="00f51994"/>
    <w:pPr>
      <w:spacing w:lineRule="auto" w:line="240"/>
    </w:pPr>
    <w:rPr>
      <w:b/>
    </w:rPr>
  </w:style>
  <w:style w:type="paragraph" w:styleId="Style18" w:customStyle="1">
    <w:name w:val="вуз"/>
    <w:link w:val="Style14"/>
    <w:qFormat/>
    <w:rsid w:val="0053543e"/>
    <w:pPr>
      <w:widowControl w:val="false"/>
      <w:suppressAutoHyphens w:val="true"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2"/>
    <w:uiPriority w:val="59"/>
    <w:rsid w:val="006c56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A403EB-73D6-F642-AD2E-E0EED78F5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Application>LibreOffice/24.2.6.2$Linux_X86_64 LibreOffice_project/420$Build-2</Application>
  <AppVersion>15.0000</AppVersion>
  <Pages>8</Pages>
  <Words>376</Words>
  <Characters>2672</Characters>
  <CharactersWithSpaces>2985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2023-09-08T06:45:00Z</dcterms:created>
  <dc:creator>Илья Симонов</dc:creator>
  <dc:description/>
  <dc:language>en-US</dc:language>
  <cp:lastModifiedBy/>
  <cp:lastPrinted>2024-10-26T11:26:00Z</cp:lastPrinted>
  <dcterms:modified xsi:type="dcterms:W3CDTF">2024-11-24T16:21:29Z</dcterms:modified>
  <cp:revision>211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