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drawing>
          <wp:anchor behindDoc="0" distT="0" distB="0" distL="114300" distR="114300" simplePos="0" locked="0" layoutInCell="0" allowOverlap="1" relativeHeight="2">
            <wp:simplePos x="0" y="0"/>
            <wp:positionH relativeFrom="column">
              <wp:posOffset>53975</wp:posOffset>
            </wp:positionH>
            <wp:positionV relativeFrom="page">
              <wp:posOffset>733425</wp:posOffset>
            </wp:positionV>
            <wp:extent cx="542925" cy="805815"/>
            <wp:effectExtent l="0" t="0" r="0" b="0"/>
            <wp:wrapTight wrapText="bothSides">
              <wp:wrapPolygon edited="0">
                <wp:start x="-88" y="0"/>
                <wp:lineTo x="-88" y="20878"/>
                <wp:lineTo x="21145" y="20878"/>
                <wp:lineTo x="21145" y="0"/>
                <wp:lineTo x="-88" y="0"/>
              </wp:wrapPolygon>
            </wp:wrapTight>
            <wp:docPr id="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2" descr=""/>
                    <pic:cNvPicPr>
                      <a:picLocks noChangeAspect="1" noChangeArrowheads="1"/>
                    </pic:cNvPicPr>
                  </pic:nvPicPr>
                  <pic:blipFill>
                    <a:blip r:embed="rId2">
                      <a:grayscl/>
                    </a:blip>
                    <a:stretch>
                      <a:fillRect/>
                    </a:stretch>
                  </pic:blipFill>
                  <pic:spPr bwMode="auto">
                    <a:xfrm>
                      <a:off x="0" y="0"/>
                      <a:ext cx="542925" cy="805815"/>
                    </a:xfrm>
                    <a:prstGeom prst="rect">
                      <a:avLst/>
                    </a:prstGeom>
                    <a:noFill/>
                  </pic:spPr>
                </pic:pic>
              </a:graphicData>
            </a:graphic>
          </wp:anchor>
        </w:drawing>
      </w:r>
      <w:r>
        <w:rPr>
          <w:rFonts w:eastAsia="Calibri" w:cs="Times New Roman" w:ascii="Times New Roman" w:hAnsi="Times New Roman"/>
          <w:b/>
        </w:rPr>
        <w:t>МИНИСТЕРСТВО НАУКИ И ВЫСШЕГО ОБРАЗОВАНИЯ РФ</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Институт </w:t>
        <w:tab/>
        <w:t>компьютерных наук</w:t>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Кафедра </w:t>
        <w:tab/>
        <w:t>автоматизированных систем управления</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Индивидуальное домашнее задание</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 xml:space="preserve">по </w:t>
      </w:r>
      <w:r>
        <w:rPr>
          <w:rFonts w:cs="Times New Roman" w:ascii="Times New Roman" w:hAnsi="Times New Roman"/>
          <w:sz w:val="28"/>
          <w:szCs w:val="28"/>
        </w:rPr>
        <w:t>дисциплине «Экономико-правовые основы рынка программного обеспечения»</w:t>
      </w:r>
      <w:r>
        <w:rPr>
          <w:rFonts w:cs="Times New Roman" w:ascii="Times New Roman" w:hAnsi="Times New Roman"/>
          <w:sz w:val="28"/>
          <w:szCs w:val="28"/>
        </w:rPr>
        <w:t>:</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Борьба с компьютерным пиратством</w:t>
      </w:r>
      <w:r>
        <w:rPr>
          <w:rFonts w:cs="Times New Roman" w:ascii="Times New Roman" w:hAnsi="Times New Roman"/>
          <w:sz w:val="28"/>
          <w:szCs w:val="28"/>
        </w:rPr>
        <w:t>»</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ab/>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1985"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Студент </w:t>
        <w:tab/>
        <w:t>АС-21-1</w:t>
        <w:tab/>
        <w:t>____________________</w:t>
        <w:tab/>
        <w:t xml:space="preserve"> Станиславчук С. М.</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Руководитель</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Доцент, к.т.н.</w:t>
        <w:tab/>
        <w:t>____________________</w:t>
        <w:tab/>
      </w:r>
      <w:r>
        <w:rPr>
          <w:rFonts w:eastAsia="Calibri" w:cs="Times New Roman" w:ascii="Times New Roman" w:hAnsi="Times New Roman"/>
          <w:sz w:val="28"/>
          <w:szCs w:val="28"/>
        </w:rPr>
        <w:t>Ведищев</w:t>
      </w:r>
      <w:r>
        <w:rPr>
          <w:rFonts w:cs="Times New Roman" w:ascii="Times New Roman" w:hAnsi="Times New Roman"/>
          <w:sz w:val="28"/>
          <w:szCs w:val="28"/>
        </w:rPr>
        <w:t xml:space="preserve"> </w:t>
      </w:r>
      <w:r>
        <w:rPr>
          <w:rFonts w:cs="Times New Roman" w:ascii="Times New Roman" w:hAnsi="Times New Roman"/>
          <w:sz w:val="28"/>
          <w:szCs w:val="28"/>
        </w:rPr>
        <w:t>В</w:t>
      </w:r>
      <w:r>
        <w:rPr>
          <w:rFonts w:cs="Times New Roman" w:ascii="Times New Roman" w:hAnsi="Times New Roman"/>
          <w:sz w:val="28"/>
          <w:szCs w:val="28"/>
        </w:rPr>
        <w:t>. В.</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Липецк 2025</w:t>
      </w:r>
    </w:p>
    <w:sdt>
      <w:sdtPr>
        <w:docPartObj>
          <w:docPartGallery w:val="Table of Contents"/>
          <w:docPartUnique w:val="true"/>
        </w:docPartObj>
      </w:sdtPr>
      <w:sdtContent>
        <w:p>
          <w:pPr>
            <w:pStyle w:val="TOCHeading"/>
            <w:rPr>
              <w:lang w:eastAsia="ru-RU"/>
            </w:rPr>
          </w:pPr>
          <w:r>
            <w:rPr>
              <w:lang w:eastAsia="ru-RU"/>
            </w:rPr>
            <w:t>Содержание</w:t>
          </w:r>
        </w:p>
        <w:p>
          <w:pPr>
            <w:pStyle w:val="TOC1"/>
            <w:tabs>
              <w:tab w:val="clear" w:pos="708"/>
              <w:tab w:val="right" w:pos="9354" w:leader="dot"/>
            </w:tabs>
            <w:rPr/>
          </w:pPr>
          <w:r>
            <w:fldChar w:fldCharType="begin"/>
          </w:r>
          <w:r>
            <w:rPr>
              <w:rStyle w:val="IndexLink"/>
            </w:rPr>
            <w:instrText xml:space="preserve"> TOC \f \o "1-9" \h</w:instrText>
          </w:r>
          <w:r>
            <w:rPr>
              <w:rStyle w:val="IndexLink"/>
            </w:rPr>
            <w:fldChar w:fldCharType="separate"/>
          </w:r>
          <w:hyperlink w:anchor="__RefHeading___Toc1986_901987317">
            <w:r>
              <w:rPr>
                <w:rStyle w:val="IndexLink"/>
              </w:rPr>
              <w:t>1. Введение</w:t>
              <w:tab/>
              <w:t>3</w:t>
            </w:r>
          </w:hyperlink>
        </w:p>
        <w:p>
          <w:pPr>
            <w:pStyle w:val="TOC1"/>
            <w:tabs>
              <w:tab w:val="clear" w:pos="708"/>
              <w:tab w:val="right" w:pos="9354" w:leader="dot"/>
            </w:tabs>
            <w:rPr/>
          </w:pPr>
          <w:hyperlink w:anchor="__RefHeading___Toc639_406506936">
            <w:r>
              <w:rPr>
                <w:rStyle w:val="IndexLink"/>
              </w:rPr>
              <w:t>2. Полиция программного обеспечения</w:t>
              <w:tab/>
              <w:t>4</w:t>
            </w:r>
          </w:hyperlink>
        </w:p>
        <w:p>
          <w:pPr>
            <w:pStyle w:val="TOC1"/>
            <w:tabs>
              <w:tab w:val="clear" w:pos="708"/>
              <w:tab w:val="right" w:pos="9354" w:leader="dot"/>
            </w:tabs>
            <w:rPr/>
          </w:pPr>
          <w:hyperlink w:anchor="__RefHeading___Toc641_406506936">
            <w:r>
              <w:rPr>
                <w:rStyle w:val="IndexLink"/>
              </w:rPr>
              <w:t>3. Полицейский арсенал</w:t>
              <w:tab/>
              <w:t>7</w:t>
            </w:r>
          </w:hyperlink>
        </w:p>
        <w:p>
          <w:pPr>
            <w:pStyle w:val="TOC1"/>
            <w:tabs>
              <w:tab w:val="clear" w:pos="708"/>
              <w:tab w:val="right" w:pos="9354" w:leader="dot"/>
            </w:tabs>
            <w:rPr/>
          </w:pPr>
          <w:hyperlink w:anchor="__RefHeading___Toc643_406506936">
            <w:r>
              <w:rPr>
                <w:rStyle w:val="IndexLink"/>
              </w:rPr>
              <w:t>4. Проблема софтлифтинга</w:t>
              <w:tab/>
              <w:t>9</w:t>
            </w:r>
          </w:hyperlink>
        </w:p>
        <w:p>
          <w:pPr>
            <w:pStyle w:val="TOC1"/>
            <w:tabs>
              <w:tab w:val="clear" w:pos="708"/>
              <w:tab w:val="right" w:pos="9354" w:leader="dot"/>
            </w:tabs>
            <w:rPr/>
          </w:pPr>
          <w:hyperlink w:anchor="__RefHeading___Toc645_406506936">
            <w:r>
              <w:rPr>
                <w:rStyle w:val="IndexLink"/>
              </w:rPr>
              <w:t>5. Борьба</w:t>
              <w:tab/>
              <w:t>11</w:t>
            </w:r>
          </w:hyperlink>
        </w:p>
        <w:p>
          <w:pPr>
            <w:pStyle w:val="TOC1"/>
            <w:tabs>
              <w:tab w:val="clear" w:pos="708"/>
              <w:tab w:val="right" w:pos="9354" w:leader="dot"/>
            </w:tabs>
            <w:rPr/>
          </w:pPr>
          <w:hyperlink w:anchor="__RefHeading___Toc647_406506936">
            <w:r>
              <w:rPr>
                <w:rStyle w:val="IndexLink"/>
              </w:rPr>
              <w:t>6. Вывод</w:t>
              <w:tab/>
              <w:t>13</w:t>
            </w:r>
          </w:hyperlink>
          <w:r>
            <w:rPr>
              <w:rStyle w:val="IndexLink"/>
            </w:rPr>
            <w:fldChar w:fldCharType="end"/>
          </w:r>
        </w:p>
      </w:sdtContent>
    </w:sdt>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Style16"/>
        <w:ind w:hanging="0"/>
        <w:rPr>
          <w:color w:val="auto"/>
        </w:rPr>
      </w:pPr>
      <w:r>
        <w:rPr>
          <w:color w:val="auto"/>
        </w:rPr>
      </w:r>
    </w:p>
    <w:p>
      <w:pPr>
        <w:pStyle w:val="22"/>
        <w:spacing w:lineRule="auto" w:line="360"/>
        <w:ind w:hanging="0" w:left="0"/>
        <w:rPr/>
      </w:pPr>
      <w:bookmarkStart w:id="0" w:name="__RefHeading___Toc1986_901987317"/>
      <w:bookmarkStart w:id="1" w:name="_Toc161041030"/>
      <w:bookmarkEnd w:id="0"/>
      <w:r>
        <w:rPr>
          <w:color w:val="auto"/>
        </w:rPr>
        <w:t xml:space="preserve">1. </w:t>
      </w:r>
      <w:bookmarkEnd w:id="1"/>
      <w:r>
        <w:rPr>
          <w:color w:val="auto"/>
        </w:rPr>
        <w:t>Введение</w:t>
      </w:r>
    </w:p>
    <w:p>
      <w:pPr>
        <w:pStyle w:val="Style16"/>
        <w:rPr/>
      </w:pPr>
      <w:r>
        <w:rPr>
          <w:color w:themeColor="dark1" w:val="auto"/>
        </w:rPr>
        <w:t xml:space="preserve">Сегодня, почти у каждого человека есть персональный компьютер (ПК). И количество ПК и их пользователей только растет. Не только рынок аппаратного обеспечения для ПК растет, но и успех работы дома создал огромный рынок для персональных программных продуктов. В 1992 году одна только индустрия публикации программного обеспечения (ПО) принесла $17.8 млрд дохода. В то время как большая часть этого ПО покупается корпорациями, образовательными учреждениями и правительствами, все больше и больше ПО покупается частными лицами для использования дома. И, поскольку спрос по ПО увеличился, все больше и больше любей </w:t>
      </w:r>
      <w:r>
        <w:rPr>
          <w:b/>
          <w:bCs/>
          <w:color w:themeColor="dark1" w:val="auto"/>
        </w:rPr>
        <w:t>пиратят</w:t>
      </w:r>
      <w:r>
        <w:rPr>
          <w:color w:themeColor="dark1" w:val="auto"/>
        </w:rPr>
        <w:t xml:space="preserve"> ПО для использования дома.</w:t>
      </w:r>
    </w:p>
    <w:p>
      <w:pPr>
        <w:pStyle w:val="Style16"/>
        <w:rPr/>
      </w:pPr>
      <w:r>
        <w:rPr/>
        <w:t>"Программное пиратство" в значительной степени стало общим термином для незаконного копирования защищенного авторским правом компьютерного ПО. Однако, общее использование термина "пиратство" охватывает то, что можно рассматривать отдельные категории пиратства: 1) коммерческое пиратство; 2) корпоративное пиратство; и 3) софтлифтинг. Коммерческое пиратство относится к незаконному копированию ПО с целью распространения и продажи. Корпоративное пиратство, с другой стороны, редко влечет за собой копирование ПО для получения прямой финансовой выгоды. Скорее, корпоративные пираты часто обнаруживают, что размер и сфера использования ПО их компанией делают отслеживание и обеспечение соблюдения авторских прав на ПО чрезвычайно сложными. Категория корпоративного пиратства охватывает деятельность не только корпораций и предприятий, но также образовательных учреждений, гос. структур и т.д</w:t>
      </w:r>
    </w:p>
    <w:p>
      <w:pPr>
        <w:pStyle w:val="Style16"/>
        <w:rPr/>
      </w:pPr>
      <w:r>
        <w:rPr>
          <w:color w:themeColor="dark1" w:val="auto"/>
        </w:rPr>
        <w:t>Последняя категория программного пиратства - та, которую разберем подробнее всего: софтлифтинг (softlifting). Софтлифтинг - это программный эквивалент шоплифтингу (sho</w:t>
      </w:r>
      <w:r>
        <w:rPr>
          <w:color w:themeColor="dark1" w:val="auto"/>
        </w:rPr>
        <w:t>p</w:t>
      </w:r>
      <w:r>
        <w:rPr>
          <w:color w:themeColor="dark1" w:val="auto"/>
        </w:rPr>
        <w:t>lifting). Когда кто-то копирует пакет ПО или приносит резервную копию домой с работы для личного пользования, или берет программу в библиотеке и делает с нее копию, каждое из этих действий равносильно софтлифтингу. Софтлифтинг - это пиратство, которое происходит у нас дома - за закрытыми дверями, где никто не может его увидеть; оно не предназначено для прямой финансовой выгоды и, как полагают многие, совершенно законно.</w:t>
      </w:r>
    </w:p>
    <w:p>
      <w:pPr>
        <w:pStyle w:val="Style16"/>
        <w:rPr/>
      </w:pPr>
      <w:r>
        <w:rPr/>
        <w:t>Издатели ПО потратели значительные ресурсы за последние 30 лет, чтобы бороться со всеми формами пиратсва. Они объединились в такие торговые организации, как Ассоциация издателей  ПО ("SPA"), Ассоциция организаций по обработке данных ("ADAPSO") и Альянс по бизнес-программному обеспечению ("BSA"), чтобы бороться с пиратством не только в судах, но и в Конгрессе, и в прессе. Эти усилия были относительно успешными в отношении коммерческого и корпоративного пиратства, но не смогли атаковать софтлифтинг каким-либо серьезным способом.</w:t>
      </w:r>
    </w:p>
    <w:p>
      <w:pPr>
        <w:pStyle w:val="22"/>
        <w:ind w:hanging="0" w:left="0"/>
        <w:rPr>
          <w:color w:val="auto"/>
        </w:rPr>
      </w:pPr>
      <w:r>
        <w:rPr>
          <w:color w:themeColor="dark1" w:val="auto"/>
        </w:rPr>
      </w:r>
    </w:p>
    <w:p>
      <w:pPr>
        <w:pStyle w:val="22"/>
        <w:keepNext w:val="true"/>
        <w:keepLines/>
        <w:widowControl/>
        <w:suppressAutoHyphens w:val="true"/>
        <w:overflowPunct w:val="true"/>
        <w:bidi w:val="0"/>
        <w:spacing w:lineRule="auto" w:line="360" w:before="240" w:after="0"/>
        <w:ind w:hanging="0" w:left="0"/>
        <w:jc w:val="left"/>
        <w:rPr/>
      </w:pPr>
      <w:bookmarkStart w:id="2" w:name="__RefHeading___Toc639_406506936"/>
      <w:bookmarkEnd w:id="2"/>
      <w:r>
        <w:rPr>
          <w:color w:themeColor="dark1" w:val="auto"/>
        </w:rPr>
        <w:t xml:space="preserve">2. </w:t>
      </w:r>
      <w:r>
        <w:rPr>
          <w:rFonts w:eastAsia="Calibri"/>
          <w:color w:val="auto"/>
          <w:kern w:val="0"/>
          <w:lang w:val="ru-RU" w:eastAsia="en-US" w:bidi="ar-SA"/>
        </w:rPr>
        <w:t>Полиция</w:t>
      </w:r>
      <w:r>
        <w:rPr>
          <w:color w:themeColor="dark1" w:val="auto"/>
        </w:rPr>
        <w:t xml:space="preserve"> программного обеспечения</w:t>
      </w:r>
    </w:p>
    <w:p>
      <w:pPr>
        <w:pStyle w:val="Style16"/>
        <w:ind w:hanging="0"/>
        <w:rPr>
          <w:color w:themeColor="dark1" w:val="auto"/>
        </w:rPr>
      </w:pPr>
      <w:r>
        <w:rPr>
          <w:color w:themeColor="dark1" w:val="auto"/>
        </w:rPr>
        <w:tab/>
        <w:t>Несмотря на жаркие дебаты последних лет по поводу возможности защиты авторских прав на компьютерные программы, в настоящее время твердо установлено, что программное обеспечение защищено законами об авторских правах. Вооружившись законом об авторских правах и его</w:t>
      </w:r>
    </w:p>
    <w:p>
      <w:pPr>
        <w:pStyle w:val="Style16"/>
        <w:ind w:hanging="0"/>
        <w:rPr>
          <w:color w:themeColor="dark1" w:val="auto"/>
        </w:rPr>
      </w:pPr>
      <w:r>
        <w:rPr>
          <w:color w:themeColor="dark1" w:val="auto"/>
        </w:rPr>
        <w:t>положениями по обеспечению соблюдения, индустрия программного обеспечения начала бдительно защищать свои права интеллектуальной собственности. Эти усилия по обеспечению соблюдения</w:t>
      </w:r>
    </w:p>
    <w:p>
      <w:pPr>
        <w:pStyle w:val="Style16"/>
        <w:ind w:hanging="0"/>
        <w:rPr>
          <w:color w:themeColor="dark1" w:val="auto"/>
        </w:rPr>
      </w:pPr>
      <w:r>
        <w:rPr>
          <w:color w:themeColor="dark1" w:val="auto"/>
        </w:rPr>
        <w:t>были предпринятые издателями программного обеспечения как индивидуально, так и совместно, через такие торговые организации, как SPA и BSA. Опираясь на весь арсенал мер по обеспечению соблюдения авторских прав, издатели программного обеспечения добились больших успехов в борьбе с корпоративным и коммерческим пиратством и в этих усилиях</w:t>
      </w:r>
    </w:p>
    <w:p>
      <w:pPr>
        <w:pStyle w:val="Style16"/>
        <w:ind w:hanging="0"/>
        <w:rPr>
          <w:color w:themeColor="dark1" w:val="auto"/>
        </w:rPr>
      </w:pPr>
      <w:r>
        <w:rPr>
          <w:color w:themeColor="dark1" w:val="auto"/>
        </w:rPr>
        <w:t>были коллективно названы «полицией программного обеспечения».</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Хотя до настоящего времени полиция программного обеспечения пыталась лишь обеспечить соблюдение законов об авторских правах против коммерческих и корпоративных пиратов, состав полиции и характер ее арсенала правоприменения являются поучительными при рассмотрении</w:t>
      </w:r>
    </w:p>
    <w:p>
      <w:pPr>
        <w:pStyle w:val="Style16"/>
        <w:ind w:hanging="0"/>
        <w:rPr>
          <w:color w:themeColor="dark1" w:val="auto"/>
        </w:rPr>
      </w:pPr>
      <w:r>
        <w:rPr>
          <w:color w:themeColor="dark1" w:val="auto"/>
        </w:rPr>
        <w:t>проблемы софтлифтинга. Полиция программного обеспечения располагает огромными финансовыми ресурсами, однако характер средств защиты авторских прав и способы, которыми они применялись в прошлом, совершенно не подходят для борьбы с некоммерческим домашним</w:t>
      </w:r>
    </w:p>
    <w:p>
      <w:pPr>
        <w:pStyle w:val="Style16"/>
        <w:ind w:hanging="0"/>
        <w:rPr>
          <w:color w:themeColor="dark1" w:val="auto"/>
        </w:rPr>
      </w:pPr>
      <w:r>
        <w:rPr>
          <w:color w:themeColor="dark1" w:val="auto"/>
        </w:rPr>
        <w:t>пиратством. Кто такие «Полиция программного обеспечения»?</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Полиция программного обеспечения — это разнообразная организация. В основе всех усилий по обеспечению соблюдения лежат сами издатели. Только отдельные издатели, как владельцы авторских прав, имеют право начинать исполнительные процедуры против нарушителей.</w:t>
      </w:r>
    </w:p>
    <w:p>
      <w:pPr>
        <w:pStyle w:val="Style16"/>
        <w:ind w:hanging="0"/>
        <w:rPr>
          <w:color w:themeColor="dark1" w:val="auto"/>
        </w:rPr>
      </w:pPr>
      <w:r>
        <w:rPr>
          <w:color w:themeColor="dark1" w:val="auto"/>
        </w:rPr>
        <w:t>Некоторые из крупных компаний-разработчиков программного обеспечения недавно создали внутренние полицейские силы, которые расследуют пиратство своих программ, а затем возбуждают иски против этих нарушителей. Из-за дороговизны таких усилий эти организации,</w:t>
      </w:r>
    </w:p>
    <w:p>
      <w:pPr>
        <w:pStyle w:val="Style16"/>
        <w:ind w:hanging="0"/>
        <w:rPr>
          <w:color w:themeColor="dark1" w:val="auto"/>
        </w:rPr>
      </w:pPr>
      <w:r>
        <w:rPr>
          <w:color w:themeColor="dark1" w:val="auto"/>
        </w:rPr>
        <w:t>как правило, сосредотачивают свои ресурсы на коммерческом пиратстве и крупномасштабном корпоративном пиратстве, а не на софтлифтинге.</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Однако большинство усилий по контролю со стороны сообщества разработчиков программного обеспечения предпринимаются коллективно через такие отраслевые организации, как Ассоциация издателей программного обеспечения и Альянс по деловому программному обеспечению. Объединяя ресурсы, издатели программного обеспечения могут более эффективно расследовать обвинения в нарушении авторских прав и, при необходимости, возбуждать дорогостоящие</w:t>
      </w:r>
    </w:p>
    <w:p>
      <w:pPr>
        <w:pStyle w:val="Style16"/>
        <w:ind w:hanging="0"/>
        <w:rPr>
          <w:color w:themeColor="dark1" w:val="auto"/>
        </w:rPr>
      </w:pPr>
      <w:r>
        <w:rPr>
          <w:color w:themeColor="dark1" w:val="auto"/>
        </w:rPr>
        <w:t>судебные иски против нарушителей.</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Ассоциация издателей программного обеспечения (SPA) является крупнейшей организацией, борющейся с пиратством программного обеспечения. Созданная в 1984 году, SPA принимает активное участие во всех аспектах защиты авторских прав на программное обеспечение — от</w:t>
      </w:r>
    </w:p>
    <w:p>
      <w:pPr>
        <w:pStyle w:val="Style16"/>
        <w:ind w:hanging="0"/>
        <w:rPr>
          <w:color w:themeColor="dark1" w:val="auto"/>
        </w:rPr>
      </w:pPr>
      <w:r>
        <w:rPr>
          <w:color w:themeColor="dark1" w:val="auto"/>
        </w:rPr>
        <w:t>судебных разбирательств до законодательства и образования. Сегодня в SPA насчитывается более 1100 членов, среди которых — крупные издатели программного обеспечения для бизнеса и небольшие компании по производству компьютерных игр. В SPA работают девять штатных</w:t>
      </w:r>
    </w:p>
    <w:p>
      <w:pPr>
        <w:pStyle w:val="Style16"/>
        <w:ind w:hanging="0"/>
        <w:rPr>
          <w:color w:themeColor="dark1" w:val="auto"/>
        </w:rPr>
      </w:pPr>
      <w:r>
        <w:rPr>
          <w:color w:themeColor="dark1" w:val="auto"/>
        </w:rPr>
        <w:t>сотрудников, и только в прошлом году она предприняла действия против 577 организаций, собрав 3 600 000 долларов штрафов. Деньги, собранные каждый год в результате усилий по обеспечению соблюдения, реинвестируются в будущие судебные разбирательства и усилия по</w:t>
      </w:r>
    </w:p>
    <w:p>
      <w:pPr>
        <w:pStyle w:val="Style16"/>
        <w:ind w:hanging="0"/>
        <w:rPr>
          <w:color w:themeColor="dark1" w:val="auto"/>
        </w:rPr>
      </w:pPr>
      <w:r>
        <w:rPr>
          <w:color w:themeColor="dark1" w:val="auto"/>
        </w:rPr>
        <w:t>связям с общественностью. Таким образом, чем успешнее организация в защите авторских прав, тем большую сумму денег она может инвестировать в будущие полицейские мероприятия.</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Вторая организация по торговле программным обеспечением, Business Software Alliance, имеет большое значение благодаря своему впечатляющему членству. BSA представляет Aldus Corp., Apple Computer Inc., Autodesk Inc., Borland International Inc., Lotus Development Corp., WordPerfect Corp. и Microsoft Corp. На долю этой «большой семерки» издателей программного обеспечения приходится 75% всех мировых продаж программного обеспечения. В то время как в момент своего создания BSA сосредоточилась на международном пиратстве, организация начала внутренние усилия по обеспечению соблюдения прав в июле 1992 года. Вскоре после формирования своей внутренней группы по борьбе с пиратством «большая семерка» отозвала разрешение у SPA на начало исполнительных разбирательств от их имени, оставив всю защиту авторских прав BSA и внутренним юридическим отделам отдельных издателей. Таким образом, BSA становится все более значимым членом полиции программного обеспечения.</w:t>
      </w:r>
    </w:p>
    <w:p>
      <w:pPr>
        <w:pStyle w:val="Style16"/>
        <w:ind w:hanging="0"/>
        <w:rPr>
          <w:color w:themeColor="dark1" w:val="auto"/>
        </w:rPr>
      </w:pPr>
      <w:r>
        <w:rPr>
          <w:color w:themeColor="dark1" w:val="auto"/>
        </w:rPr>
      </w:r>
    </w:p>
    <w:p>
      <w:pPr>
        <w:pStyle w:val="22"/>
        <w:keepNext w:val="true"/>
        <w:keepLines/>
        <w:widowControl/>
        <w:suppressAutoHyphens w:val="true"/>
        <w:overflowPunct w:val="true"/>
        <w:bidi w:val="0"/>
        <w:spacing w:lineRule="auto" w:line="360" w:before="240" w:after="0"/>
        <w:ind w:hanging="0" w:left="0"/>
        <w:jc w:val="left"/>
        <w:rPr/>
      </w:pPr>
      <w:bookmarkStart w:id="3" w:name="__RefHeading___Toc641_406506936"/>
      <w:bookmarkEnd w:id="3"/>
      <w:r>
        <w:rPr>
          <w:color w:themeColor="dark1" w:val="auto"/>
        </w:rPr>
        <w:t>3.</w:t>
      </w:r>
      <w:r>
        <w:rPr>
          <w:color w:themeColor="dark1" w:val="auto"/>
        </w:rPr>
        <w:t xml:space="preserve"> </w:t>
      </w:r>
      <w:r>
        <w:rPr>
          <w:rFonts w:eastAsia="Calibri"/>
          <w:color w:themeColor="dark1" w:val="auto"/>
          <w:kern w:val="0"/>
          <w:lang w:val="ru-RU" w:eastAsia="en-US" w:bidi="ar-SA"/>
        </w:rPr>
        <w:t>Полицейский</w:t>
      </w:r>
      <w:r>
        <w:rPr>
          <w:color w:themeColor="dark1" w:val="auto"/>
        </w:rPr>
        <w:t xml:space="preserve"> арсенал</w:t>
      </w:r>
    </w:p>
    <w:p>
      <w:pPr>
        <w:pStyle w:val="Style16"/>
        <w:ind w:hanging="0"/>
        <w:rPr>
          <w:color w:themeColor="dark1" w:val="auto"/>
        </w:rPr>
      </w:pPr>
      <w:r>
        <w:rPr>
          <w:color w:themeColor="dark1" w:val="auto"/>
        </w:rPr>
        <w:tab/>
        <w:t>Различные члены программной полиции вооружены одними и теми же основными инструментами принуждения: положениями об средствах правовой защиты, предусмотренными законами об авторском праве. Программная полиция также использует угрозу исков о нарушении прав (и плохую репутацию, которая может возникнуть в результате таких исков), чтобы добиться «добровольного» соблюдения прав большим количеством нарушителей. Среди оружия, используемого программной полицией, есть: добровольные аудиты; прекращение и письма о запрете; временные запретительные судебные приказы; судебные приказы о конфискации; гражданские иски; и уголовные разбирательства.</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Основным средством, с помощью которого SPA обеспечивает соблюдение авторских прав своих издателей-членов, является добровольное соблюдение. Эти усилия по обеспечению соблюдения принимают форму как писем о прекращении и воздержании, так и добровольных запросов на аудит. Письма о прекращении и воздержании рассылаются, когда пользователь программного обеспечения в целом соблюдает требования, но технически нарушил закон или когда SPA получило наводку, которую не может легко проверить. Хотя эти письма не имеют никакой юридической силы, они дают понять компании, что она была выбрана SPA для более тщательного изучения в будущем.</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Однако более существенным является использование SPA добровольных аудитов. Когда SPA получает более существенный или более проверяемый случай корпоративного пиратства, оно отправляет письмо о проверке. В письме о проверке говорится, что у SPA есть доказательства того, что компания использует пиратское программное обеспечение, и что будет возбуждено судебное дело, если компания не согласится разрешить SPA провести аудит. Примерно 90% компаний, получающих запросы на проверку, соглашаются сотрудничать с SPA. Несмотря на то, что эти судебные разбирательства являются добровольными, они могут привести к огромным штрафам.Возможно, наиболее привлекательным аспектом таких добровольных аудитов с точки зрения корпоративного пиратства является тот факт, что они часто анонимны, давая нарушителю компании шанс исправить свои действия без общественного порицания. Хотя подавляющее большинство мер по обеспечению соблюдения авторских прав на программное обеспечение осуществляется добровольными средствами, бывают случаи, когда полиции по защите прав на программное обеспечение необходимо полагаться на судебную систему. В таких случаях закон об авторском праве предоставляет ряд мощных досудебных и послесудебных средств правовой защиты. Эти средства правовой защиты добавляют зубцов положениям об авторском праве и обеспечивают такие стимулы, что почти все иски о корпоративном пиратстве, поданные на сегодняшний день, были урегулированы во внесудебном порядке.</w:t>
      </w:r>
    </w:p>
    <w:p>
      <w:pPr>
        <w:pStyle w:val="22"/>
        <w:keepNext w:val="true"/>
        <w:keepLines/>
        <w:widowControl/>
        <w:suppressAutoHyphens w:val="true"/>
        <w:overflowPunct w:val="true"/>
        <w:bidi w:val="0"/>
        <w:spacing w:lineRule="auto" w:line="360" w:before="240" w:after="0"/>
        <w:ind w:hanging="0" w:left="0"/>
        <w:jc w:val="left"/>
        <w:rPr/>
      </w:pPr>
      <w:bookmarkStart w:id="4" w:name="__RefHeading___Toc643_406506936"/>
      <w:bookmarkEnd w:id="4"/>
      <w:r>
        <w:rPr>
          <w:color w:themeColor="dark1" w:val="auto"/>
        </w:rPr>
        <w:t>4.</w:t>
      </w:r>
      <w:r>
        <w:rPr>
          <w:color w:themeColor="dark1" w:val="auto"/>
        </w:rPr>
        <w:t xml:space="preserve"> </w:t>
      </w:r>
      <w:r>
        <w:rPr>
          <w:rFonts w:eastAsia="Calibri"/>
          <w:color w:themeColor="dark1" w:val="auto"/>
          <w:kern w:val="0"/>
          <w:lang w:val="ru-RU" w:eastAsia="en-US" w:bidi="ar-SA"/>
        </w:rPr>
        <w:t>Проблема</w:t>
      </w:r>
      <w:r>
        <w:rPr>
          <w:color w:themeColor="dark1" w:val="auto"/>
        </w:rPr>
        <w:t xml:space="preserve"> софтлифтинга</w:t>
      </w:r>
    </w:p>
    <w:p>
      <w:pPr>
        <w:pStyle w:val="Style16"/>
        <w:ind w:hanging="0"/>
        <w:rPr>
          <w:color w:themeColor="dark1" w:val="auto"/>
        </w:rPr>
      </w:pPr>
      <w:r>
        <w:rPr>
          <w:color w:themeColor="dark1" w:val="auto"/>
        </w:rPr>
        <w:tab/>
        <w:t>Хотя индустрия программного обеспечения имеет некоторое представление о размерах проблем корпоративного пиратства, то же самое нельзя сказать о софтлифтинге. Как заявила Терри Чайлдс, менеджер по связям с общественностью SPA, "просто не существует способа, формы или вида отслеживать такие вещи". Таким образом, цифры SPA по компьютерному пиратству даже не включают оценки софтлифтинга. Это отсутствие конкретных доказательств софтлифтинга еще больше осложняется тем фактом, что большинство отраслевых оценок не различают различные типы программного пиратства. В результате предполагается, что проблема софтлифтинга существует, но степень ее существования остается на усмотрение".</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Тем не менее, предположение о том, что софтлифтинг имеет место, кажется неоспоримым. На чисто анекдотическом уровне, почти каждый, кто связан с компьютером или является его пользователем, в тот или иной момент видел пиратское программное обеспечение». Что еще более важно, существует целый ряд причин и стимулов для софтлифтинга, которые, хотя и не являются оправданными, делают софтлифтинг более понятным.</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Одним из больших стимулов для софтлифтинга является тот факт, что созданная копия полностью взаимозаменяема с оригиналом. В отличие от связанной с этим проблемы пиратства аналоговых аудиокассет, при которой звук неизбежно ухудшается в процессе копирования, компьютерные программы содержатся в цифровом носителе и, как таковые, могут быть скопированы точно. Каждая копия программы идеальна, и каждая копия этой копии идеальна. И все, что нужно для создания копии, — это компьютер, на котором запущено программное обеспечение. Как говорит Терри Чайлдс, «это единственная отрасль в мире, которая позволяет каждому пользователю стать производственным филиалом». Более того, в отличие от видео или фонограммы, процесс копирования занимает минуты, а не часы. Таким образом, с помощью нескольких простых команд любой владелец компьютера может создать идеальную копию защищенной авторским правом работы в течение нескольких минут, которая будет функционировать точно так же, как и оригинал.</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Стоимость программного обеспечения создает дополнительный стимул для софтлифтинга. Многие пользователи компьютеров считают стоимость программного обеспечения завышенной - компьютерные приложения, такие как программа обработки текста, могут стоить сотни долларов. Неудивительно, что люди склонны к софтлифтингу, когда программу за 250 долларов можно скачать абсолютно бесплатно с неофициальных источников. В то время как некоторые софтлифтеры просто соблазняются огромной экономией от пиратства, другие считают это «грабежом богатых и раздачей бедным». Наконец, есть некоторое ощущение, что софтлифтинг приемлем, потому что такие пираты никогда не пойманы. Сама SPA признает, что лица, копирующие программное обеспечение, практически не боятся столкнуться с судебными разбирательствами. Хотя Питер Берук, менеджер по судебным разбирательствам SPA, предполагает, что это происходит потому, что «[SPA] имеет более крупную рыбу для жарки», более вероятно, что у SPA просто нет возможности поймать такую мелкую рыбешку. Софтлифтинг происходит за закрытыми дверями домов отдельных лиц, и любые средства, с помощью которых полиция программного обеспечения могла бы обнаружить такое пиратство, напоминали бы «большого брата».</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ab/>
        <w:t>Несмотря на то, что Закон об авторском праве призван защищать целостность авторских работ издателей программного обеспечения, и несмотря на то, что этот закон предоставляет полиции программного обеспечения мощные средства правовой защиты, софтлифтинг остается широко распространенным явлением. Более того, нет никаких признаков того, что явление софтлифтинга скоро исчезнет. Поэтому необходимо рассмотреть, что можно сделать для обеспечения целостности программного обеспечения микрокомпьютеров, а также для обеспечения того, чтобы те лица, которые вкладывают значительную энергию в создание такого программного обеспечения, получали справедливую компенсацию.</w:t>
      </w:r>
    </w:p>
    <w:p>
      <w:pPr>
        <w:pStyle w:val="22"/>
        <w:keepNext w:val="true"/>
        <w:keepLines/>
        <w:widowControl/>
        <w:suppressAutoHyphens w:val="true"/>
        <w:overflowPunct w:val="true"/>
        <w:bidi w:val="0"/>
        <w:spacing w:lineRule="auto" w:line="360" w:before="240" w:after="0"/>
        <w:ind w:hanging="0" w:left="0"/>
        <w:jc w:val="left"/>
        <w:rPr>
          <w:color w:themeColor="dark1" w:val="auto"/>
        </w:rPr>
      </w:pPr>
      <w:r>
        <w:rPr/>
      </w:r>
    </w:p>
    <w:p>
      <w:pPr>
        <w:pStyle w:val="22"/>
        <w:widowControl/>
        <w:numPr>
          <w:ilvl w:val="0"/>
          <w:numId w:val="0"/>
        </w:numPr>
        <w:suppressAutoHyphens w:val="true"/>
        <w:overflowPunct w:val="true"/>
        <w:bidi w:val="0"/>
        <w:spacing w:lineRule="auto" w:line="360" w:before="240" w:after="0"/>
        <w:ind w:hanging="0" w:left="0"/>
        <w:jc w:val="left"/>
        <w:rPr/>
      </w:pPr>
      <w:bookmarkStart w:id="5" w:name="__RefHeading___Toc645_406506936"/>
      <w:bookmarkEnd w:id="5"/>
      <w:r>
        <w:rPr>
          <w:color w:themeColor="dark1" w:val="auto"/>
        </w:rPr>
        <w:t xml:space="preserve">5. </w:t>
      </w:r>
      <w:r>
        <w:rPr>
          <w:rFonts w:eastAsia="Calibri"/>
          <w:color w:themeColor="dark1" w:val="auto"/>
          <w:kern w:val="0"/>
          <w:lang w:val="ru-RU" w:eastAsia="en-US" w:bidi="ar-SA"/>
        </w:rPr>
        <w:t>Борьба</w:t>
      </w:r>
    </w:p>
    <w:p>
      <w:pPr>
        <w:pStyle w:val="Style16"/>
        <w:ind w:hanging="0"/>
        <w:rPr>
          <w:color w:themeColor="dark1" w:val="auto"/>
        </w:rPr>
      </w:pPr>
      <w:r>
        <w:rPr>
          <w:color w:themeColor="dark1" w:val="auto"/>
        </w:rPr>
        <w:tab/>
        <w:t>В июле 2013 г. принят так называемый антипиратский закон ("закон о борьбе с пиратством в интернете"), направленный на ужесточение борьбы с незаконным пользованием фильмами. По сути это пилотный законодательный проект по новому правовому механизму взаимоотношений правообладателей и информационных посредников, осуществляемый в отношении одного контента и в юрисдикции одного суда - Мосгорсуда. Закон устанавливает новые предварительные обеспечительные меры, процедуру досудебного разрешения споров, а также возможность блокировки информационного ресурса по решению суда. Вводятся новые виды информационных посредников: те, которые предоставляют возможность несанкционированного правообладателем размещения контента и те, которые предоставляют возможность доступа к этому контенту. В настоящее время на различных площадках - от социальных сетей до Администрации Президента Российской Федерации - идет активное обсуждение практики применения данного закона с целью выработки конкретных рекомендаций по его доработке и распространению действия на другие объекты авторского права.</w:t>
      </w:r>
    </w:p>
    <w:p>
      <w:pPr>
        <w:pStyle w:val="Style16"/>
        <w:ind w:hanging="0"/>
        <w:rPr>
          <w:color w:themeColor="dark1" w:val="auto"/>
        </w:rPr>
      </w:pPr>
      <w:r>
        <w:rPr>
          <w:color w:themeColor="dark1" w:val="auto"/>
        </w:rPr>
        <w:tab/>
      </w:r>
      <w:r>
        <w:rPr/>
        <w:t>В ближайшей перспективе планируется принять серию поправок в часть четвертую ГК РФ, большинство которых направлено на защиту интеллектуальной собственности и противодействие нарушениям авторских прав. Проект соответствующего закона внесен Президентом Российской Федерации еще в 2012 г. ("О внесении изменений в части первую, вторую, третью и четвертую Гражданского кодекса Российской Федерации, а также в отдельные законодательные акты Российской Федерации").</w:t>
      </w:r>
    </w:p>
    <w:p>
      <w:pPr>
        <w:pStyle w:val="Style16"/>
        <w:ind w:hanging="0"/>
        <w:rPr>
          <w:color w:themeColor="dark1" w:val="auto"/>
        </w:rPr>
      </w:pPr>
      <w:r>
        <w:rPr/>
        <w:tab/>
        <w:t>Кроме того активизируется деятельность и правоохранительных органов. За 2011-2012 гг. было возбуждено почти 10 тысяч уголовных дел в отношении распространителей пиратской продукции, нарушающих авторские права. За это же время судами рассмотрено более 20 тыс. дел об административных правонарушениях в сфере авторского права.</w:t>
      </w:r>
    </w:p>
    <w:p>
      <w:pPr>
        <w:pStyle w:val="Style16"/>
        <w:ind w:hanging="0"/>
        <w:rPr>
          <w:color w:themeColor="dark1" w:val="auto"/>
        </w:rPr>
      </w:pPr>
      <w:r>
        <w:rPr/>
        <w:tab/>
        <w:t>Но, несмотря на принимаемые меры, нужно откровенно признать, что масштабы компьютерного пиратства остаются и останутся в ближайшей перспективе весьма и весьма значительными. Значит, существует питательная среда, заставляющая людей этого бизнеса оставаться в сумеречной зоне права и не бояться ответственности за нарушение границ чужой интеллектуальной собственности. Здесь можно назвать несколько разноплановых причин. Во-первых, спрос рождает предложение. Дешевая контрафактная продукция всегда и везде будет более востребованной, чем дорогая лицензионная программа, тем более что за производство и использование контрафакта жесткой ответственности не предусмотрено, равно как и контроля за динамикой этих видов противоправной деятельности. Во-вторых, не последнюю роль здесь играет низкий уровень правосознания и уважения к интеллектуальной собственности среди населения. Это, в свою очередь, подогревается отсутствием четкой и цельной государственной идеологии, задающей общие ориентиры развития данной области человеческой деятельности. В-третьих, социально-политическая система идей и представлений о развитии интеллектуальной собственности и ее защиты носит во многом разрозненный и непоследовательный характер.</w:t>
      </w:r>
    </w:p>
    <w:p>
      <w:pPr>
        <w:pStyle w:val="22"/>
        <w:keepNext w:val="true"/>
        <w:keepLines/>
        <w:widowControl/>
        <w:suppressAutoHyphens w:val="true"/>
        <w:overflowPunct w:val="true"/>
        <w:bidi w:val="0"/>
        <w:spacing w:lineRule="auto" w:line="360" w:before="240" w:after="0"/>
        <w:ind w:hanging="0" w:left="0"/>
        <w:jc w:val="left"/>
        <w:rPr/>
      </w:pPr>
      <w:bookmarkStart w:id="6" w:name="__RefHeading___Toc647_406506936"/>
      <w:bookmarkEnd w:id="6"/>
      <w:r>
        <w:rPr>
          <w:color w:themeColor="dark1" w:val="auto"/>
        </w:rPr>
        <w:t xml:space="preserve">6. </w:t>
      </w:r>
      <w:r>
        <w:rPr>
          <w:rFonts w:eastAsia="Calibri"/>
          <w:color w:themeColor="dark1" w:val="auto"/>
          <w:kern w:val="0"/>
          <w:lang w:val="ru-RU" w:eastAsia="en-US" w:bidi="ar-SA"/>
        </w:rPr>
        <w:t>Вывод</w:t>
      </w:r>
    </w:p>
    <w:p>
      <w:pPr>
        <w:pStyle w:val="Style16"/>
        <w:ind w:hanging="0"/>
        <w:rPr>
          <w:color w:themeColor="dark1" w:val="auto"/>
        </w:rPr>
      </w:pPr>
      <w:r>
        <w:rPr>
          <w:color w:themeColor="dark1" w:val="auto"/>
        </w:rPr>
        <w:tab/>
        <w:t>Правовая защита программных продуктов осуществляется через авторское право, патентное право, институт коммерческой тайны и законодательство о защите информации. в россии, согласно статье 138 гражданского кодекса рф, использование результатов интеллектуальной деятельности без согласия правообладателя влечет гражданско-правовую ответственность. нарушители могут быть обязаны возместить убытки, выплатить неустойку и компенсацию морального вреда, а также подвергнуться административным штрафам.</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Международные организации, такие как международная ассоциация по защите программных продуктов (BSA), играют важную роль в борьбе с пиратством, проводя информационные кампании и сотрудничая с правоохранительными органами для выявления и пресечения случаев нелегального использования ПО.</w:t>
      </w:r>
    </w:p>
    <w:p>
      <w:pPr>
        <w:pStyle w:val="Style16"/>
        <w:ind w:hanging="0"/>
        <w:rPr>
          <w:color w:themeColor="dark1" w:val="auto"/>
        </w:rPr>
      </w:pPr>
      <w:r>
        <w:rPr>
          <w:color w:themeColor="dark1" w:val="auto"/>
        </w:rPr>
      </w:r>
    </w:p>
    <w:p>
      <w:pPr>
        <w:pStyle w:val="Style16"/>
        <w:ind w:hanging="0"/>
        <w:rPr>
          <w:color w:themeColor="dark1" w:val="auto"/>
        </w:rPr>
      </w:pPr>
      <w:r>
        <w:rPr>
          <w:color w:themeColor="dark1" w:val="auto"/>
        </w:rPr>
        <w:t>Таким образом, борьба с компьютерным пиратством требует комплексного подхода, включающего юридические, технические, организационные и экономические меры, а также активное участие международных организаций и повышение осведомленности пользователей о последствиях использования нелицензионного ПО.</w:t>
      </w:r>
    </w:p>
    <w:sectPr>
      <w:footerReference w:type="even" r:id="rId3"/>
      <w:footerReference w:type="default" r:id="rId4"/>
      <w:footerReference w:type="first" r:id="rId5"/>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w:altName w:val="Times New Roman"/>
    <w:charset w:val="01"/>
    <w:family w:val="roman"/>
    <w:pitch w:val="default"/>
  </w:font>
  <w:font w:name="Calibri Light">
    <w:charset w:val="01"/>
    <w:family w:val="roman"/>
    <w:pitch w:val="default"/>
  </w:font>
  <w:font w:name="Times New Roman">
    <w:charset w:val="01"/>
    <w:family w:val="roman"/>
    <w:pitch w:val="default"/>
  </w:font>
  <w:font w:name="Liberation Sans">
    <w:altName w:val="Arial"/>
    <w:charset w:val="01"/>
    <w:family w:val="roman"/>
    <w:pitch w:val="default"/>
  </w:font>
  <w:font w:name="Agave Nerd Font Mono">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p>
    <w:pPr>
      <w:pStyle w:val="Footer"/>
      <w:rPr/>
    </w:pPr>
    <w:r>
      <w:rPr/>
    </w:r>
  </w:p>
  <w:p>
    <w:pPr>
      <w:pStyle w:val="Normal"/>
      <w:widowControl/>
      <w:bidi w:val="0"/>
      <w:spacing w:lineRule="auto" w:line="259" w:before="0" w:after="16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reeSerif"/>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Times" w:hAnsi="Times" w:eastAsia="Calibri" w:cs="FreeSerif"/>
      <w:color w:val="auto"/>
      <w:kern w:val="0"/>
      <w:sz w:val="28"/>
      <w:szCs w:val="28"/>
      <w:lang w:val="ru-RU" w:eastAsia="en-US" w:bidi="ar-SA"/>
    </w:rPr>
  </w:style>
  <w:style w:type="paragraph" w:styleId="Heading1">
    <w:name w:val="heading 1"/>
    <w:basedOn w:val="Normal"/>
    <w:next w:val="Normal"/>
    <w:link w:val="1"/>
    <w:qFormat/>
    <w:pPr>
      <w:keepNext w:val="true"/>
      <w:keepLines/>
      <w:spacing w:before="240" w:after="0"/>
      <w:outlineLvl w:val="0"/>
    </w:pPr>
    <w:rPr>
      <w:rFonts w:ascii="Calibri Light" w:hAnsi="Calibri Light" w:eastAsia="Calibri" w:cs="FreeSerif"/>
      <w:color w:themeColor="accent1" w:themeShade="bf" w:val="2F5496"/>
      <w:sz w:val="32"/>
      <w:szCs w:val="32"/>
    </w:rPr>
  </w:style>
  <w:style w:type="paragraph" w:styleId="Heading2">
    <w:name w:val="heading 2"/>
    <w:basedOn w:val="Normal"/>
    <w:next w:val="Normal"/>
    <w:link w:val="2"/>
    <w:qFormat/>
    <w:pPr>
      <w:keepNext w:val="true"/>
      <w:keepLines/>
      <w:spacing w:before="40" w:after="0"/>
      <w:outlineLvl w:val="1"/>
    </w:pPr>
    <w:rPr>
      <w:rFonts w:ascii="Calibri Light" w:hAnsi="Calibri Light" w:eastAsia="Calibri" w:cs="FreeSerif"/>
      <w:color w:themeColor="accent1" w:themeShade="bf" w:val="2F5496"/>
      <w:sz w:val="26"/>
      <w:szCs w:val="26"/>
    </w:rPr>
  </w:style>
  <w:style w:type="character" w:styleId="DefaultParagraphFont">
    <w:name w:val="Default Paragraph Font"/>
    <w:qFormat/>
    <w:rPr/>
  </w:style>
  <w:style w:type="character" w:styleId="Style12">
    <w:name w:val="вуз Знак"/>
    <w:basedOn w:val="DefaultParagraphFont"/>
    <w:link w:val="Style16"/>
    <w:qFormat/>
    <w:rPr>
      <w:rFonts w:ascii="Times New Roman" w:hAnsi="Times New Roman" w:cs="Times New Roman"/>
      <w:sz w:val="28"/>
      <w:szCs w:val="28"/>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Style13">
    <w:name w:val="Верхний колонтитул Знак"/>
    <w:basedOn w:val="DefaultParagraphFont"/>
    <w:link w:val="Header"/>
    <w:qFormat/>
    <w:rPr/>
  </w:style>
  <w:style w:type="character" w:styleId="Style14">
    <w:name w:val="Нижний колонтитул Знак"/>
    <w:basedOn w:val="DefaultParagraphFont"/>
    <w:link w:val="Footer"/>
    <w:qFormat/>
    <w:rPr/>
  </w:style>
  <w:style w:type="character" w:styleId="Style15">
    <w:name w:val="Основной текст Знак"/>
    <w:basedOn w:val="DefaultParagraphFont"/>
    <w:qFormat/>
    <w:rPr>
      <w:rFonts w:ascii="Times New Roman" w:hAnsi="Times New Roman" w:eastAsia="Times New Roman" w:cs="Times New Roman"/>
      <w:sz w:val="28"/>
      <w:szCs w:val="28"/>
    </w:rPr>
  </w:style>
  <w:style w:type="character" w:styleId="1">
    <w:name w:val="Заголовок 1 Знак"/>
    <w:basedOn w:val="DefaultParagraphFont"/>
    <w:link w:val="Heading1"/>
    <w:qFormat/>
    <w:rPr>
      <w:rFonts w:ascii="Calibri Light" w:hAnsi="Calibri Light" w:eastAsia="Calibri" w:cs="FreeSerif"/>
      <w:color w:themeColor="accent1" w:themeShade="bf" w:val="2F5496"/>
      <w:sz w:val="32"/>
      <w:szCs w:val="32"/>
    </w:rPr>
  </w:style>
  <w:style w:type="character" w:styleId="2">
    <w:name w:val="Заголовок 2 Знак"/>
    <w:basedOn w:val="DefaultParagraphFont"/>
    <w:link w:val="Heading2"/>
    <w:qFormat/>
    <w:rPr>
      <w:rFonts w:ascii="Calibri Light" w:hAnsi="Calibri Light" w:eastAsia="Calibri" w:cs="FreeSerif"/>
      <w:color w:themeColor="accent1" w:themeShade="bf" w:val="2F5496"/>
      <w:sz w:val="26"/>
      <w:szCs w:val="26"/>
    </w:rPr>
  </w:style>
  <w:style w:type="character" w:styleId="21">
    <w:name w:val="Заголовок2 Знак"/>
    <w:basedOn w:val="1"/>
    <w:link w:val="22"/>
    <w:qFormat/>
    <w:rPr>
      <w:rFonts w:ascii="Times New Roman" w:hAnsi="Times New Roman" w:eastAsia="Calibri" w:cs="Times New Roman"/>
      <w:color w:themeColor="dark1" w:val="000000"/>
      <w:sz w:val="28"/>
      <w:szCs w:val="28"/>
    </w:rPr>
  </w:style>
  <w:style w:type="character" w:styleId="IndexLink">
    <w:name w:val="Index Link"/>
    <w:qFormat/>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Style15"/>
    <w:pPr>
      <w:widowControl w:val="false"/>
      <w:spacing w:lineRule="auto" w:line="240" w:before="0" w:after="0"/>
      <w:ind w:left="461"/>
      <w:jc w:val="both"/>
    </w:pPr>
    <w:rPr>
      <w:rFonts w:ascii="Times New Roman" w:hAnsi="Times New Roman" w:eastAsia="Times New Roman" w:cs="Times New Roman"/>
      <w:sz w:val="28"/>
      <w:szCs w:val="28"/>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вуз"/>
    <w:basedOn w:val="Normal"/>
    <w:link w:val="Style12"/>
    <w:autoRedefine/>
    <w:qFormat/>
    <w:pPr>
      <w:widowControl w:val="false"/>
      <w:spacing w:lineRule="auto" w:line="360" w:before="0" w:after="0"/>
      <w:ind w:firstLine="709"/>
      <w:contextualSpacing/>
      <w:jc w:val="left"/>
    </w:pPr>
    <w:rPr>
      <w:rFonts w:ascii="Times New Roman" w:hAnsi="Times New Roman" w:cs="Times New Roman"/>
      <w:sz w:val="28"/>
      <w:szCs w:val="28"/>
    </w:rPr>
  </w:style>
  <w:style w:type="paragraph" w:styleId="ListParagraph">
    <w:name w:val="List Paragraph"/>
    <w:basedOn w:val="Normal"/>
    <w:qFormat/>
    <w:pPr>
      <w:spacing w:before="0" w:after="160"/>
      <w:ind w:left="720"/>
      <w:contextualSpacing/>
    </w:pPr>
    <w:rPr/>
  </w:style>
  <w:style w:type="paragraph" w:styleId="caption1">
    <w:name w:val="caption1"/>
    <w:basedOn w:val="Normal"/>
    <w:next w:val="Normal"/>
    <w:qFormat/>
    <w:pPr>
      <w:spacing w:lineRule="auto" w:line="240" w:before="0" w:after="200"/>
    </w:pPr>
    <w:rPr>
      <w:i/>
      <w:iCs/>
      <w:color w:themeColor="dark2" w:val="44546A"/>
      <w:sz w:val="18"/>
      <w:szCs w:val="18"/>
    </w:rPr>
  </w:style>
  <w:style w:type="paragraph" w:styleId="HeaderandFooter">
    <w:name w:val="Header and Footer"/>
    <w:basedOn w:val="Normal"/>
    <w:qFormat/>
    <w:pPr/>
    <w:rPr/>
  </w:style>
  <w:style w:type="paragraph" w:styleId="Header">
    <w:name w:val="header"/>
    <w:basedOn w:val="Normal"/>
    <w:link w:val="Style13"/>
    <w:pPr>
      <w:tabs>
        <w:tab w:val="clear" w:pos="708"/>
        <w:tab w:val="center" w:pos="4677" w:leader="none"/>
        <w:tab w:val="right" w:pos="9355" w:leader="none"/>
      </w:tabs>
      <w:spacing w:lineRule="auto" w:line="240" w:before="0" w:after="0"/>
    </w:pPr>
    <w:rPr/>
  </w:style>
  <w:style w:type="paragraph" w:styleId="Footer">
    <w:name w:val="footer"/>
    <w:basedOn w:val="Normal"/>
    <w:link w:val="Style14"/>
    <w:pPr>
      <w:tabs>
        <w:tab w:val="clear" w:pos="708"/>
        <w:tab w:val="center" w:pos="4677" w:leader="none"/>
        <w:tab w:val="right" w:pos="9355"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qFormat/>
    <w:pPr>
      <w:outlineLvl w:val="9"/>
    </w:pPr>
    <w:rPr>
      <w:lang w:eastAsia="ru-RU"/>
    </w:rPr>
  </w:style>
  <w:style w:type="paragraph" w:styleId="TOC2">
    <w:name w:val="toc 2"/>
    <w:basedOn w:val="Normal"/>
    <w:next w:val="Normal"/>
    <w:autoRedefine/>
    <w:pPr>
      <w:spacing w:before="0" w:after="100"/>
      <w:ind w:left="220"/>
    </w:pPr>
    <w:rPr>
      <w:rFonts w:eastAsia="Calibri" w:cs="Times New Roman"/>
      <w:lang w:eastAsia="ru-RU"/>
    </w:rPr>
  </w:style>
  <w:style w:type="paragraph" w:styleId="TOC1">
    <w:name w:val="toc 1"/>
    <w:basedOn w:val="Normal"/>
    <w:next w:val="Normal"/>
    <w:autoRedefine/>
    <w:pPr>
      <w:spacing w:before="0" w:after="100"/>
    </w:pPr>
    <w:rPr>
      <w:rFonts w:eastAsia="Calibri" w:cs="Times New Roman"/>
      <w:lang w:eastAsia="ru-RU"/>
    </w:rPr>
  </w:style>
  <w:style w:type="paragraph" w:styleId="TOC3">
    <w:name w:val="toc 3"/>
    <w:basedOn w:val="Normal"/>
    <w:next w:val="Normal"/>
    <w:autoRedefine/>
    <w:pPr>
      <w:spacing w:before="0" w:after="100"/>
      <w:ind w:left="440"/>
    </w:pPr>
    <w:rPr>
      <w:rFonts w:eastAsia="Calibri" w:cs="Times New Roman"/>
      <w:lang w:eastAsia="ru-RU"/>
    </w:rPr>
  </w:style>
  <w:style w:type="paragraph" w:styleId="22">
    <w:name w:val="Заголовок2"/>
    <w:basedOn w:val="Heading1"/>
    <w:link w:val="21"/>
    <w:qFormat/>
    <w:pPr>
      <w:spacing w:lineRule="auto" w:line="360"/>
      <w:ind w:hanging="0" w:left="0"/>
    </w:pPr>
    <w:rPr>
      <w:rFonts w:ascii="Times New Roman" w:hAnsi="Times New Roman" w:cs="Times New Roman"/>
      <w:color w:themeColor="dark1" w:val="000000"/>
      <w:sz w:val="28"/>
      <w:szCs w:val="28"/>
    </w:rPr>
  </w:style>
  <w:style w:type="paragraph" w:styleId="code">
    <w:name w:val="code"/>
    <w:basedOn w:val="Normal"/>
    <w:qFormat/>
    <w:pPr>
      <w:spacing w:before="0" w:after="160"/>
    </w:pPr>
    <w:rPr>
      <w:rFonts w:ascii="Agave Nerd Font Mono" w:hAnsi="Agave Nerd Font Mono"/>
      <w:sz w:val="18"/>
      <w:szCs w:val="18"/>
    </w:rPr>
  </w:style>
  <w:style w:type="paragraph" w:styleId="FootnoteText">
    <w:name w:val="footnote text"/>
    <w:basedOn w:val="Normal"/>
    <w:pPr>
      <w:suppressLineNumbers/>
      <w:ind w:hanging="340" w:lef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3082</TotalTime>
  <Application>LibreOffice/24.8.5.2$Linux_X86_64 LibreOffice_project/480$Build-2</Application>
  <AppVersion>15.0000</AppVersion>
  <Pages>13</Pages>
  <Words>2340</Words>
  <Characters>16403</Characters>
  <CharactersWithSpaces>18711</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2023-02-05T10:22:00Z</dcterms:created>
  <dc:creator>Дмитрий Грек</dc:creator>
  <dc:description/>
  <dc:language>en-US</dc:language>
  <cp:lastModifiedBy/>
  <dcterms:modified xsi:type="dcterms:W3CDTF">2025-03-24T12:34:41Z</dcterms:modified>
  <cp:revision>350</cp:revision>
  <dc:subject/>
  <dc:title/>
</cp:coreProperties>
</file>

<file path=docProps/custom.xml><?xml version="1.0" encoding="utf-8"?>
<Properties xmlns="http://schemas.openxmlformats.org/officeDocument/2006/custom-properties" xmlns:vt="http://schemas.openxmlformats.org/officeDocument/2006/docPropsVTypes"/>
</file>