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32" y="0"/>
                <wp:lineTo x="-132" y="20849"/>
                <wp:lineTo x="21101" y="20849"/>
                <wp:lineTo x="21101" y="0"/>
                <wp:lineTo x="-132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ПРАКТИЧЕСКАЯ РАБОТА №</w:t>
      </w:r>
      <w:r>
        <w:rPr/>
        <w:t>4</w:t>
      </w:r>
    </w:p>
    <w:p>
      <w:pPr>
        <w:pStyle w:val="Style18"/>
        <w:rPr/>
      </w:pPr>
      <w:r>
        <w:rPr/>
        <w:t>по курсу «Экономико-правовые основы рынка программного обеспечения»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spacing w:lineRule="auto" w:line="276"/>
        <w:jc w:val="left"/>
        <w:rPr/>
      </w:pPr>
      <w:r>
        <w:rPr/>
        <w:tab/>
        <w:tab/>
      </w:r>
    </w:p>
    <w:p>
      <w:pPr>
        <w:pStyle w:val="Style17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3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7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7"/>
        <w:spacing w:lineRule="auto" w:line="276"/>
        <w:rPr/>
      </w:pPr>
      <w:r>
        <w:rPr/>
        <w:tab/>
        <w:tab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Руководитель</w:t>
      </w:r>
    </w:p>
    <w:p>
      <w:pPr>
        <w:pStyle w:val="Style17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7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Липецк 2025 г.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</w:t>
      </w:r>
    </w:p>
    <w:p>
      <w:pPr>
        <w:pStyle w:val="Normal"/>
        <w:spacing w:lineRule="auto" w:line="276" w:before="0" w:after="0"/>
        <w:ind w:hanging="0"/>
        <w:jc w:val="both"/>
        <w:rPr/>
      </w:pPr>
      <w:r>
        <w:rPr/>
      </w:r>
    </w:p>
    <w:p>
      <w:pPr>
        <w:pStyle w:val="Normal"/>
        <w:spacing w:lineRule="auto" w:line="276" w:before="0" w:after="0"/>
        <w:ind w:hanging="0"/>
        <w:jc w:val="both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>1. Рассчитать внутреннюю норму доходности (IRR) для проекта разработки программного обеспечения, характеризующегося следующими денежными потоками (млн. руб.):</w:t>
      </w:r>
    </w:p>
    <w:p>
      <w:pPr>
        <w:pStyle w:val="Normal"/>
        <w:spacing w:lineRule="auto" w:line="276" w:before="0" w:after="0"/>
        <w:ind w:hanging="0"/>
        <w:jc w:val="both"/>
        <w:rPr>
          <w:rFonts w:ascii="TimesNewRoman" w:hAnsi="TimesNew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481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ind w:hanging="0"/>
        <w:jc w:val="both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Выбрать предпочтительные проекты из совокупности перспективных проектов разработки программного обеспечения А, Б, В, Г с разной длительностью действия для включения в инвестиционную программу сроком на три года. Исходные данные представлены в таблице. Норма дисконта 15%, объем текущих инвестиций для реализации программы 400 млн. руб.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3924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       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Определить цену лицензии на основе размера прибыли лицензиата и на базе роялти. Определить единовременный платеж. Среднегодовой выпуск программной продукции по лицензии в период действия договора составляет 200 тыс.шт., срок действия договора – 3 года, дополнительная прибыль от реализации каждой единицы продукции, изготовленной по лицензии – 100 руб., коэффициент, распределения прибыли от использования лицензии – 20%, размер роялти – 5%. Коэффициент дисконтирования для единовременного платежа – 20%.</w:t>
      </w:r>
    </w:p>
    <w:p>
      <w:pPr>
        <w:pStyle w:val="Normal"/>
        <w:spacing w:lineRule="auto" w:line="276" w:before="0" w:after="0"/>
        <w:ind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Решение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1.</w:t>
      </w:r>
    </w:p>
    <w:p>
      <w:pPr>
        <w:pStyle w:val="BodyText"/>
        <w:rPr/>
      </w:pPr>
      <w:r>
        <w:rPr/>
        <w:t>Внутренняя норма доходности (IRR) — это такая ставка дисконтирования, при которой чистая приведенная стоимость (NPV) проекта равна нулю.</w:t>
      </w:r>
    </w:p>
    <w:p>
      <w:pPr>
        <w:pStyle w:val="BodyText"/>
        <w:rPr/>
      </w:pPr>
      <w:r>
        <w:rPr/>
        <w:t xml:space="preserve">Нужно найти ставку </w:t>
      </w:r>
      <w:r>
        <w:rPr/>
        <w:t>i</w:t>
      </w:r>
      <w:r>
        <w:rPr/>
        <w:t>rr, при которой:</w:t>
      </w:r>
    </w:p>
    <w:p>
      <w:pPr>
        <w:pStyle w:val="BodyTex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NPV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14</m:t>
          </m:r>
          <m:r>
            <w:rPr>
              <w:rFonts w:ascii="Cambria Math" w:hAnsi="Cambria Math"/>
            </w:rPr>
            <m:t xml:space="preserve">+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8</m:t>
              </m:r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BodyText"/>
        <w:rPr/>
      </w:pPr>
      <w:r>
        <w:rPr/>
        <w:t>при r == 20% =&gt; -14 + 6.67 + 6.25 + 2.89 = 1.81</w:t>
        <w:br/>
        <w:t>при r == 30% =&gt; -14 + 6.15 + 5.33 + 2.28 = -0.24</w:t>
        <w:br/>
        <w:t>r = 20% + 1.81/(1.81 + 0/24) * (30% - 20%)</w:t>
        <w:br/>
        <w:t>r = 20 + 8.83 = 28.83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2.</w:t>
      </w:r>
    </w:p>
    <w:p>
      <w:pPr>
        <w:pStyle w:val="BodyText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Задача состоит в выборе оптимального набора проектов с учетом ограниченного бюджета в 400 млн руб. и нормы дисконта 15%. Для выбора предпочтительных проектов будем использовать метод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максимизации NPV на единицу инвестиций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1. Рассчитаем эффективность проектов (NPV/IC₀)</w:t>
      </w:r>
    </w:p>
    <w:p>
      <w:pPr>
        <w:pStyle w:val="BodyText"/>
        <w:rPr/>
      </w:pPr>
      <w:r>
        <w:rPr/>
        <w:t xml:space="preserve">Мы оцениваем </w:t>
      </w:r>
      <w:r>
        <w:rPr>
          <w:rStyle w:val="Strong"/>
          <w:b w:val="false"/>
          <w:bCs w:val="false"/>
        </w:rPr>
        <w:t>доходность инвестиций</w:t>
      </w:r>
      <w:r>
        <w:rPr/>
        <w:t xml:space="preserve"> по формуле:</w:t>
      </w:r>
    </w:p>
    <w:p>
      <w:pPr>
        <w:pStyle w:val="BodyText"/>
        <w:spacing w:before="0" w:after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Эффективность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NPVI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IC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</m:oMath>
      </m:oMathPara>
    </w:p>
    <w:tbl>
      <w:tblPr>
        <w:tblW w:w="725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6"/>
        <w:gridCol w:w="1554"/>
        <w:gridCol w:w="1698"/>
        <w:gridCol w:w="3049"/>
      </w:tblGrid>
      <w:tr>
        <w:trPr>
          <w:tblHeader w:val="true"/>
        </w:trPr>
        <w:tc>
          <w:tcPr>
            <w:tcW w:w="95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Проект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IC₀, млн руб.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NPV, млн руб.</w:t>
            </w:r>
          </w:p>
        </w:tc>
        <w:tc>
          <w:tcPr>
            <w:tcW w:w="304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Эффективность (NPV/IC₀)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180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6,7</w:t>
            </w:r>
          </w:p>
        </w:tc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0,037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Б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160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3,8</w:t>
            </w:r>
          </w:p>
        </w:tc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0,024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В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190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7,1</w:t>
            </w:r>
          </w:p>
        </w:tc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0,037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Г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250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8,3</w:t>
            </w:r>
          </w:p>
        </w:tc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0,033</w:t>
            </w:r>
          </w:p>
        </w:tc>
      </w:tr>
    </w:tbl>
    <w:p>
      <w:pPr>
        <w:pStyle w:val="Heading3"/>
        <w:rPr/>
      </w:pPr>
      <w:r>
        <w:rPr>
          <w:rStyle w:val="Strong"/>
          <w:b w:val="false"/>
          <w:bCs w:val="false"/>
        </w:rPr>
        <w:t>2. Выбираем проекты при бюджете 400 млн руб.</w:t>
      </w:r>
    </w:p>
    <w:p>
      <w:pPr>
        <w:pStyle w:val="BodyText"/>
        <w:rPr/>
      </w:pPr>
      <w:r>
        <w:rPr/>
        <w:t>Сортируем проекты по убыванию эффективности: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b w:val="false"/>
          <w:bCs w:val="false"/>
        </w:rPr>
        <w:t>Проект A</w:t>
      </w:r>
      <w:r>
        <w:rPr/>
        <w:t xml:space="preserve"> (180 млн руб., 6,7 NPV, эффективность 0,037)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b w:val="false"/>
          <w:bCs w:val="false"/>
        </w:rPr>
        <w:t>Проект В</w:t>
      </w:r>
      <w:r>
        <w:rPr/>
        <w:t xml:space="preserve"> (190 млн руб., 7,1 NPV, эффективность 0,037)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b w:val="false"/>
          <w:bCs w:val="false"/>
        </w:rPr>
        <w:t>Проект Г</w:t>
      </w:r>
      <w:r>
        <w:rPr/>
        <w:t xml:space="preserve"> (250 млн руб., 8,3 NPV, эффективность 0,033)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Проект Б</w:t>
      </w:r>
      <w:r>
        <w:rPr/>
        <w:t xml:space="preserve"> (160 млн руб., 3,8 NPV, эффективность 0,024) </w:t>
      </w:r>
    </w:p>
    <w:p>
      <w:pPr>
        <w:pStyle w:val="BodyText"/>
        <w:rPr/>
      </w:pPr>
      <w:r>
        <w:rPr/>
        <w:t>Начнем включение проектов, начиная с самых эффективных: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Берем </w:t>
      </w:r>
      <w:r>
        <w:rPr>
          <w:rStyle w:val="Strong"/>
          <w:b w:val="false"/>
          <w:bCs w:val="false"/>
        </w:rPr>
        <w:t>проект A</w:t>
      </w:r>
      <w:r>
        <w:rPr/>
        <w:t xml:space="preserve"> → остается 220 млн руб.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Берем </w:t>
      </w:r>
      <w:r>
        <w:rPr>
          <w:rStyle w:val="Strong"/>
          <w:b w:val="false"/>
          <w:bCs w:val="false"/>
        </w:rPr>
        <w:t>проект В</w:t>
      </w:r>
      <w:r>
        <w:rPr/>
        <w:t xml:space="preserve"> → остается 30 млн руб.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Проект Б и Г не подходят по бюджету. 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3. Итоговое решение</w:t>
      </w:r>
    </w:p>
    <w:p>
      <w:pPr>
        <w:pStyle w:val="BodyText"/>
        <w:rPr/>
      </w:pPr>
      <w:r>
        <w:rPr/>
        <w:t xml:space="preserve">Оптимальный выбор </w:t>
      </w:r>
      <w:r>
        <w:rPr>
          <w:rStyle w:val="Strong"/>
          <w:b w:val="false"/>
          <w:bCs w:val="false"/>
        </w:rPr>
        <w:t>Проекты A и В</w:t>
      </w:r>
      <w:r>
        <w:rPr/>
        <w:t>, так как они обеспечивают наибольший совокупный NPV при заданном бюджете: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Общий бюджет: </w:t>
      </w:r>
      <w:r>
        <w:rPr>
          <w:rStyle w:val="Strong"/>
          <w:b w:val="false"/>
          <w:bCs w:val="false"/>
        </w:rPr>
        <w:t>180 + 190 = 370 млн руб</w:t>
      </w:r>
      <w:r>
        <w:rPr>
          <w:rStyle w:val="Strong"/>
        </w:rPr>
        <w:t>.</w:t>
      </w:r>
      <w:r>
        <w:rPr/>
        <w:t xml:space="preserve"> (≤ 400)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Общий NPV: </w:t>
      </w:r>
      <w:r>
        <w:rPr>
          <w:rStyle w:val="Strong"/>
          <w:b w:val="false"/>
          <w:bCs w:val="false"/>
        </w:rPr>
        <w:t>6,7 + 7,1 = 13,8 млн руб</w:t>
      </w:r>
      <w:r>
        <w:rPr>
          <w:rStyle w:val="Strong"/>
          <w:b/>
          <w:bCs/>
        </w:rPr>
        <w:t>.</w:t>
      </w:r>
      <w:r>
        <w:rPr>
          <w:b/>
          <w:bCs/>
        </w:rPr>
        <w:t xml:space="preserve"> </w:t>
      </w:r>
    </w:p>
    <w:p>
      <w:pPr>
        <w:pStyle w:val="BodyText"/>
        <w:rPr/>
      </w:pPr>
      <w:r>
        <w:rPr/>
        <w:t xml:space="preserve">Таким образом, </w:t>
      </w:r>
      <w:r>
        <w:rPr>
          <w:b w:val="false"/>
          <w:bCs w:val="false"/>
        </w:rPr>
        <w:t>стоит</w:t>
      </w:r>
      <w:r>
        <w:rPr>
          <w:rStyle w:val="Strong"/>
          <w:b w:val="false"/>
          <w:bCs w:val="false"/>
        </w:rPr>
        <w:t xml:space="preserve"> выбрать проекты A и В</w:t>
      </w:r>
      <w:r>
        <w:rPr>
          <w:b w:val="false"/>
          <w:bCs w:val="false"/>
        </w:rPr>
        <w:t>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3.</w:t>
      </w:r>
    </w:p>
    <w:p>
      <w:pPr>
        <w:pStyle w:val="BodyText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Для определения цены лицензии на основе размера прибыли лицензиата и на базе роялти, а также единовременного платежа, разберем задачу поэтапно.</w:t>
      </w:r>
    </w:p>
    <w:p>
      <w:pPr>
        <w:pStyle w:val="Heading3"/>
        <w:rPr/>
      </w:pPr>
      <w:r>
        <w:rPr>
          <w:rStyle w:val="Strong"/>
          <w:b/>
          <w:bCs/>
        </w:rPr>
        <w:t>1. Определение цены лицензии на основе размера прибыли лицензиата</w:t>
      </w:r>
    </w:p>
    <w:p>
      <w:pPr>
        <w:pStyle w:val="BodyText"/>
        <w:rPr/>
      </w:pPr>
      <w:r>
        <w:rPr/>
        <w:t>Формула расчета:</w:t>
      </w:r>
    </w:p>
    <w:p>
      <w:pPr>
        <w:pStyle w:val="BodyTex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Цена</m:t>
          </m:r>
          <m:r>
            <w:rPr>
              <w:rFonts w:ascii="Cambria Math" w:hAnsi="Cambria Math"/>
            </w:rPr>
            <m:t xml:space="preserve">лицензии</m:t>
          </m:r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subHide m:val="1"/>
              <m:supHide m:val="1"/>
            </m:naryPr>
            <m:sub/>
            <m:sup/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Qt</m:t>
                  </m:r>
                  <m:r>
                    <w:rPr>
                      <w:rFonts w:ascii="Cambria Math" w:hAnsi="Cambria Math"/>
                    </w:rPr>
                    <m:t xml:space="preserve">×</m:t>
                  </m:r>
                  <m:r>
                    <w:rPr>
                      <w:rFonts w:ascii="Cambria Math" w:hAnsi="Cambria Math"/>
                    </w:rPr>
                    <m:t xml:space="preserve">Pt</m:t>
                  </m:r>
                  <m:r>
                    <w:rPr>
                      <w:rFonts w:ascii="Cambria Math" w:hAnsi="Cambria Math"/>
                    </w:rPr>
                    <m:t xml:space="preserve">×</m:t>
                  </m:r>
                  <m:r>
                    <w:rPr>
                      <w:rFonts w:ascii="Cambria Math" w:hAnsi="Cambria Math"/>
                    </w:rPr>
                    <m:t xml:space="preserve">Kp</m:t>
                  </m:r>
                </m:e>
              </m:d>
            </m:e>
          </m:nary>
        </m:oMath>
      </m:oMathPara>
    </w:p>
    <w:p>
      <w:pPr>
        <w:pStyle w:val="BodyText"/>
        <w:rPr/>
      </w:pPr>
      <w:r>
        <w:rPr/>
        <w:t>Где: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Qt=200Q_t = 200 тыс. шт. — среднегодовой выпуск,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Pt=100P_t = 100 руб. — дополнительная прибыль от одной единицы продукции,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Kp=20%=0.2K_p = 20\% = 0.2 — коэффициент распределения прибыли,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T=3T = 3 года — срок действия договора. </w:t>
      </w:r>
    </w:p>
    <w:p>
      <w:pPr>
        <w:pStyle w:val="BodyText"/>
        <w:rPr/>
      </w:pPr>
      <w:r>
        <w:rPr/>
        <w:t>Подставляем значения:</w:t>
      </w:r>
    </w:p>
    <w:p>
      <w:pPr>
        <w:pStyle w:val="BodyText"/>
        <w:spacing w:before="0" w:after="0"/>
        <w:rPr/>
      </w:pPr>
      <w:r>
        <w:rPr/>
        <w:t xml:space="preserve">Цена лицензии=3×(200×100×0.2) =3×4000=12,000 тыс. руб.=12 млн руб.= 3 </w:t>
      </w:r>
      <w:r>
        <w:rPr/>
        <w:t>*</w:t>
      </w:r>
      <w:r>
        <w:rPr/>
        <w:t xml:space="preserve"> 4000 = 12,000  тыс. руб. = 12 млн руб. </w:t>
      </w:r>
    </w:p>
    <w:p>
      <w:pPr>
        <w:pStyle w:val="Heading3"/>
        <w:rPr/>
      </w:pPr>
      <w:r>
        <w:rPr>
          <w:rStyle w:val="Strong"/>
          <w:b/>
          <w:bCs/>
        </w:rPr>
        <w:t>2. Определение цены лицензии на базе роялти</w:t>
      </w:r>
    </w:p>
    <w:p>
      <w:pPr>
        <w:pStyle w:val="BodyText"/>
        <w:rPr/>
      </w:pPr>
      <w:r>
        <w:rPr/>
        <w:t>Формула расчета:</w:t>
      </w:r>
    </w:p>
    <w:p>
      <w:pPr>
        <w:pStyle w:val="BodyText"/>
        <w:rPr/>
      </w:pPr>
      <w:r>
        <w:rPr/>
        <w:t>Роялти=</w:t>
      </w:r>
      <w:r>
        <w:rPr/>
        <w:t>sum</w:t>
      </w:r>
      <w:r>
        <w:rPr/>
        <w:t>(Qt×Pt×R)</w:t>
      </w:r>
    </w:p>
    <w:p>
      <w:pPr>
        <w:pStyle w:val="BodyText"/>
        <w:rPr/>
      </w:pPr>
      <w:r>
        <w:rPr/>
        <w:t>Где: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R = 5% = 0.05 — размер роялти. </w:t>
      </w:r>
    </w:p>
    <w:p>
      <w:pPr>
        <w:pStyle w:val="BodyText"/>
        <w:spacing w:before="0" w:after="0"/>
        <w:rPr/>
      </w:pPr>
      <w:r>
        <w:rPr/>
        <w:t xml:space="preserve">Роялти=3×(200×100×0.05) = 3 млн руб. </w:t>
      </w:r>
    </w:p>
    <w:p>
      <w:pPr>
        <w:pStyle w:val="Heading3"/>
        <w:rPr/>
      </w:pPr>
      <w:r>
        <w:rPr>
          <w:rStyle w:val="Strong"/>
          <w:b/>
          <w:bCs/>
        </w:rPr>
        <w:t>3. Определение единовременного платежа</w:t>
      </w:r>
    </w:p>
    <w:p>
      <w:pPr>
        <w:pStyle w:val="BodyText"/>
        <w:rPr/>
      </w:pPr>
      <w:r>
        <w:rPr/>
        <w:t xml:space="preserve">Единовременный платеж рассчитывается как дисконтированная сумма платежей по роялти. Используем формулу </w:t>
      </w:r>
      <w:r>
        <w:rPr>
          <w:rStyle w:val="Strong"/>
        </w:rPr>
        <w:t>приведенной стоимости аннуитета</w:t>
      </w:r>
      <w:r>
        <w:rPr/>
        <w:t>:</w:t>
      </w:r>
    </w:p>
    <w:p>
      <w:pPr>
        <w:pStyle w:val="BodyText"/>
        <w:rPr/>
      </w:pPr>
      <w:r>
        <w:rPr/>
        <w:t xml:space="preserve">V = R </w:t>
      </w:r>
      <w:r>
        <w:rPr/>
        <w:t>*</w:t>
      </w:r>
      <w:r>
        <w:rPr/>
        <w:t xml:space="preserve"> </w:t>
      </w:r>
      <w:r>
        <w:rPr/>
        <w:t>sum(</w:t>
      </w:r>
      <w:r>
        <w:rPr/>
        <w:t xml:space="preserve">Q_t </w:t>
      </w:r>
      <w:r>
        <w:rPr/>
        <w:t>*</w:t>
      </w:r>
      <w:r>
        <w:rPr/>
        <w:t xml:space="preserve"> P_t/(1 + r)^t</w:t>
      </w:r>
      <w:r>
        <w:rPr/>
        <w:t>)</w:t>
      </w:r>
      <w:r>
        <w:rPr/>
        <w:t xml:space="preserve"> </w:t>
      </w:r>
    </w:p>
    <w:p>
      <w:pPr>
        <w:pStyle w:val="BodyText"/>
        <w:rPr/>
      </w:pPr>
      <w:r>
        <w:rPr/>
        <w:t>Или с учетом формулы аннуитета:</w:t>
      </w:r>
    </w:p>
    <w:p>
      <w:pPr>
        <w:pStyle w:val="BodyText"/>
        <w:rPr/>
      </w:pPr>
      <w:r>
        <w:rPr/>
        <w:t>V=Роялти×</w:t>
      </w:r>
      <w:r>
        <w:rPr/>
        <w:t>(</w:t>
      </w:r>
      <w:r>
        <w:rPr/>
        <w:t>1−(1+r)−T</w:t>
      </w:r>
      <w:r>
        <w:rPr/>
        <w:t>)/</w:t>
      </w:r>
      <w:r>
        <w:rPr/>
        <w:t>r</w:t>
      </w:r>
    </w:p>
    <w:p>
      <w:pPr>
        <w:pStyle w:val="BodyText"/>
        <w:rPr/>
      </w:pPr>
      <w:r>
        <w:rPr/>
        <w:t>Где: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r=20%=0.2r = 20\% = 0.2 — коэффициент дисконтирования,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T=3T = 3. </w:t>
      </w:r>
    </w:p>
    <w:p>
      <w:pPr>
        <w:pStyle w:val="BodyText"/>
        <w:rPr/>
      </w:pPr>
      <w:r>
        <w:rPr/>
        <w:t>Рассчитываем множитель дисконтирования:</w:t>
      </w:r>
    </w:p>
    <w:p>
      <w:pPr>
        <w:pStyle w:val="BodyText"/>
        <w:rPr/>
      </w:pPr>
      <w:r>
        <w:rPr/>
        <w:t>1−(1.2)</w:t>
      </w:r>
      <w:r>
        <w:rPr/>
        <w:t>^</w:t>
      </w:r>
      <w:r>
        <w:rPr/>
        <w:t>−3/0.2=</w:t>
      </w:r>
      <w:r>
        <w:rPr/>
        <w:t>(</w:t>
      </w:r>
      <w:r>
        <w:rPr/>
        <w:t>1−11.728</w:t>
      </w:r>
      <w:r>
        <w:rPr/>
        <w:t>)</w:t>
      </w:r>
      <w:r>
        <w:rPr/>
        <w:t>/0.2</w:t>
      </w:r>
      <w:r>
        <w:rPr/>
        <w:t>=</w:t>
      </w:r>
      <w:r>
        <w:rPr/>
        <w:t xml:space="preserve">2.11 </w:t>
      </w:r>
    </w:p>
    <w:p>
      <w:pPr>
        <w:pStyle w:val="BodyText"/>
        <w:rPr/>
      </w:pPr>
      <w:r>
        <w:rPr/>
        <w:t>Теперь:</w:t>
      </w:r>
    </w:p>
    <w:p>
      <w:pPr>
        <w:pStyle w:val="BodyText"/>
        <w:spacing w:before="0" w:after="0"/>
        <w:rPr/>
      </w:pPr>
      <w:r>
        <w:rPr/>
        <w:t>V=3×2.11=6.33 млн руб.</w:t>
      </w:r>
    </w:p>
    <w:p>
      <w:pPr>
        <w:pStyle w:val="Heading3"/>
        <w:rPr/>
      </w:pPr>
      <w:r>
        <w:rPr>
          <w:rStyle w:val="Strong"/>
          <w:b/>
          <w:bCs/>
        </w:rPr>
        <w:t>Вывод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Цена лицензии на основе размера прибыли лицензиата: </w:t>
      </w:r>
      <w:r>
        <w:rPr>
          <w:rStyle w:val="Strong"/>
        </w:rPr>
        <w:t>12 млн руб.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Цена лицензии на базе роялти: </w:t>
      </w:r>
      <w:r>
        <w:rPr>
          <w:rStyle w:val="Strong"/>
        </w:rPr>
        <w:t>3 млн руб.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Единовременный платеж: </w:t>
      </w:r>
      <w:r>
        <w:rPr>
          <w:rStyle w:val="Strong"/>
        </w:rPr>
        <w:t>6.33 млн руб.</w:t>
      </w:r>
      <w:r>
        <w:rPr/>
        <w:t xml:space="preserve"> 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/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default"/>
  </w:font>
  <w:font w:name="TimesNew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Cantarell" w:cs="Noto Nastaliq Urdu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yle13">
    <w:name w:val="Титульник. Основной текст [ВУЗ] Знак"/>
    <w:basedOn w:val="DefaultParagraphFont"/>
    <w:link w:val="Style17"/>
    <w:qFormat/>
    <w:rPr>
      <w:rFonts w:ascii="Times New Roman" w:hAnsi="Times New Roman" w:cs="Times New Roman"/>
      <w:sz w:val="28"/>
      <w:szCs w:val="28"/>
    </w:rPr>
  </w:style>
  <w:style w:type="character" w:styleId="Style14">
    <w:name w:val="Титульник. По центру [ВУЗ] Знак"/>
    <w:basedOn w:val="DefaultParagraphFont"/>
    <w:link w:val="Style18"/>
    <w:qFormat/>
    <w:rPr>
      <w:rFonts w:ascii="Times New Roman" w:hAnsi="Times New Roman" w:cs="Times New Roman"/>
      <w:sz w:val="28"/>
      <w:szCs w:val="28"/>
    </w:rPr>
  </w:style>
  <w:style w:type="character" w:styleId="Style15">
    <w:name w:val="Титульник. Шапка [ВУЗ] Знак"/>
    <w:basedOn w:val="Style14"/>
    <w:link w:val="Style19"/>
    <w:qFormat/>
    <w:rPr>
      <w:rFonts w:ascii="Times New Roman" w:hAnsi="Times New Roman" w:cs="Times New Roman"/>
      <w:b/>
      <w:sz w:val="28"/>
      <w:szCs w:val="28"/>
    </w:rPr>
  </w:style>
  <w:style w:type="character" w:styleId="Standard">
    <w:name w:val="Standard Знак"/>
    <w:basedOn w:val="DefaultParagraphFont"/>
    <w:link w:val="Standard1"/>
    <w:qFormat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Style16">
    <w:name w:val="Лабораторная Знак"/>
    <w:basedOn w:val="DefaultParagraphFont"/>
    <w:link w:val="Style20"/>
    <w:qFormat/>
    <w:rPr>
      <w:rFonts w:ascii="Times New Roman" w:hAnsi="Times New Roman"/>
      <w:sz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7">
    <w:name w:val="Титульник. Основной текст [ВУЗ]"/>
    <w:link w:val="Style13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8">
    <w:name w:val="Титульник. По центру [ВУЗ]"/>
    <w:link w:val="Style14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9">
    <w:name w:val="Титульник. Шапка [ВУЗ]"/>
    <w:basedOn w:val="Style18"/>
    <w:link w:val="Style15"/>
    <w:qFormat/>
    <w:pPr>
      <w:spacing w:lineRule="auto" w:line="240"/>
    </w:pPr>
    <w:rPr>
      <w:b/>
    </w:rPr>
  </w:style>
  <w:style w:type="paragraph" w:styleId="Standard1">
    <w:name w:val="Standard"/>
    <w:link w:val="Standard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20">
    <w:name w:val="Лабораторная"/>
    <w:link w:val="Style16"/>
    <w:qFormat/>
    <w:pPr>
      <w:widowControl w:val="false"/>
      <w:suppressAutoHyphens w:val="true"/>
      <w:overflowPunct w:val="tru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FreeSerif"/>
      <w:color w:val="auto"/>
      <w:kern w:val="0"/>
      <w:sz w:val="28"/>
      <w:szCs w:val="22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Application>LibreOffice/24.8.5.2$Linux_X86_64 LibreOffice_project/480$Build-2</Application>
  <AppVersion>15.0000</AppVersion>
  <Pages>5</Pages>
  <Words>670</Words>
  <Characters>3907</Characters>
  <CharactersWithSpaces>4526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cp:lastPrinted>2025-02-11T09:27:40Z</cp:lastPrinted>
  <dcterms:modified xsi:type="dcterms:W3CDTF">2025-03-03T20:06:17Z</dcterms:modified>
  <cp:revision>464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