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62" y="0"/>
                <wp:lineTo x="-162" y="20830"/>
                <wp:lineTo x="21071" y="20830"/>
                <wp:lineTo x="21071" y="0"/>
                <wp:lineTo x="-162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ПРАКТИЧЕСКАЯ РАБОТА №5</w:t>
      </w:r>
    </w:p>
    <w:p>
      <w:pPr>
        <w:pStyle w:val="Style18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3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2025 г.</w:t>
      </w:r>
    </w:p>
    <w:p>
      <w:pPr>
        <w:pStyle w:val="Normal"/>
        <w:spacing w:lineRule="auto" w:line="276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кафедры</w:t>
      </w:r>
    </w:p>
    <w:p>
      <w:pPr>
        <w:pStyle w:val="Normal"/>
        <w:spacing w:lineRule="auto" w:line="276" w:before="0" w:after="0"/>
        <w:ind w:hanging="0"/>
        <w:jc w:val="both"/>
        <w:rPr/>
      </w:pPr>
      <w:r>
        <w:rPr/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Проект разработки программного обеспечения характеризуется следующими денежными потоками (млн. руб.):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</w:t>
      </w:r>
      <w:r>
        <w:rPr>
          <w:rFonts w:cs="Times New Roman" w:ascii="Times New Roman" w:hAnsi="Times New Roman"/>
          <w:sz w:val="28"/>
          <w:szCs w:val="28"/>
        </w:rPr>
        <w:t>0                 11                16               19               20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9025" cy="504825"/>
            <wp:effectExtent l="0" t="0" r="0" b="0"/>
            <wp:wrapSquare wrapText="largest"/>
            <wp:docPr id="2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ab/>
        <w:tab/>
        <w:t xml:space="preserve">     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</w:t>
      </w:r>
      <w:r>
        <w:rPr>
          <w:rFonts w:cs="Times New Roman" w:ascii="Times New Roman" w:hAnsi="Times New Roman"/>
          <w:sz w:val="28"/>
          <w:szCs w:val="28"/>
        </w:rPr>
        <w:t>-13                                                                          -19</w:t>
      </w:r>
    </w:p>
    <w:p>
      <w:pPr>
        <w:pStyle w:val="Normal"/>
        <w:spacing w:lineRule="auto" w:line="276" w:before="0" w:after="0"/>
        <w:ind w:hanging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Ставка дисконтирования равна 25%. Оценить проект на основе индекса доходности.</w:t>
      </w:r>
    </w:p>
    <w:p>
      <w:pPr>
        <w:pStyle w:val="Normal"/>
        <w:spacing w:lineRule="auto" w:line="276" w:before="0" w:after="0"/>
        <w:ind w:hanging="0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Фирма планирует инвестировать в разработку программного обеспечения 20 млн. руб. Необходимо сформировать годовую инвестиционную программу на основе индекса доходности с учетом финансовых ограничений и определить потери NPV в связи с исключением из программы проектов, не реализуемых из-за отсутствия инвестиционных средств. Исходные данные представлены в таблице</w:t>
      </w:r>
    </w:p>
    <w:p>
      <w:pPr>
        <w:pStyle w:val="Normal"/>
        <w:spacing w:lineRule="auto" w:line="276" w:before="0" w:after="0"/>
        <w:ind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</w:t>
      </w:r>
    </w:p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Исходные данные по альтернативным проектам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70"/>
        <w:gridCol w:w="4293"/>
        <w:gridCol w:w="2392"/>
      </w:tblGrid>
      <w:tr>
        <w:trPr/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Проект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NPV, млн руб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IC0, млн. руб</w:t>
            </w:r>
          </w:p>
        </w:tc>
      </w:tr>
      <w:tr>
        <w:trPr/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А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1.38</w:t>
            </w:r>
          </w:p>
        </w:tc>
        <w:tc>
          <w:tcPr>
            <w:tcW w:w="2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7</w:t>
            </w:r>
          </w:p>
        </w:tc>
      </w:tr>
      <w:tr>
        <w:trPr/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Б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3.57</w:t>
            </w:r>
          </w:p>
        </w:tc>
        <w:tc>
          <w:tcPr>
            <w:tcW w:w="2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2.82</w:t>
            </w:r>
          </w:p>
        </w:tc>
        <w:tc>
          <w:tcPr>
            <w:tcW w:w="2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Г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4.01</w:t>
            </w:r>
          </w:p>
        </w:tc>
        <w:tc>
          <w:tcPr>
            <w:tcW w:w="2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6.7</w:t>
            </w:r>
          </w:p>
        </w:tc>
      </w:tr>
      <w:tr>
        <w:trPr/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Д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3.55</w:t>
            </w:r>
          </w:p>
        </w:tc>
        <w:tc>
          <w:tcPr>
            <w:tcW w:w="2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26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Всего</w:t>
            </w:r>
          </w:p>
        </w:tc>
        <w:tc>
          <w:tcPr>
            <w:tcW w:w="42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15.33</w:t>
            </w:r>
          </w:p>
        </w:tc>
        <w:tc>
          <w:tcPr>
            <w:tcW w:w="23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35.7</w:t>
            </w:r>
          </w:p>
        </w:tc>
      </w:tr>
    </w:tbl>
    <w:p>
      <w:pPr>
        <w:pStyle w:val="Normal"/>
        <w:spacing w:lineRule="auto" w:line="276" w:before="0" w:after="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Оценить стоимость товарного знака программного продукта, если себестоимость разработки товарного знака, получения охраны и затраты на рекламу и использование составляют 1400 тыс. руб., срок использования товарного знака с момента начала широкомасштабной рекламы с использованием товарного знака – 2 года, величина товарооборота – 3500 тыс. руб. в месяц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Решение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1.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1) Рассчитаем приведенную стоимость доходов: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11/1.25+16/(1.25)**2+19/(1.25)**3+20/(1.25)**4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11/1.25 + 16/1.5625 + 19/1.953 + 20/2.4414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8.8 + 10.24 + 9.73 + 8.19 = 36.96 млн. руб.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2) Рассчитаем приведенную стоимость затрат: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+ 19/(1.25)**4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+ 19/2.4414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PV = 13 + 7.78 = 20.78 млн. руб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3) Индекс доходности: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PI = (PV+)/(PV-)=36.96/20.78 = 1.78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Ответ: 1.78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2.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Рассчитаем PI для каждого проекта: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PI = (NPV / IC0) + 1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A =&gt;  PI = 1.38/7+1 = 1.197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Б =&gt;  PI = 3.57/10+1 = 1.357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В =&gt;  PI = 2.82/8+1 = 1.353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Г =&gt;  PI = 4.01/6.7+1 = 1.599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Проект Д =&gt;  PI = 3.55/4+1 = 1.888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Упорядочим проект по убыванию PI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Д, Г, Б, В, А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Выбираем проекты с наибольшим PI, пока не исчерпаем бюджет.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 =&gt; 20 — 4 = 16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Г =&gt; 16 — 6.7 = 9.3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 =&gt; 9.3 — 10 = -0.7 млн. руб (не подходит, пропускаем)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 =&gt; 9.3 — 8 = 1.3 мнл. Руб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 =&gt; 1.3 — 7 = -5.7 млн руб (не подходит, тоже пропускаем)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Общие инвестиции: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4+6.7+8 = 18.7 млн руб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NPV_sum = 3.55 + 4.01 + 2.82 = 10.38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NPV_all = 15.33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NPV_los = 15.33 — 10.38 = 4.95 млн руб — потеря из-за огранчиения бюджета</w:t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Ответ: </w:t>
      </w:r>
    </w:p>
    <w:p>
      <w:pPr>
        <w:pStyle w:val="BodyText"/>
        <w:spacing w:lineRule="auto" w:line="276" w:before="0" w:after="0"/>
        <w:ind w:hanging="0"/>
        <w:jc w:val="left"/>
        <w:rPr/>
      </w:pP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Инвестиционная программа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: Проекты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Д, Г, В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Общие инвестиции</w:t>
      </w:r>
      <w:r>
        <w:rPr/>
        <w:t>: 18.7 млн руб. (в пределах бюджета 20 млн руб.).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Суммарный NPV</w:t>
      </w:r>
      <w:r>
        <w:rPr/>
        <w:t>: 10.38 млн руб.</w:t>
      </w:r>
    </w:p>
    <w:p>
      <w:pPr>
        <w:pStyle w:val="BodyText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b w:val="false"/>
          <w:bCs w:val="false"/>
        </w:rPr>
        <w:t>Потери NPV</w:t>
      </w:r>
      <w:r>
        <w:rPr/>
        <w:t>: 4.95 млн руб.</w:t>
      </w:r>
    </w:p>
    <w:p>
      <w:pPr>
        <w:pStyle w:val="Normal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Задача 3.</w:t>
      </w:r>
    </w:p>
    <w:p>
      <w:pPr>
        <w:pStyle w:val="BodyText"/>
        <w:spacing w:lineRule="auto" w:line="276" w:before="0" w:after="0"/>
        <w:ind w:hanging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Для оценки стоимости товарного знака программного продукта можно использовать метод на основе будущих доходов, а именно метод </w:t>
      </w:r>
      <w:r>
        <w:rPr>
          <w:rStyle w:val="Strong"/>
          <w:rFonts w:cs="Times New Roman" w:ascii="Times New Roman" w:hAnsi="Times New Roman"/>
          <w:b w:val="false"/>
          <w:bCs w:val="false"/>
          <w:sz w:val="28"/>
          <w:szCs w:val="28"/>
        </w:rPr>
        <w:t>капитализации дохода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 В этом методе стоимость товарного знака определяется как приведенная стоимость будущих доходов, которые могут быть получены от его использования.</w:t>
      </w:r>
    </w:p>
    <w:p>
      <w:pPr>
        <w:pStyle w:val="Heading3"/>
        <w:rPr>
          <w:b w:val="false"/>
          <w:bCs w:val="false"/>
        </w:rPr>
      </w:pPr>
      <w:r>
        <w:rPr>
          <w:b w:val="false"/>
          <w:bCs w:val="false"/>
        </w:rPr>
        <w:t>Шаги для расчета стоимости:</w:t>
      </w:r>
    </w:p>
    <w:p>
      <w:pPr>
        <w:pStyle w:val="BodyText"/>
        <w:numPr>
          <w:ilvl w:val="0"/>
          <w:numId w:val="1"/>
        </w:numPr>
        <w:spacing w:before="0" w:after="0"/>
        <w:ind w:hanging="283" w:left="709"/>
        <w:rPr>
          <w:b w:val="false"/>
          <w:bCs w:val="false"/>
        </w:rPr>
      </w:pPr>
      <w:r>
        <w:rPr>
          <w:b w:val="false"/>
          <w:bCs w:val="false"/>
        </w:rPr>
        <w:t>Годовой товарооборот=3500×12=42,000 тыс. руб. в год.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Стоимость товарного знака</w:t>
      </w:r>
      <w:r>
        <w:rPr>
          <w:b w:val="false"/>
          <w:bCs w:val="false"/>
        </w:rPr>
        <w:t xml:space="preserve"> через 2 года. Стоимость товарного знака можно оценить как </w:t>
      </w:r>
      <w:r>
        <w:rPr>
          <w:rStyle w:val="Strong"/>
          <w:b w:val="false"/>
          <w:bCs w:val="false"/>
        </w:rPr>
        <w:t>сумму затрат на его разработку и капитализацию будущих доходов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b w:val="false"/>
          <w:bCs w:val="false"/>
        </w:rPr>
      </w:pPr>
      <w:r>
        <w:rPr>
          <w:rStyle w:val="Strong"/>
          <w:b w:val="false"/>
          <w:bCs w:val="false"/>
        </w:rPr>
        <w:t>Приведение будущих доходов к текущей стоимости</w:t>
      </w:r>
      <w:r>
        <w:rPr>
          <w:b w:val="false"/>
          <w:bCs w:val="false"/>
        </w:rPr>
        <w:t xml:space="preserve"> (метод дисконтирования): Чтобы оценить, насколько текущая стоимость товарного знака отличается от будущих доходов, нужно учесть ставку дисконтирования.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  <w:b w:val="false"/>
          <w:bCs w:val="false"/>
        </w:rPr>
        <w:t>Расчет стоимости.</w:t>
      </w:r>
    </w:p>
    <w:p>
      <w:pPr>
        <w:pStyle w:val="BodyText"/>
        <w:numPr>
          <w:ilvl w:val="0"/>
          <w:numId w:val="0"/>
        </w:numPr>
        <w:ind w:hanging="0" w:left="0"/>
        <w:rPr>
          <w:b w:val="false"/>
          <w:bCs w:val="false"/>
        </w:rPr>
      </w:pPr>
      <w:r>
        <w:rPr>
          <w:b w:val="false"/>
          <w:bCs w:val="false"/>
        </w:rPr>
        <w:t>Стоимость товарного знака=Годовой товарооборот×Ставка дисконтированияСтавка дисконтирования−Темп роста доходов.</w:t>
      </w:r>
    </w:p>
    <w:p>
      <w:pPr>
        <w:pStyle w:val="BodyText"/>
        <w:numPr>
          <w:ilvl w:val="0"/>
          <w:numId w:val="0"/>
        </w:numPr>
        <w:ind w:hanging="0" w:left="0"/>
        <w:rPr>
          <w:b w:val="false"/>
          <w:bCs w:val="false"/>
        </w:rPr>
      </w:pPr>
      <w:r>
        <w:rPr>
          <w:b w:val="false"/>
          <w:bCs w:val="false"/>
        </w:rPr>
        <w:t>Если мы предполагаем, что темп роста доходов равен 0, то просто применим ставку дисконтирования к годовым доходам.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b w:val="false"/>
          <w:bCs w:val="false"/>
        </w:rPr>
        <w:t>Стоимость товарного знака=42,000×0.250.25=42,000 тыс. руб.</w:t>
      </w:r>
    </w:p>
    <w:p>
      <w:pPr>
        <w:pStyle w:val="Heading3"/>
        <w:rPr>
          <w:b w:val="false"/>
          <w:bCs w:val="false"/>
        </w:rPr>
      </w:pPr>
      <w:r>
        <w:rPr>
          <w:b w:val="false"/>
          <w:bCs w:val="false"/>
        </w:rPr>
        <w:t xml:space="preserve">Вывод: </w:t>
      </w:r>
      <w:r>
        <w:rPr>
          <w:b w:val="false"/>
          <w:bCs w:val="false"/>
        </w:rPr>
        <w:t>о</w:t>
      </w:r>
      <w:r>
        <w:rPr>
          <w:rStyle w:val="Strong"/>
          <w:b w:val="false"/>
          <w:bCs w:val="false"/>
        </w:rPr>
        <w:t>ценка стоимости товарного знака</w:t>
      </w:r>
      <w:r>
        <w:rPr>
          <w:b w:val="false"/>
          <w:bCs w:val="false"/>
        </w:rPr>
        <w:t xml:space="preserve"> на основе его товарооборота за два года может составлять примерно </w:t>
      </w:r>
      <w:r>
        <w:rPr>
          <w:rStyle w:val="Strong"/>
          <w:b w:val="false"/>
          <w:bCs w:val="false"/>
        </w:rPr>
        <w:t>42,000 тыс. руб.</w:t>
      </w:r>
      <w:r>
        <w:rPr>
          <w:b w:val="false"/>
          <w:bCs w:val="false"/>
        </w:rPr>
        <w:t xml:space="preserve">, в зависимости от ставки дисконтирования. </w:t>
      </w:r>
    </w:p>
    <w:p>
      <w:pPr>
        <w:pStyle w:val="Normal"/>
        <w:spacing w:lineRule="auto" w:line="276" w:before="0" w:after="0"/>
        <w:ind w:hanging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3">
    <w:name w:val="Титульник. Основной текст [ВУЗ] Знак"/>
    <w:basedOn w:val="DefaultParagraphFont"/>
    <w:link w:val="Style17"/>
    <w:qFormat/>
    <w:rPr>
      <w:rFonts w:ascii="Times New Roman" w:hAnsi="Times New Roman" w:cs="Times New Roman"/>
      <w:sz w:val="28"/>
      <w:szCs w:val="28"/>
    </w:rPr>
  </w:style>
  <w:style w:type="character" w:styleId="Style14">
    <w:name w:val="Титульник. По центру [ВУЗ] Знак"/>
    <w:basedOn w:val="DefaultParagraphFont"/>
    <w:link w:val="Style18"/>
    <w:qFormat/>
    <w:rPr>
      <w:rFonts w:ascii="Times New Roman" w:hAnsi="Times New Roman" w:cs="Times New Roman"/>
      <w:sz w:val="28"/>
      <w:szCs w:val="28"/>
    </w:rPr>
  </w:style>
  <w:style w:type="character" w:styleId="Style15">
    <w:name w:val="Титульник. Шапка [ВУЗ] Знак"/>
    <w:basedOn w:val="Style14"/>
    <w:link w:val="Style19"/>
    <w:qFormat/>
    <w:rPr>
      <w:rFonts w:ascii="Times New Roman" w:hAnsi="Times New Roman" w:cs="Times New Roman"/>
      <w:b/>
      <w:sz w:val="28"/>
      <w:szCs w:val="28"/>
    </w:rPr>
  </w:style>
  <w:style w:type="character" w:styleId="Standard">
    <w:name w:val="Standard Знак"/>
    <w:basedOn w:val="DefaultParagraphFont"/>
    <w:link w:val="Standard1"/>
    <w:qFormat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Style16">
    <w:name w:val="Лабораторная Знак"/>
    <w:basedOn w:val="DefaultParagraphFont"/>
    <w:link w:val="Style20"/>
    <w:qFormat/>
    <w:rPr>
      <w:rFonts w:ascii="Times New Roman" w:hAnsi="Times New Roman"/>
      <w:sz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Титульник. Основной текст [ВУЗ]"/>
    <w:link w:val="Style13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8">
    <w:name w:val="Титульник. По центру [ВУЗ]"/>
    <w:link w:val="Style14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9">
    <w:name w:val="Титульник. Шапка [ВУЗ]"/>
    <w:basedOn w:val="Style18"/>
    <w:link w:val="Style15"/>
    <w:qFormat/>
    <w:pPr>
      <w:spacing w:lineRule="auto" w:line="240"/>
    </w:pPr>
    <w:rPr>
      <w:b/>
    </w:rPr>
  </w:style>
  <w:style w:type="paragraph" w:styleId="Standard1">
    <w:name w:val="Standard"/>
    <w:link w:val="Standard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20">
    <w:name w:val="Лабораторная"/>
    <w:link w:val="Style16"/>
    <w:qFormat/>
    <w:pPr>
      <w:widowControl w:val="false"/>
      <w:suppressAutoHyphens w:val="true"/>
      <w:overflowPunct w:val="true"/>
      <w:bidi w:val="0"/>
      <w:spacing w:lineRule="auto" w:line="360" w:before="0" w:after="160"/>
      <w:ind w:firstLine="709"/>
      <w:jc w:val="both"/>
    </w:pPr>
    <w:rPr>
      <w:rFonts w:ascii="Times New Roman" w:hAnsi="Times New Roman" w:eastAsia="Calibri" w:cs="FreeSerif"/>
      <w:color w:val="auto"/>
      <w:kern w:val="0"/>
      <w:sz w:val="28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Application>LibreOffice/24.8.5.2$Linux_X86_64 LibreOffice_project/480$Build-2</Application>
  <AppVersion>15.0000</AppVersion>
  <Pages>4</Pages>
  <Words>600</Words>
  <Characters>3468</Characters>
  <CharactersWithSpaces>4193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cp:lastPrinted>2025-02-11T09:27:40Z</cp:lastPrinted>
  <dcterms:modified xsi:type="dcterms:W3CDTF">2025-03-10T16:22:18Z</dcterms:modified>
  <cp:revision>503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