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2"/>
        <w:rPr/>
      </w:pPr>
      <w:r>
        <w:drawing>
          <wp:anchor behindDoc="0" distT="0" distB="0" distL="114300" distR="114300" simplePos="0" locked="0" layoutInCell="0" allowOverlap="1" relativeHeight="34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76" y="0"/>
                <wp:lineTo x="-176" y="20822"/>
                <wp:lineTo x="21057" y="20822"/>
                <wp:lineTo x="21057" y="0"/>
                <wp:lineTo x="-176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/>
      </w:r>
    </w:p>
    <w:p>
      <w:pPr>
        <w:pStyle w:val="Style21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21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jc w:val="left"/>
        <w:rPr/>
      </w:pPr>
      <w:r>
        <w:rPr/>
      </w:r>
    </w:p>
    <w:p>
      <w:pPr>
        <w:pStyle w:val="Style21"/>
        <w:rPr/>
      </w:pPr>
      <w:r>
        <w:rPr/>
        <w:t>ПРАКТИЧЕСКАЯ РАБОТА №</w:t>
      </w:r>
      <w:r>
        <w:rPr/>
        <w:t>6</w:t>
      </w:r>
    </w:p>
    <w:p>
      <w:pPr>
        <w:pStyle w:val="Style21"/>
        <w:rPr/>
      </w:pPr>
      <w:r>
        <w:rPr/>
        <w:t>по курсу «Экономико-правовые основы рынка программного обеспечения»</w:t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spacing w:lineRule="auto" w:line="276"/>
        <w:jc w:val="left"/>
        <w:rPr/>
      </w:pPr>
      <w:r>
        <w:rPr/>
        <w:tab/>
        <w:tab/>
      </w:r>
    </w:p>
    <w:p>
      <w:pPr>
        <w:pStyle w:val="Style23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8"/>
        </w:rPr>
        <w:t xml:space="preserve">Студент </w:t>
      </w:r>
      <w:r>
        <w:rPr/>
        <w:t>АС-21-1</w:t>
        <w:tab/>
        <w:t>____________________</w:t>
        <w:tab/>
        <w:t>Станиславчук С.М.</w:t>
      </w:r>
    </w:p>
    <w:p>
      <w:pPr>
        <w:pStyle w:val="Style23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23"/>
        <w:spacing w:lineRule="auto" w:line="276"/>
        <w:rPr/>
      </w:pPr>
      <w:r>
        <w:rPr/>
        <w:tab/>
        <w:tab/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Руководитель</w:t>
      </w:r>
    </w:p>
    <w:p>
      <w:pPr>
        <w:pStyle w:val="Style23"/>
        <w:rPr/>
      </w:pPr>
      <w:r>
        <w:rPr/>
        <w:t>Профессор</w:t>
        <w:tab/>
        <w:t>____________________</w:t>
        <w:tab/>
        <w:t>Ведищев В. В.</w:t>
      </w:r>
    </w:p>
    <w:p>
      <w:pPr>
        <w:pStyle w:val="Style23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jc w:val="left"/>
        <w:rPr/>
      </w:pPr>
      <w:r>
        <w:rPr/>
      </w:r>
    </w:p>
    <w:p>
      <w:pPr>
        <w:pStyle w:val="Style21"/>
        <w:spacing w:lineRule="auto" w:line="360" w:before="0" w:after="240"/>
        <w:jc w:val="center"/>
        <w:rPr>
          <w:szCs w:val="28"/>
        </w:rPr>
      </w:pPr>
      <w:r>
        <w:rPr>
          <w:bCs/>
          <w:iCs/>
          <w:color w:val="000000"/>
          <w:sz w:val="28"/>
          <w:szCs w:val="28"/>
        </w:rPr>
        <w:t>Липецк 2025 г.</w:t>
      </w:r>
    </w:p>
    <w:p>
      <w:pPr>
        <w:pStyle w:val="Normal"/>
        <w:tabs>
          <w:tab w:val="clear" w:pos="708"/>
          <w:tab w:val="left" w:pos="993" w:leader="none"/>
        </w:tabs>
        <w:spacing w:lineRule="auto" w:line="360"/>
        <w:rPr>
          <w:szCs w:val="28"/>
        </w:rPr>
      </w:pPr>
      <w:r>
        <w:rPr>
          <w:szCs w:val="28"/>
        </w:rPr>
        <w:t>Ход работы</w:t>
      </w:r>
    </w:p>
    <w:p>
      <w:pPr>
        <w:pStyle w:val="Normal"/>
        <w:spacing w:lineRule="auto" w:line="360"/>
        <w:rPr>
          <w:szCs w:val="28"/>
        </w:rPr>
      </w:pPr>
      <w:r>
        <w:rPr>
          <w:szCs w:val="28"/>
        </w:rPr>
        <w:t>Задание №1</w:t>
      </w:r>
    </w:p>
    <w:p>
      <w:pPr>
        <w:pStyle w:val="Style19"/>
        <w:rPr/>
      </w:pPr>
      <w:r>
        <w:rPr>
          <w:rFonts w:cs="Times New Roman"/>
        </w:rPr>
        <w:t>Рассматривается проект разработки программного обеспечения, который характеризуется следующим денежным потоком (млн. руб.)</w:t>
      </w:r>
      <w:r>
        <w:rPr/>
        <w:t xml:space="preserve">. </w:t>
      </w:r>
    </w:p>
    <w:p>
      <w:pPr>
        <w:pStyle w:val="Normal"/>
        <w:shd w:val="clear" w:color="auto" w:fill="FFFFFF"/>
        <w:tabs>
          <w:tab w:val="clear" w:pos="708"/>
          <w:tab w:val="left" w:pos="2552" w:leader="none"/>
          <w:tab w:val="left" w:pos="3686" w:leader="none"/>
          <w:tab w:val="left" w:pos="4820" w:leader="none"/>
          <w:tab w:val="left" w:pos="6096" w:leader="none"/>
          <w:tab w:val="left" w:pos="7230" w:leader="none"/>
        </w:tabs>
        <w:spacing w:lineRule="auto" w:line="360"/>
        <w:ind w:firstLine="567"/>
        <w:jc w:val="both"/>
        <w:rPr>
          <w:szCs w:val="28"/>
        </w:rPr>
      </w:pPr>
      <w:r>
        <w:rPr>
          <w:color w:val="000000"/>
          <w:szCs w:val="28"/>
        </w:rPr>
        <w:t xml:space="preserve">                             </w:t>
      </w:r>
      <w:r>
        <w:rPr>
          <w:color w:val="000000"/>
          <w:szCs w:val="28"/>
        </w:rPr>
        <w:t>0</w:t>
        <w:tab/>
        <w:t>9</w:t>
        <w:tab/>
        <w:t>11</w:t>
        <w:tab/>
        <w:t>14</w:t>
        <w:tab/>
        <w:t xml:space="preserve"> 23</w:t>
      </w:r>
    </w:p>
    <w:p>
      <w:pPr>
        <w:pStyle w:val="Normal"/>
        <w:shd w:val="clear" w:color="auto" w:fill="FFFFFF"/>
        <w:spacing w:lineRule="auto" w:line="360"/>
        <w:ind w:firstLine="567"/>
        <w:jc w:val="both"/>
        <w:rPr>
          <w:color w:val="000000"/>
          <w:szCs w:val="28"/>
        </w:rPr>
      </w:pPr>
      <w:r>
        <w:rPr>
          <w:color w:val="000000"/>
          <w:szCs w:val="28"/>
        </w:rPr>
        <mc:AlternateContent>
          <mc:Choice Requires="wpg">
            <w:drawing>
              <wp:anchor behindDoc="0" distT="0" distB="15240" distL="0" distR="19050" simplePos="0" locked="0" layoutInCell="1" allowOverlap="1" relativeHeight="2" wp14:anchorId="7D6CE4E5">
                <wp:simplePos x="0" y="0"/>
                <wp:positionH relativeFrom="column">
                  <wp:posOffset>1655445</wp:posOffset>
                </wp:positionH>
                <wp:positionV relativeFrom="paragraph">
                  <wp:posOffset>1905</wp:posOffset>
                </wp:positionV>
                <wp:extent cx="3048000" cy="232410"/>
                <wp:effectExtent l="5080" t="5080" r="5080" b="5080"/>
                <wp:wrapNone/>
                <wp:docPr id="2" name="Группа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120" cy="232560"/>
                          <a:chOff x="0" y="0"/>
                          <a:chExt cx="3048120" cy="232560"/>
                        </a:xfrm>
                      </wpg:grpSpPr>
                      <wps:wsp>
                        <wps:cNvSpPr/>
                        <wps:spPr>
                          <a:xfrm>
                            <a:off x="0" y="118080"/>
                            <a:ext cx="3047400" cy="72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228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61400" y="0"/>
                            <a:ext cx="720" cy="228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523880" y="0"/>
                            <a:ext cx="0" cy="228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286000" y="0"/>
                            <a:ext cx="0" cy="228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047400" y="3960"/>
                            <a:ext cx="720" cy="228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Группа 8" style="position:absolute;margin-left:130.35pt;margin-top:0.15pt;width:239.95pt;height:18.25pt" coordorigin="2607,3" coordsize="4799,365">
                <v:line id="shape_0" from="2607,189" to="7405,189" ID="Line 4" stroked="t" o:allowincell="f" style="position:absolute">
                  <v:stroke color="black" weight="9360" joinstyle="round" endcap="flat"/>
                  <v:fill o:detectmouseclick="t" on="false"/>
                  <w10:wrap type="none"/>
                </v:line>
                <v:line id="shape_0" from="2607,3" to="2607,362" ID="Line 5" stroked="t" o:allowincell="f" style="position:absolute">
                  <v:stroke color="black" weight="9360" joinstyle="round" endcap="flat"/>
                  <v:fill o:detectmouseclick="t" on="false"/>
                  <w10:wrap type="none"/>
                </v:line>
                <v:line id="shape_0" from="3806,3" to="3806,362" ID="Line 6" stroked="t" o:allowincell="f" style="position:absolute">
                  <v:stroke color="black" weight="9360" joinstyle="round" endcap="flat"/>
                  <v:fill o:detectmouseclick="t" on="false"/>
                  <w10:wrap type="none"/>
                </v:line>
                <v:line id="shape_0" from="5007,3" to="5007,362" ID="Line 7" stroked="t" o:allowincell="f" style="position:absolute">
                  <v:stroke color="black" weight="9360" joinstyle="round" endcap="flat"/>
                  <v:fill o:detectmouseclick="t" on="false"/>
                  <w10:wrap type="none"/>
                </v:line>
                <v:line id="shape_0" from="6207,3" to="6207,362" ID="Line 8" stroked="t" o:allowincell="f" style="position:absolute">
                  <v:stroke color="black" weight="9360" joinstyle="round" endcap="flat"/>
                  <v:fill o:detectmouseclick="t" on="false"/>
                  <w10:wrap type="none"/>
                </v:line>
                <v:line id="shape_0" from="7406,9" to="7406,368" ID="Line 9" stroked="t" o:allowincell="f" style="position:absolute">
                  <v:stroke color="black" weight="936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shd w:val="clear" w:color="auto" w:fill="FFFFFF"/>
        <w:tabs>
          <w:tab w:val="clear" w:pos="708"/>
          <w:tab w:val="left" w:pos="2410" w:leader="none"/>
          <w:tab w:val="left" w:pos="7088" w:leader="none"/>
        </w:tabs>
        <w:spacing w:lineRule="auto" w:line="360"/>
        <w:ind w:firstLine="567"/>
        <w:jc w:val="both"/>
        <w:rPr>
          <w:szCs w:val="28"/>
        </w:rPr>
      </w:pPr>
      <w:r>
        <w:rPr>
          <w:szCs w:val="28"/>
        </w:rPr>
        <w:tab/>
        <w:t>–15</w:t>
        <w:tab/>
        <w:t>–20</w:t>
      </w:r>
    </w:p>
    <w:p>
      <w:pPr>
        <w:pStyle w:val="Normal"/>
        <w:shd w:val="clear" w:color="auto" w:fill="FFFFFF"/>
        <w:tabs>
          <w:tab w:val="clear" w:pos="708"/>
          <w:tab w:val="left" w:pos="2127" w:leader="none"/>
          <w:tab w:val="left" w:pos="3544" w:leader="none"/>
          <w:tab w:val="left" w:pos="4820" w:leader="none"/>
          <w:tab w:val="left" w:pos="6096" w:leader="none"/>
        </w:tabs>
        <w:spacing w:lineRule="auto" w:line="360"/>
        <w:jc w:val="both"/>
        <w:rPr>
          <w:szCs w:val="28"/>
        </w:rPr>
      </w:pPr>
      <w:r>
        <w:rPr>
          <w:color w:val="000000"/>
          <w:szCs w:val="28"/>
        </w:rPr>
        <w:tab/>
        <w:t>0-й год     1-й  год    2-й год      3-й год</w:t>
        <w:tab/>
        <w:t>4-й год</w:t>
      </w:r>
    </w:p>
    <w:p>
      <w:pPr>
        <w:pStyle w:val="Style19"/>
        <w:ind w:hanging="0"/>
        <w:jc w:val="center"/>
        <w:rPr/>
      </w:pPr>
      <w:r>
        <w:rPr/>
        <w:t>Рисунок 1 – Денежные потоки</w:t>
      </w:r>
    </w:p>
    <w:p>
      <w:pPr>
        <w:pStyle w:val="Normal"/>
        <w:spacing w:lineRule="auto" w:line="360" w:before="120" w:after="0"/>
        <w:ind w:firstLine="708"/>
        <w:rPr>
          <w:rFonts w:eastAsia="" w:eastAsiaTheme="minorEastAsia"/>
          <w:szCs w:val="28"/>
        </w:rPr>
      </w:pPr>
      <w:r>
        <w:rPr>
          <w:rFonts w:eastAsia="" w:eastAsiaTheme="minorEastAsia"/>
          <w:szCs w:val="28"/>
        </w:rPr>
        <w:t>Ставка дисконтирования равна 20%. Определить период времени, в течение которого инвестиции с учетом дисконтирования полностью окупят себя за счет дисконтированных потоков дохода.</w:t>
      </w:r>
    </w:p>
    <w:p>
      <w:pPr>
        <w:pStyle w:val="Style19"/>
        <w:rPr/>
      </w:pPr>
      <w:r>
        <w:rPr/>
        <w:t>Решение:</w:t>
      </w:r>
    </w:p>
    <w:p>
      <w:pPr>
        <w:pStyle w:val="Normal"/>
        <w:spacing w:before="0" w:after="0"/>
        <w:ind w:firstLine="708"/>
        <w:contextualSpacing/>
        <w:rPr>
          <w:rFonts w:eastAsia="" w:eastAsiaTheme="minorEastAsia"/>
          <w:bCs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NPV</m:t>
        </m:r>
        <m:r>
          <w:rPr>
            <w:rFonts w:ascii="Cambria Math" w:hAnsi="Cambria Math"/>
          </w:rPr>
          <m:t xml:space="preserve">=</m:t>
        </m:r>
        <m:nary>
          <m:naryPr>
            <m:chr m:val="∑"/>
          </m:naryPr>
          <m:sub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n</m:t>
            </m:r>
          </m:sup>
          <m:e>
            <m:f>
              <m:num>
                <m:sSub>
                  <m:e>
                    <m:r>
                      <w:rPr>
                        <w:rFonts w:ascii="Cambria Math" w:hAnsi="Cambria Math"/>
                      </w:rPr>
                      <m:t xml:space="preserve">CF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 xml:space="preserve">(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IRR</m:t>
                    </m:r>
                    <m:r>
                      <w:rPr>
                        <w:rFonts w:ascii="Cambria Math" w:hAnsi="Cambria Math"/>
                      </w:rPr>
                      <m:t xml:space="preserve"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den>
            </m:f>
          </m:e>
        </m:nary>
      </m:oMath>
      <w:r>
        <w:rPr>
          <w:rFonts w:eastAsia="" w:eastAsiaTheme="minorEastAsia"/>
          <w:bCs/>
          <w:szCs w:val="28"/>
        </w:rPr>
        <w:t xml:space="preserve">, где </w:t>
      </w:r>
      <w:r>
        <w:rPr>
          <w:rFonts w:eastAsia="" w:eastAsiaTheme="minorEastAsia"/>
          <w:bCs/>
          <w:szCs w:val="28"/>
          <w:lang w:val="en-US"/>
        </w:rPr>
        <w:t>NPV</w:t>
      </w:r>
      <w:r>
        <w:rPr>
          <w:rFonts w:eastAsia="" w:eastAsiaTheme="minorEastAsia"/>
          <w:bCs/>
          <w:szCs w:val="28"/>
        </w:rPr>
        <w:t xml:space="preserve"> – чистая приведенная стоимость, </w:t>
      </w:r>
      <w:r>
        <w:rPr>
          <w:rFonts w:eastAsia="" w:eastAsiaTheme="minorEastAsia"/>
          <w:bCs/>
          <w:szCs w:val="28"/>
          <w:lang w:val="en-US"/>
        </w:rPr>
        <w:t>CF</w:t>
      </w:r>
      <w:r>
        <w:rPr>
          <w:rFonts w:eastAsia="" w:eastAsiaTheme="minorEastAsia"/>
          <w:bCs/>
          <w:szCs w:val="28"/>
        </w:rPr>
        <w:t xml:space="preserve"> – денежные потоки, </w:t>
      </w:r>
      <w:r>
        <w:rPr>
          <w:rFonts w:eastAsia="" w:eastAsiaTheme="minorEastAsia"/>
          <w:bCs/>
          <w:szCs w:val="28"/>
          <w:lang w:val="en-US"/>
        </w:rPr>
        <w:t>IRR</w:t>
      </w:r>
      <w:r>
        <w:rPr>
          <w:rFonts w:eastAsia="" w:eastAsiaTheme="minorEastAsia"/>
          <w:bCs/>
          <w:szCs w:val="28"/>
        </w:rPr>
        <w:t xml:space="preserve"> – внутренняя норма доходности. </w:t>
      </w:r>
    </w:p>
    <w:p>
      <w:pPr>
        <w:pStyle w:val="Style19"/>
        <w:jc w:val="center"/>
        <w:rPr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NPV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10</m:t>
          </m:r>
        </m:oMath>
      </m:oMathPara>
    </w:p>
    <w:p>
      <w:pPr>
        <w:pStyle w:val="Style19"/>
        <w:jc w:val="center"/>
        <w:rPr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NPV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NPV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7,5</m:t>
              </m:r>
            </m:num>
            <m:den>
              <m:r>
                <w:rPr>
                  <w:rFonts w:ascii="Cambria Math" w:hAnsi="Cambria Math"/>
                </w:rPr>
                <m:t xml:space="preserve">1,2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2,92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12,92</m:t>
          </m:r>
        </m:oMath>
      </m:oMathPara>
    </w:p>
    <w:p>
      <w:pPr>
        <w:pStyle w:val="Style19"/>
        <w:jc w:val="center"/>
        <w:rPr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NPV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NPV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8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5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1,2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12,92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2,083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10,837</m:t>
          </m:r>
        </m:oMath>
      </m:oMathPara>
    </w:p>
    <w:p>
      <w:pPr>
        <w:pStyle w:val="Style19"/>
        <w:jc w:val="center"/>
        <w:rPr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NPV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NPV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13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1,2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10,837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7,523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3,314</m:t>
          </m:r>
          <m:r>
            <w:rPr>
              <w:rFonts w:ascii="Cambria Math" w:hAnsi="Cambria Math"/>
            </w:rPr>
            <m:t xml:space="preserve">‬</m:t>
          </m:r>
        </m:oMath>
      </m:oMathPara>
    </w:p>
    <w:p>
      <w:pPr>
        <w:pStyle w:val="Style19"/>
        <w:jc w:val="center"/>
        <w:rPr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NPV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NPV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18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1,2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3,314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8,681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367</m:t>
          </m:r>
          <m:r>
            <w:rPr>
              <w:rFonts w:ascii="Cambria Math" w:hAnsi="Cambria Math"/>
            </w:rPr>
            <m:t xml:space="preserve">‬</m:t>
          </m:r>
        </m:oMath>
      </m:oMathPara>
    </w:p>
    <w:p>
      <w:pPr>
        <w:pStyle w:val="Style19"/>
        <w:jc w:val="center"/>
        <w:rPr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NPV</m:t>
              </m:r>
            </m:e>
            <m:sub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NPV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21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1,2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5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5,367</m:t>
          </m:r>
          <m:r>
            <w:rPr>
              <w:rFonts w:ascii="Cambria Math" w:hAnsi="Cambria Math"/>
            </w:rPr>
            <m:t xml:space="preserve">‬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8,4394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13,8064</m:t>
          </m:r>
          <m:r>
            <w:rPr>
              <w:rFonts w:ascii="Cambria Math" w:hAnsi="Cambria Math"/>
            </w:rPr>
            <m:t xml:space="preserve">‬</m:t>
          </m:r>
        </m:oMath>
      </m:oMathPara>
    </w:p>
    <w:p>
      <w:pPr>
        <w:pStyle w:val="Style19"/>
        <w:rPr/>
      </w:pPr>
      <w:r>
        <w:rPr/>
        <w:t>Ответ: проект окупится за 4 года.</w:t>
      </w:r>
    </w:p>
    <w:p>
      <w:pPr>
        <w:pStyle w:val="Style19"/>
        <w:rPr/>
      </w:pPr>
      <w:r>
        <w:rPr/>
      </w:r>
      <w:r>
        <w:br w:type="page"/>
      </w:r>
    </w:p>
    <w:p>
      <w:pPr>
        <w:pStyle w:val="Style19"/>
        <w:spacing w:before="0" w:after="0"/>
        <w:contextualSpacing/>
        <w:rPr/>
      </w:pPr>
      <w:r>
        <w:rPr/>
        <w:t>За</w:t>
      </w:r>
      <w:bookmarkStart w:id="0" w:name="_GoBack"/>
      <w:bookmarkEnd w:id="0"/>
      <w:r>
        <w:rPr/>
        <w:t>дание №2</w:t>
      </w:r>
    </w:p>
    <w:p>
      <w:pPr>
        <w:pStyle w:val="Style19"/>
        <w:rPr/>
      </w:pPr>
      <w:r>
        <w:rPr>
          <w:rFonts w:cs="Times New Roman"/>
        </w:rPr>
        <w:t>Рассматривается проект разработки программного обеспечения, средняя норма доходности которого составляет 16%. Риск реализации проекта, определенный экспертным путем, равен 3%. Необходимо оценить эффективность проекта с учетом и без учета риска. Исходные данные представлены в таблице</w:t>
      </w:r>
      <w:r>
        <w:rPr/>
        <w:t>.</w:t>
      </w:r>
    </w:p>
    <w:p>
      <w:pPr>
        <w:pStyle w:val="Style19"/>
        <w:ind w:hanging="0"/>
        <w:rPr>
          <w:iCs/>
        </w:rPr>
      </w:pPr>
      <w:r>
        <w:rPr>
          <w:iCs/>
        </w:rPr>
        <w:t>Таблица 1 – Исходные данные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6929"/>
        <w:gridCol w:w="2140"/>
      </w:tblGrid>
      <w:tr>
        <w:trPr>
          <w:trHeight w:val="459" w:hRule="atLeast"/>
        </w:trPr>
        <w:tc>
          <w:tcPr>
            <w:tcW w:w="6929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szCs w:val="28"/>
                <w:lang w:eastAsia="ru-RU"/>
              </w:rPr>
            </w:pPr>
            <w:r>
              <w:rPr>
                <w:bCs/>
                <w:color w:val="000000"/>
                <w:szCs w:val="28"/>
                <w:lang w:eastAsia="ru-RU"/>
              </w:rPr>
              <w:t>Показатели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szCs w:val="28"/>
                <w:lang w:eastAsia="ru-RU"/>
              </w:rPr>
            </w:pPr>
            <w:r>
              <w:rPr>
                <w:bCs/>
                <w:color w:val="000000"/>
                <w:szCs w:val="28"/>
                <w:lang w:eastAsia="ru-RU"/>
              </w:rPr>
              <w:t>Проект</w:t>
            </w:r>
          </w:p>
        </w:tc>
      </w:tr>
      <w:tr>
        <w:trPr>
          <w:trHeight w:val="459" w:hRule="atLeast"/>
        </w:trPr>
        <w:tc>
          <w:tcPr>
            <w:tcW w:w="6929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Необходимый объем первоначальных инвестиций (</w:t>
            </w:r>
            <w:r>
              <w:rPr>
                <w:color w:val="000000"/>
                <w:szCs w:val="28"/>
                <w:lang w:val="en-US" w:eastAsia="ru-RU"/>
              </w:rPr>
              <w:t>I</w:t>
            </w:r>
            <w:r>
              <w:rPr>
                <w:color w:val="000000"/>
                <w:szCs w:val="28"/>
                <w:lang w:eastAsia="ru-RU"/>
              </w:rPr>
              <w:t>С), млн. руб.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11</w:t>
            </w:r>
          </w:p>
        </w:tc>
      </w:tr>
      <w:tr>
        <w:trPr>
          <w:trHeight w:val="459" w:hRule="atLeast"/>
        </w:trPr>
        <w:tc>
          <w:tcPr>
            <w:tcW w:w="6929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Продолжительность действия проекта (</w:t>
            </w:r>
            <w:r>
              <w:rPr>
                <w:color w:val="000000"/>
                <w:szCs w:val="28"/>
                <w:lang w:val="en-US" w:eastAsia="ru-RU"/>
              </w:rPr>
              <w:t>n</w:t>
            </w:r>
            <w:r>
              <w:rPr>
                <w:color w:val="000000"/>
                <w:szCs w:val="28"/>
                <w:lang w:eastAsia="ru-RU"/>
              </w:rPr>
              <w:t>), годы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4</w:t>
            </w:r>
          </w:p>
        </w:tc>
      </w:tr>
      <w:tr>
        <w:trPr>
          <w:trHeight w:val="459" w:hRule="atLeast"/>
        </w:trPr>
        <w:tc>
          <w:tcPr>
            <w:tcW w:w="6929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Закладываемая норма дисконта (</w:t>
            </w:r>
            <w:r>
              <w:rPr>
                <w:color w:val="000000"/>
                <w:szCs w:val="28"/>
                <w:lang w:val="en-US" w:eastAsia="ru-RU"/>
              </w:rPr>
              <w:t>r</w:t>
            </w:r>
            <w:r>
              <w:rPr>
                <w:color w:val="000000"/>
                <w:szCs w:val="28"/>
                <w:lang w:eastAsia="ru-RU"/>
              </w:rPr>
              <w:t>), проценты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16</w:t>
            </w:r>
          </w:p>
        </w:tc>
      </w:tr>
      <w:tr>
        <w:trPr>
          <w:trHeight w:val="459" w:hRule="atLeast"/>
        </w:trPr>
        <w:tc>
          <w:tcPr>
            <w:tcW w:w="6929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Выгоды от проекта (В) по годам, тыс. руб.: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</w:r>
          </w:p>
        </w:tc>
      </w:tr>
      <w:tr>
        <w:trPr>
          <w:trHeight w:val="459" w:hRule="atLeast"/>
        </w:trPr>
        <w:tc>
          <w:tcPr>
            <w:tcW w:w="6929" w:type="dxa"/>
            <w:tcBorders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 xml:space="preserve">в первый год </w:t>
            </w:r>
            <w:r>
              <w:rPr>
                <w:color w:val="000000"/>
                <w:szCs w:val="28"/>
              </w:rPr>
              <w:t>(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oMath>
            <w:r>
              <w:rPr>
                <w:color w:val="000000"/>
                <w:szCs w:val="28"/>
              </w:rPr>
              <w:t>)</w:t>
            </w:r>
          </w:p>
        </w:tc>
        <w:tc>
          <w:tcPr>
            <w:tcW w:w="2140" w:type="dxa"/>
            <w:tcBorders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val="en-US" w:eastAsia="ru-RU"/>
              </w:rPr>
              <w:t>4,</w:t>
            </w:r>
            <w:r>
              <w:rPr>
                <w:color w:val="000000"/>
                <w:szCs w:val="28"/>
                <w:lang w:eastAsia="ru-RU"/>
              </w:rPr>
              <w:t>8</w:t>
            </w:r>
          </w:p>
        </w:tc>
      </w:tr>
      <w:tr>
        <w:trPr>
          <w:trHeight w:val="459" w:hRule="atLeast"/>
        </w:trPr>
        <w:tc>
          <w:tcPr>
            <w:tcW w:w="6929" w:type="dxa"/>
            <w:tcBorders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во второй год (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oMath>
            <w:r>
              <w:rPr>
                <w:color w:val="000000"/>
                <w:szCs w:val="28"/>
                <w:lang w:eastAsia="ru-RU"/>
              </w:rPr>
              <w:t>)</w:t>
            </w:r>
          </w:p>
        </w:tc>
        <w:tc>
          <w:tcPr>
            <w:tcW w:w="2140" w:type="dxa"/>
            <w:tcBorders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  <w:szCs w:val="28"/>
                <w:lang w:val="en-US" w:eastAsia="ru-RU"/>
              </w:rPr>
            </w:pPr>
            <w:r>
              <w:rPr>
                <w:color w:val="000000"/>
                <w:szCs w:val="28"/>
                <w:lang w:val="en-US" w:eastAsia="ru-RU"/>
              </w:rPr>
              <w:t>5</w:t>
            </w:r>
          </w:p>
        </w:tc>
      </w:tr>
      <w:tr>
        <w:trPr>
          <w:trHeight w:val="459" w:hRule="atLeast"/>
        </w:trPr>
        <w:tc>
          <w:tcPr>
            <w:tcW w:w="6929" w:type="dxa"/>
            <w:tcBorders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в третий год (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</m:oMath>
            <w:r>
              <w:rPr>
                <w:color w:val="000000"/>
                <w:szCs w:val="28"/>
                <w:lang w:eastAsia="ru-RU"/>
              </w:rPr>
              <w:t>)</w:t>
            </w:r>
          </w:p>
        </w:tc>
        <w:tc>
          <w:tcPr>
            <w:tcW w:w="2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color w:val="000000"/>
                <w:szCs w:val="28"/>
                <w:lang w:val="en-US" w:eastAsia="ru-RU"/>
              </w:rPr>
            </w:pPr>
            <w:r>
              <w:rPr>
                <w:color w:val="000000"/>
                <w:szCs w:val="28"/>
                <w:lang w:val="en-US" w:eastAsia="ru-RU"/>
              </w:rPr>
              <w:t>8</w:t>
            </w:r>
          </w:p>
        </w:tc>
      </w:tr>
    </w:tbl>
    <w:p>
      <w:pPr>
        <w:pStyle w:val="Style19"/>
        <w:rPr/>
      </w:pPr>
      <w:r>
        <w:rPr/>
      </w:r>
    </w:p>
    <w:p>
      <w:pPr>
        <w:pStyle w:val="Style19"/>
        <w:rPr/>
      </w:pPr>
      <w:r>
        <w:rPr/>
        <w:t>Решение:</w:t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rPr>
          <w:color w:val="000000"/>
          <w:szCs w:val="28"/>
        </w:rPr>
      </w:pPr>
      <w:r>
        <w:rPr>
          <w:color w:val="000000"/>
          <w:szCs w:val="28"/>
        </w:rPr>
        <w:t xml:space="preserve">При оценке эффективности проекта с учетом риска необходимо скорректировать норму дисконта на процент риска: </w:t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jc w:val="center"/>
        <w:rPr>
          <w:i/>
          <w:i/>
          <w:color w:val="000000"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б</m:t>
            </m:r>
          </m:sub>
        </m:sSub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rp</m:t>
        </m:r>
      </m:oMath>
      <w:r>
        <w:rPr>
          <w:i/>
          <w:color w:val="000000"/>
          <w:szCs w:val="28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rPr>
          <w:iCs/>
          <w:color w:val="000000"/>
          <w:szCs w:val="28"/>
        </w:rPr>
      </w:pPr>
      <w:r>
        <w:rPr>
          <w:i/>
          <w:color w:val="000000"/>
          <w:szCs w:val="28"/>
        </w:rPr>
        <w:t xml:space="preserve">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б</m:t>
            </m:r>
          </m:sub>
        </m:sSub>
        <m:r>
          <w:rPr>
            <w:rFonts w:ascii="Cambria Math" w:hAnsi="Cambria Math"/>
          </w:rPr>
          <m:t xml:space="preserve">−</m:t>
        </m:r>
      </m:oMath>
      <w:r>
        <w:rPr>
          <w:iCs/>
          <w:color w:val="000000"/>
          <w:szCs w:val="28"/>
        </w:rPr>
        <w:t>базовая норма дисконта,</w:t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rPr>
          <w:color w:val="000000"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rp</m:t>
        </m:r>
        <m:r>
          <w:rPr>
            <w:rFonts w:ascii="Cambria Math" w:hAnsi="Cambria Math"/>
          </w:rPr>
          <m:t xml:space="preserve">−</m:t>
        </m:r>
      </m:oMath>
      <w:r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надбавка за риск.</w:t>
      </w:r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rPr>
          <w:color w:val="000000"/>
          <w:szCs w:val="28"/>
        </w:rPr>
      </w:pPr>
      <w:r>
        <w:rPr>
          <w:color w:val="000000"/>
          <w:szCs w:val="28"/>
        </w:rPr>
        <w:t>Чистая приведенная стоимость без учета риска:</w:t>
      </w:r>
    </w:p>
    <w:p>
      <w:pPr>
        <w:pStyle w:val="Normal"/>
        <w:ind w:firstLine="708"/>
        <w:jc w:val="center"/>
        <w:rPr>
          <w:rFonts w:eastAsia="" w:eastAsiaTheme="minorEastAsia"/>
          <w:color w:val="000000"/>
          <w:szCs w:val="28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NPV</m:t>
          </m:r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(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  <m:r>
                        <w:rPr>
                          <w:rFonts w:ascii="Cambria Math" w:hAnsi="Cambria Math"/>
                        </w:rPr>
                        <m:t xml:space="preserve"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IC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e>
          </m:nary>
        </m:oMath>
      </m:oMathPara>
    </w:p>
    <w:p>
      <w:pPr>
        <w:pStyle w:val="Normal"/>
        <w:spacing w:before="120" w:after="0"/>
        <w:jc w:val="center"/>
        <w:rPr>
          <w:rFonts w:eastAsia="" w:eastAsiaTheme="minorEastAsia"/>
          <w:szCs w:val="28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NPV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11</m:t>
          </m:r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4,8</m:t>
              </m:r>
            </m:num>
            <m:den>
              <m:r>
                <w:rPr>
                  <w:rFonts w:ascii="Cambria Math" w:hAnsi="Cambria Math"/>
                </w:rPr>
                <m:t xml:space="preserve">1,16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1,16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8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1,16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9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4,138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3,7158</m:t>
          </m:r>
          <m:r>
            <w:rPr>
              <w:rFonts w:ascii="Cambria Math" w:hAnsi="Cambria Math"/>
            </w:rPr>
            <m:t xml:space="preserve">‬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5,125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3,979</m:t>
          </m:r>
          <m:r>
            <w:rPr>
              <w:rFonts w:ascii="Cambria Math" w:hAnsi="Cambria Math"/>
            </w:rPr>
            <m:t xml:space="preserve">‬</m:t>
          </m:r>
        </m:oMath>
      </m:oMathPara>
    </w:p>
    <w:p>
      <w:pPr>
        <w:pStyle w:val="Normal"/>
        <w:spacing w:before="120" w:after="0"/>
        <w:rPr>
          <w:rFonts w:eastAsia="" w:eastAsiaTheme="minorEastAsia"/>
          <w:szCs w:val="28"/>
        </w:rPr>
      </w:pPr>
      <w:r>
        <w:rPr>
          <w:rFonts w:eastAsia="" w:eastAsiaTheme="minorEastAsia"/>
          <w:szCs w:val="28"/>
        </w:rPr>
        <w:t>С учетом риска:</w:t>
      </w:r>
    </w:p>
    <w:p>
      <w:pPr>
        <w:pStyle w:val="Normal"/>
        <w:jc w:val="center"/>
        <w:rPr>
          <w:rFonts w:eastAsia="" w:eastAsiaTheme="minorEastAsia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NPV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NPV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∗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0,03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3,979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0,97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3,85963</m:t>
          </m:r>
        </m:oMath>
      </m:oMathPara>
    </w:p>
    <w:p>
      <w:pPr>
        <w:pStyle w:val="Normal"/>
        <w:shd w:val="clear" w:color="auto" w:fill="FFFFFF"/>
        <w:tabs>
          <w:tab w:val="clear" w:pos="708"/>
          <w:tab w:val="left" w:pos="0" w:leader="none"/>
        </w:tabs>
        <w:rPr>
          <w:color w:val="000000"/>
          <w:szCs w:val="28"/>
          <w:shd w:fill="FFFFFF" w:val="clear"/>
        </w:rPr>
      </w:pPr>
      <w:r>
        <w:rPr>
          <w:color w:val="000000"/>
          <w:szCs w:val="28"/>
          <w:shd w:fill="FFFFFF" w:val="clear"/>
        </w:rPr>
        <w:t>Задание №3</w:t>
      </w:r>
    </w:p>
    <w:p>
      <w:pPr>
        <w:pStyle w:val="12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Рассчитать себестоимость одной копии программного продукта, исходя из приведенных в таблице данных. Срок разработки – 10 месяцев, ежемесячные продажи – 15000 копий.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7054"/>
        <w:gridCol w:w="2015"/>
      </w:tblGrid>
      <w:tr>
        <w:trPr>
          <w:trHeight w:val="403" w:hRule="atLeast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bCs/>
                <w:szCs w:val="28"/>
              </w:rPr>
            </w:pPr>
            <w:r>
              <w:rPr>
                <w:bCs/>
                <w:szCs w:val="28"/>
              </w:rPr>
              <w:t>Наименование статей затрат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Сумма, тыс. руб.</w:t>
            </w:r>
          </w:p>
        </w:tc>
      </w:tr>
      <w:tr>
        <w:trPr>
          <w:trHeight w:val="403" w:hRule="atLeast"/>
        </w:trPr>
        <w:tc>
          <w:tcPr>
            <w:tcW w:w="906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color w:themeColor="text1" w:val="000000"/>
                <w:szCs w:val="28"/>
              </w:rPr>
            </w:pPr>
            <w:r>
              <w:rPr>
                <w:bCs/>
                <w:color w:themeColor="text1" w:val="000000"/>
                <w:szCs w:val="28"/>
              </w:rPr>
              <w:t>Единовременные</w:t>
            </w:r>
          </w:p>
        </w:tc>
      </w:tr>
      <w:tr>
        <w:trPr>
          <w:trHeight w:val="403" w:hRule="atLeast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Затраты на приобретение ВТ (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К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вт</m:t>
                  </m:r>
                </m:sub>
              </m:sSub>
            </m:oMath>
            <w:r>
              <w:rPr>
                <w:color w:themeColor="text1" w:val="000000"/>
                <w:szCs w:val="28"/>
              </w:rPr>
              <w:t>)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4500</w:t>
            </w:r>
          </w:p>
        </w:tc>
      </w:tr>
      <w:tr>
        <w:trPr>
          <w:trHeight w:val="403" w:hRule="atLeast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Затраты на приобретение (дооборудование) ЛВС (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К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лвс</m:t>
                  </m:r>
                </m:sub>
              </m:sSub>
            </m:oMath>
            <w:r>
              <w:rPr>
                <w:color w:themeColor="text1" w:val="000000"/>
                <w:szCs w:val="28"/>
              </w:rPr>
              <w:t>)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1500</w:t>
            </w:r>
          </w:p>
        </w:tc>
      </w:tr>
      <w:tr>
        <w:trPr>
          <w:trHeight w:val="403" w:hRule="atLeast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Затраты на приобретение пакетов прикладных программ и операционных систем (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К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пп</m:t>
                  </m:r>
                </m:sub>
              </m:sSub>
            </m:oMath>
            <w:r>
              <w:rPr>
                <w:color w:themeColor="text1" w:val="000000"/>
                <w:szCs w:val="28"/>
              </w:rPr>
              <w:t>)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3500</w:t>
            </w:r>
          </w:p>
        </w:tc>
      </w:tr>
      <w:tr>
        <w:trPr>
          <w:trHeight w:val="403" w:hRule="atLeast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Затраты на подготовку кадров (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З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пк</m:t>
                  </m:r>
                </m:sub>
              </m:sSub>
            </m:oMath>
            <w:r>
              <w:rPr>
                <w:color w:themeColor="text1" w:val="000000"/>
                <w:szCs w:val="28"/>
              </w:rPr>
              <w:t>)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3100</w:t>
            </w:r>
          </w:p>
        </w:tc>
      </w:tr>
      <w:tr>
        <w:trPr>
          <w:trHeight w:val="403" w:hRule="atLeast"/>
        </w:trPr>
        <w:tc>
          <w:tcPr>
            <w:tcW w:w="906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color w:themeColor="text1" w:val="000000"/>
                <w:szCs w:val="28"/>
              </w:rPr>
            </w:pPr>
            <w:r>
              <w:rPr>
                <w:bCs/>
                <w:color w:themeColor="text1" w:val="000000"/>
                <w:szCs w:val="28"/>
              </w:rPr>
              <w:t>Ежемесячные</w:t>
            </w:r>
          </w:p>
        </w:tc>
      </w:tr>
      <w:tr>
        <w:trPr>
          <w:trHeight w:val="403" w:hRule="atLeast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Затраты на заработную плату (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З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пр</m:t>
                  </m:r>
                </m:sub>
              </m:sSub>
            </m:oMath>
            <w:r>
              <w:rPr>
                <w:color w:themeColor="text1" w:val="000000"/>
                <w:szCs w:val="28"/>
              </w:rPr>
              <w:t>)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900</w:t>
            </w:r>
          </w:p>
        </w:tc>
      </w:tr>
      <w:tr>
        <w:trPr>
          <w:trHeight w:val="403" w:hRule="atLeast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Начисления на заработную плату (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Н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з</m:t>
                  </m:r>
                </m:sub>
              </m:sSub>
            </m:oMath>
            <w:r>
              <w:rPr>
                <w:color w:themeColor="text1" w:val="000000"/>
                <w:szCs w:val="28"/>
              </w:rPr>
              <w:t>)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2</w:t>
            </w:r>
            <w:r>
              <w:rPr>
                <w:color w:themeColor="text1" w:val="000000"/>
                <w:szCs w:val="28"/>
                <w:lang w:val="en-US"/>
              </w:rPr>
              <w:t>5</w:t>
            </w:r>
            <w:r>
              <w:rPr>
                <w:color w:themeColor="text1" w:val="000000"/>
                <w:szCs w:val="28"/>
              </w:rPr>
              <w:t>0</w:t>
            </w:r>
          </w:p>
        </w:tc>
      </w:tr>
      <w:tr>
        <w:trPr>
          <w:trHeight w:val="403" w:hRule="atLeast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Затраты, связанные с использованием машинного времени (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З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маш</m:t>
                  </m:r>
                </m:sub>
              </m:sSub>
            </m:oMath>
            <w:r>
              <w:rPr>
                <w:color w:themeColor="text1" w:val="000000"/>
                <w:szCs w:val="28"/>
              </w:rPr>
              <w:t>)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210</w:t>
            </w:r>
          </w:p>
        </w:tc>
      </w:tr>
      <w:tr>
        <w:trPr>
          <w:trHeight w:val="403" w:hRule="atLeast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Накладные расходы (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З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н</m:t>
                  </m:r>
                </m:sub>
              </m:sSub>
            </m:oMath>
            <w:r>
              <w:rPr>
                <w:color w:themeColor="text1" w:val="000000"/>
                <w:szCs w:val="28"/>
              </w:rPr>
              <w:t>)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1300</w:t>
            </w:r>
          </w:p>
        </w:tc>
      </w:tr>
    </w:tbl>
    <w:p>
      <w:pPr>
        <w:pStyle w:val="Style19"/>
        <w:rPr/>
      </w:pPr>
      <w:r>
        <w:rPr/>
      </w:r>
    </w:p>
    <w:p>
      <w:pPr>
        <w:pStyle w:val="Style20"/>
        <w:rPr/>
      </w:pPr>
      <w:r>
        <w:rPr/>
        <w:t>Решение:</w:t>
      </w:r>
    </w:p>
    <w:p>
      <w:pPr>
        <w:pStyle w:val="12"/>
        <w:jc w:val="center"/>
        <w:rPr>
          <w:rFonts w:ascii="Times New Roman" w:hAnsi="Times New Roman" w:cs="Times New Roman"/>
          <w:sz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С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З</m:t>
              </m:r>
              <m:r>
                <w:rPr>
                  <w:rFonts w:ascii="Cambria Math" w:hAnsi="Cambria Math"/>
                </w:rPr>
                <m:t xml:space="preserve">∙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Е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н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м</m:t>
                  </m:r>
                </m:sub>
              </m:sSub>
            </m:den>
          </m:f>
        </m:oMath>
      </m:oMathPara>
    </w:p>
    <w:p>
      <w:pPr>
        <w:pStyle w:val="Style19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С</m:t>
        </m:r>
      </m:oMath>
      <w:r>
        <w:rPr/>
        <w:t xml:space="preserve"> </w:t>
      </w:r>
      <w:r>
        <w:rPr>
          <w:rFonts w:eastAsia="Symbol" w:cs="Symbol" w:ascii="Symbol" w:hAnsi="Symbol"/>
        </w:rPr>
        <w:sym w:font="Symbol" w:char="f02d"/>
      </w:r>
      <w:r>
        <w:rPr/>
        <w:t xml:space="preserve"> </w:t>
      </w:r>
      <w:r>
        <w:rPr/>
        <w:t>себестоимость одной копии;</w:t>
      </w:r>
    </w:p>
    <w:p>
      <w:pPr>
        <w:pStyle w:val="Style19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З</m:t>
        </m:r>
      </m:oMath>
      <w:r>
        <w:rPr/>
        <w:t xml:space="preserve"> </w:t>
      </w:r>
      <w:r>
        <w:rPr>
          <w:rFonts w:eastAsia="Symbol" w:cs="Symbol" w:ascii="Symbol" w:hAnsi="Symbol"/>
        </w:rPr>
        <w:sym w:font="Symbol" w:char="f02d"/>
      </w:r>
      <w:r>
        <w:rPr/>
        <w:t xml:space="preserve"> </w:t>
      </w:r>
      <w:r>
        <w:rPr/>
        <w:t>общие затраты по проекту;</w:t>
      </w:r>
    </w:p>
    <w:p>
      <w:pPr>
        <w:pStyle w:val="Style19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Е</m:t>
            </m:r>
          </m:e>
          <m:sub>
            <m:r>
              <w:rPr>
                <w:rFonts w:ascii="Cambria Math" w:hAnsi="Cambria Math"/>
              </w:rPr>
              <m:t xml:space="preserve">н</m:t>
            </m:r>
          </m:sub>
        </m:sSub>
      </m:oMath>
      <w:r>
        <w:rPr/>
        <w:t xml:space="preserve"> </w:t>
      </w:r>
      <w:r>
        <w:rPr>
          <w:rFonts w:eastAsia="Symbol" w:cs="Symbol" w:ascii="Symbol" w:hAnsi="Symbol"/>
        </w:rPr>
        <w:sym w:font="Symbol" w:char="f02d"/>
      </w:r>
      <w:r>
        <w:rPr/>
        <w:t xml:space="preserve"> </w:t>
      </w:r>
      <w:r>
        <w:rPr/>
        <w:t>коэффициент приведенных затрат (0,33-0,5);</w:t>
      </w:r>
    </w:p>
    <w:p>
      <w:pPr>
        <w:pStyle w:val="Style19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м</m:t>
            </m:r>
          </m:sub>
        </m:sSub>
      </m:oMath>
      <w:r>
        <w:rPr/>
        <w:t xml:space="preserve"> </w:t>
      </w:r>
      <w:r>
        <w:rPr>
          <w:rFonts w:eastAsia="Symbol" w:cs="Symbol" w:ascii="Symbol" w:hAnsi="Symbol"/>
        </w:rPr>
        <w:sym w:font="Symbol" w:char="f02d"/>
      </w:r>
      <w:r>
        <w:rPr/>
        <w:t xml:space="preserve"> </w:t>
      </w:r>
      <w:r>
        <w:rPr/>
        <w:t>объем продаж за первый месяц.</w:t>
      </w:r>
    </w:p>
    <w:p>
      <w:pPr>
        <w:pStyle w:val="Style19"/>
        <w:rPr/>
      </w:pPr>
      <w:r>
        <w:rPr/>
      </w:r>
    </w:p>
    <w:p>
      <w:pPr>
        <w:pStyle w:val="Style19"/>
        <w:jc w:val="center"/>
        <w:rPr>
          <w:color w:themeColor="text1" w:val="00000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З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45</m:t>
          </m:r>
          <m:r>
            <w:rPr>
              <w:rFonts w:ascii="Cambria Math" w:hAnsi="Cambria Math"/>
            </w:rPr>
            <m:t xml:space="preserve">00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1500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3500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3100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9000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2500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2100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13000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39</m:t>
          </m:r>
          <m:r>
            <w:rPr>
              <w:rFonts w:ascii="Cambria Math" w:hAnsi="Cambria Math"/>
            </w:rPr>
            <m:t xml:space="preserve">200</m:t>
          </m:r>
          <m:r>
            <w:rPr>
              <w:rFonts w:ascii="Cambria Math" w:hAnsi="Cambria Math"/>
            </w:rPr>
            <m:t xml:space="preserve">‬</m:t>
          </m:r>
        </m:oMath>
      </m:oMathPara>
    </w:p>
    <w:p>
      <w:pPr>
        <w:pStyle w:val="Style19"/>
        <w:jc w:val="center"/>
        <w:rPr>
          <w:i/>
          <w:i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С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39</m:t>
              </m:r>
              <m:r>
                <w:rPr>
                  <w:rFonts w:ascii="Cambria Math" w:hAnsi="Cambria Math"/>
                </w:rPr>
                <m:t xml:space="preserve">200</m:t>
              </m:r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33</m:t>
              </m:r>
            </m:num>
            <m:den>
              <m:r>
                <w:rPr>
                  <w:rFonts w:ascii="Cambria Math" w:hAnsi="Cambria Math"/>
                </w:rPr>
                <m:t xml:space="preserve">15000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0,862</m:t>
          </m:r>
          <m:r>
            <w:rPr>
              <w:rFonts w:ascii="Cambria Math" w:hAnsi="Cambria Math"/>
            </w:rPr>
            <m:t xml:space="preserve">тыс</m:t>
          </m:r>
          <m:r>
            <w:rPr>
              <w:rFonts w:ascii="Cambria Math" w:hAnsi="Cambria Math"/>
            </w:rPr>
            <m:t xml:space="preserve">.</m:t>
          </m:r>
          <m:r>
            <w:rPr>
              <w:rFonts w:ascii="Cambria Math" w:hAnsi="Cambria Math"/>
            </w:rPr>
            <m:t xml:space="preserve">руб</m:t>
          </m:r>
          <m:r>
            <w:rPr>
              <w:rFonts w:ascii="Cambria Math" w:hAnsi="Cambria Math"/>
            </w:rPr>
            <m:t xml:space="preserve">.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862</m:t>
          </m:r>
          <m:r>
            <w:rPr>
              <w:rFonts w:ascii="Cambria Math" w:hAnsi="Cambria Math"/>
            </w:rPr>
            <m:t xml:space="preserve">руб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ind w:firstLine="708"/>
        <w:rPr>
          <w:color w:val="000000"/>
          <w:szCs w:val="28"/>
        </w:rPr>
      </w:pPr>
      <w:r>
        <w:rPr>
          <w:color w:val="000000"/>
          <w:szCs w:val="28"/>
        </w:rPr>
        <w:t>Ответ: Себестоимость одной копии 862 руб.</w:t>
      </w:r>
    </w:p>
    <w:p>
      <w:pPr>
        <w:pStyle w:val="Normal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18" w:right="1418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Cambria Math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2246524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64eff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4"/>
      <w:lang w:eastAsia="ar-SA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Нормальный Знак"/>
    <w:basedOn w:val="DefaultParagraphFont"/>
    <w:link w:val="Style19"/>
    <w:qFormat/>
    <w:rsid w:val="00764eff"/>
    <w:rPr>
      <w:rFonts w:ascii="Times New Roman" w:hAnsi="Times New Roman" w:eastAsia="" w:eastAsiaTheme="minorEastAsia"/>
      <w:bCs/>
      <w:sz w:val="28"/>
      <w:szCs w:val="28"/>
      <w:lang w:bidi="ru-RU"/>
    </w:rPr>
  </w:style>
  <w:style w:type="character" w:styleId="Style15" w:customStyle="1">
    <w:name w:val="НормЗаголовок Знак"/>
    <w:basedOn w:val="Style14"/>
    <w:link w:val="Style20"/>
    <w:qFormat/>
    <w:rsid w:val="00764eff"/>
    <w:rPr>
      <w:rFonts w:ascii="Times New Roman" w:hAnsi="Times New Roman" w:eastAsia="" w:cs="Times New Roman" w:eastAsiaTheme="minorEastAsia"/>
      <w:bCs/>
      <w:sz w:val="28"/>
      <w:szCs w:val="28"/>
      <w:lang w:bidi="ru-RU"/>
    </w:rPr>
  </w:style>
  <w:style w:type="character" w:styleId="1" w:customStyle="1">
    <w:name w:val="Стиль1 Знак"/>
    <w:basedOn w:val="Style14"/>
    <w:link w:val="12"/>
    <w:qFormat/>
    <w:rsid w:val="00764eff"/>
    <w:rPr>
      <w:rFonts w:ascii="Cambria Math" w:hAnsi="Cambria Math" w:eastAsia="" w:eastAsiaTheme="minorEastAsia"/>
      <w:bCs/>
      <w:sz w:val="24"/>
      <w:szCs w:val="28"/>
      <w:lang w:bidi="ru-RU"/>
    </w:rPr>
  </w:style>
  <w:style w:type="character" w:styleId="Style16" w:customStyle="1">
    <w:name w:val="Верхний колонтитул Знак"/>
    <w:basedOn w:val="DefaultParagraphFont"/>
    <w:link w:val="Header"/>
    <w:uiPriority w:val="99"/>
    <w:qFormat/>
    <w:rsid w:val="00764eff"/>
    <w:rPr>
      <w:rFonts w:ascii="Times New Roman" w:hAnsi="Times New Roman" w:eastAsia="Times New Roman" w:cs="Times New Roman"/>
      <w:sz w:val="28"/>
      <w:szCs w:val="24"/>
      <w:lang w:eastAsia="ar-SA"/>
    </w:rPr>
  </w:style>
  <w:style w:type="character" w:styleId="Style17" w:customStyle="1">
    <w:name w:val="Нижний колонтитул Знак"/>
    <w:basedOn w:val="DefaultParagraphFont"/>
    <w:link w:val="Footer"/>
    <w:uiPriority w:val="99"/>
    <w:qFormat/>
    <w:rsid w:val="00764eff"/>
    <w:rPr>
      <w:rFonts w:ascii="Times New Roman" w:hAnsi="Times New Roman" w:eastAsia="Times New Roman" w:cs="Times New Roman"/>
      <w:sz w:val="28"/>
      <w:szCs w:val="24"/>
      <w:lang w:eastAsia="ar-SA"/>
    </w:rPr>
  </w:style>
  <w:style w:type="character" w:styleId="Style18">
    <w:name w:val="Титульник. Основной текст [ВУЗ] Знак"/>
    <w:basedOn w:val="DefaultParagraphFont"/>
    <w:qFormat/>
    <w:rPr>
      <w:rFonts w:ascii="Times New Roman" w:hAnsi="Times New Roman" w:cs="Times New Roman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  <w:sz w:val="24"/>
    </w:rPr>
  </w:style>
  <w:style w:type="paragraph" w:styleId="11" w:customStyle="1">
    <w:name w:val="Абзац списка1"/>
    <w:basedOn w:val="Normal"/>
    <w:qFormat/>
    <w:rsid w:val="00764eff"/>
    <w:pPr>
      <w:suppressAutoHyphens w:val="false"/>
      <w:spacing w:before="0" w:after="0"/>
      <w:ind w:left="720"/>
      <w:contextualSpacing/>
    </w:pPr>
    <w:rPr>
      <w:sz w:val="20"/>
      <w:szCs w:val="20"/>
      <w:lang w:eastAsia="zh-CN"/>
    </w:rPr>
  </w:style>
  <w:style w:type="paragraph" w:styleId="Style19" w:customStyle="1">
    <w:name w:val="Нормальный"/>
    <w:link w:val="Style14"/>
    <w:qFormat/>
    <w:rsid w:val="00764eff"/>
    <w:pPr>
      <w:widowControl/>
      <w:bidi w:val="0"/>
      <w:spacing w:lineRule="auto" w:line="360" w:before="0" w:after="0"/>
      <w:ind w:firstLine="709"/>
      <w:contextualSpacing/>
      <w:jc w:val="both"/>
    </w:pPr>
    <w:rPr>
      <w:rFonts w:ascii="Times New Roman" w:hAnsi="Times New Roman" w:eastAsia="" w:eastAsiaTheme="minorEastAsia" w:cs=""/>
      <w:bCs/>
      <w:color w:val="auto"/>
      <w:kern w:val="0"/>
      <w:sz w:val="28"/>
      <w:szCs w:val="28"/>
      <w:lang w:bidi="ru-RU" w:val="ru-RU" w:eastAsia="en-US"/>
    </w:rPr>
  </w:style>
  <w:style w:type="paragraph" w:styleId="Style20" w:customStyle="1">
    <w:name w:val="НормЗаголовок"/>
    <w:basedOn w:val="Style19"/>
    <w:link w:val="Style15"/>
    <w:autoRedefine/>
    <w:qFormat/>
    <w:rsid w:val="00764eff"/>
    <w:pPr/>
    <w:rPr>
      <w:rFonts w:cs="Times New Roman"/>
    </w:rPr>
  </w:style>
  <w:style w:type="paragraph" w:styleId="12" w:customStyle="1">
    <w:name w:val="Стиль1"/>
    <w:basedOn w:val="Style19"/>
    <w:link w:val="1"/>
    <w:qFormat/>
    <w:rsid w:val="00764eff"/>
    <w:pPr>
      <w:ind w:firstLine="708"/>
    </w:pPr>
    <w:rPr>
      <w:rFonts w:ascii="Cambria Math" w:hAnsi="Cambria Math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6"/>
    <w:uiPriority w:val="99"/>
    <w:unhideWhenUsed/>
    <w:rsid w:val="00764ef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7"/>
    <w:uiPriority w:val="99"/>
    <w:unhideWhenUsed/>
    <w:rsid w:val="00764ef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1">
    <w:name w:val="Титульник. По центру [ВУЗ]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center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22">
    <w:name w:val="Титульник. Шапка [ВУЗ]"/>
    <w:basedOn w:val="Style21"/>
    <w:qFormat/>
    <w:pPr>
      <w:spacing w:lineRule="auto" w:line="240"/>
    </w:pPr>
    <w:rPr>
      <w:b/>
    </w:rPr>
  </w:style>
  <w:style w:type="paragraph" w:styleId="Style23">
    <w:name w:val="Титульник. Основной текст [ВУЗ]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LibreOffice/24.8.5.2$Linux_X86_64 LibreOffice_project/480$Build-2</Application>
  <AppVersion>15.0000</AppVersion>
  <Pages>4</Pages>
  <Words>360</Words>
  <Characters>2318</Characters>
  <CharactersWithSpaces>2670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2024-03-06T20:32:00Z</dcterms:created>
  <dc:creator>Деметрий</dc:creator>
  <dc:description/>
  <dc:language>en-US</dc:language>
  <cp:lastModifiedBy/>
  <dcterms:modified xsi:type="dcterms:W3CDTF">2025-03-17T12:56:09Z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