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6"/>
        <w:rPr/>
      </w:pPr>
      <w:r>
        <w:drawing>
          <wp:anchor behindDoc="0" distT="0" distB="0" distL="114300" distR="114300" simplePos="0" locked="0" layoutInCell="0" allowOverlap="1" relativeHeight="4">
            <wp:simplePos x="0" y="0"/>
            <wp:positionH relativeFrom="column">
              <wp:posOffset>53975</wp:posOffset>
            </wp:positionH>
            <wp:positionV relativeFrom="page">
              <wp:posOffset>733425</wp:posOffset>
            </wp:positionV>
            <wp:extent cx="542925" cy="805815"/>
            <wp:effectExtent l="0" t="0" r="0" b="0"/>
            <wp:wrapTight wrapText="bothSides">
              <wp:wrapPolygon edited="0">
                <wp:start x="-176" y="0"/>
                <wp:lineTo x="-176" y="20822"/>
                <wp:lineTo x="21057" y="20822"/>
                <wp:lineTo x="21057" y="0"/>
                <wp:lineTo x="-176" y="0"/>
              </wp:wrapPolygon>
            </wp:wrapTight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805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МИНИСТЕРСТВО НАУКИ И ВЫСШЕГО ОБРАЗОВАНИЯ РФ</w:t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5"/>
        <w:tabs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/>
        <w:jc w:val="left"/>
        <w:rPr/>
      </w:pPr>
      <w:r>
        <w:rPr/>
        <w:t xml:space="preserve">Институт </w:t>
        <w:tab/>
        <w:t>компьютерных наук</w:t>
      </w:r>
    </w:p>
    <w:p>
      <w:pPr>
        <w:pStyle w:val="Style15"/>
        <w:tabs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/>
        <w:jc w:val="left"/>
        <w:rPr/>
      </w:pPr>
      <w:r>
        <w:rPr/>
        <w:t xml:space="preserve">Кафедра </w:t>
        <w:tab/>
        <w:t>автоматизированных систем управления</w:t>
      </w:r>
    </w:p>
    <w:p>
      <w:pPr>
        <w:pStyle w:val="Style15"/>
        <w:rPr/>
      </w:pPr>
      <w:r>
        <w:rPr/>
      </w:r>
    </w:p>
    <w:p>
      <w:pPr>
        <w:pStyle w:val="Style15"/>
        <w:rPr/>
      </w:pPr>
      <w:r>
        <w:rPr/>
      </w:r>
    </w:p>
    <w:p>
      <w:pPr>
        <w:pStyle w:val="Style15"/>
        <w:rPr/>
      </w:pPr>
      <w:r>
        <w:rPr/>
      </w:r>
    </w:p>
    <w:p>
      <w:pPr>
        <w:pStyle w:val="Style15"/>
        <w:jc w:val="left"/>
        <w:rPr/>
      </w:pPr>
      <w:r>
        <w:rPr/>
      </w:r>
    </w:p>
    <w:p>
      <w:pPr>
        <w:pStyle w:val="Style15"/>
        <w:rPr/>
      </w:pPr>
      <w:r>
        <w:rPr/>
        <w:t>ПРАКТИЧЕСКАЯ РАБОТА №</w:t>
      </w:r>
      <w:r>
        <w:rPr/>
        <w:t>7</w:t>
      </w:r>
    </w:p>
    <w:p>
      <w:pPr>
        <w:pStyle w:val="Style15"/>
        <w:rPr/>
      </w:pPr>
      <w:r>
        <w:rPr/>
        <w:t>по курсу «Экономико-правовые основы рынка программного обеспечения»</w:t>
      </w:r>
    </w:p>
    <w:p>
      <w:pPr>
        <w:pStyle w:val="Style15"/>
        <w:rPr/>
      </w:pPr>
      <w:r>
        <w:rPr/>
      </w:r>
    </w:p>
    <w:p>
      <w:pPr>
        <w:pStyle w:val="Style15"/>
        <w:rPr/>
      </w:pPr>
      <w:r>
        <w:rPr/>
      </w:r>
    </w:p>
    <w:p>
      <w:pPr>
        <w:pStyle w:val="Style15"/>
        <w:rPr/>
      </w:pPr>
      <w:r>
        <w:rPr/>
      </w:r>
    </w:p>
    <w:p>
      <w:pPr>
        <w:pStyle w:val="Style15"/>
        <w:rPr/>
      </w:pPr>
      <w:r>
        <w:rPr/>
      </w:r>
    </w:p>
    <w:p>
      <w:pPr>
        <w:pStyle w:val="Style15"/>
        <w:spacing w:lineRule="auto" w:line="276"/>
        <w:jc w:val="left"/>
        <w:rPr/>
      </w:pPr>
      <w:r>
        <w:rPr/>
        <w:tab/>
        <w:tab/>
      </w:r>
    </w:p>
    <w:p>
      <w:pPr>
        <w:pStyle w:val="Style17"/>
        <w:tabs>
          <w:tab w:val="left" w:pos="0" w:leader="none"/>
          <w:tab w:val="center" w:pos="1985" w:leader="none"/>
          <w:tab w:val="center" w:pos="4536" w:leader="none"/>
          <w:tab w:val="right" w:pos="9070" w:leader="none"/>
        </w:tabs>
        <w:spacing w:lineRule="auto" w:line="276"/>
        <w:rPr/>
      </w:pPr>
      <w:r>
        <w:rPr>
          <w:rStyle w:val="Style14"/>
        </w:rPr>
        <w:t xml:space="preserve">Студент </w:t>
      </w:r>
      <w:r>
        <w:rPr/>
        <w:t>АС-21-1</w:t>
        <w:tab/>
        <w:t>____________________</w:t>
        <w:tab/>
        <w:t>Станиславчук С.М.</w:t>
      </w:r>
    </w:p>
    <w:p>
      <w:pPr>
        <w:pStyle w:val="Style17"/>
        <w:spacing w:lineRule="auto" w:line="276"/>
        <w:rPr/>
      </w:pPr>
      <w:r>
        <w:rPr/>
        <w:tab/>
      </w:r>
      <w:r>
        <w:rPr>
          <w:sz w:val="18"/>
          <w:szCs w:val="18"/>
        </w:rPr>
        <w:t>(подпись, дата)</w:t>
        <w:tab/>
      </w:r>
    </w:p>
    <w:p>
      <w:pPr>
        <w:pStyle w:val="Style17"/>
        <w:spacing w:lineRule="auto" w:line="276"/>
        <w:rPr/>
      </w:pPr>
      <w:r>
        <w:rPr/>
        <w:tab/>
        <w:tab/>
      </w:r>
    </w:p>
    <w:p>
      <w:pPr>
        <w:pStyle w:val="Style17"/>
        <w:rPr/>
      </w:pPr>
      <w:r>
        <w:rPr/>
      </w:r>
    </w:p>
    <w:p>
      <w:pPr>
        <w:pStyle w:val="Style17"/>
        <w:rPr/>
      </w:pPr>
      <w:r>
        <w:rPr/>
        <w:t>Руководитель</w:t>
      </w:r>
    </w:p>
    <w:p>
      <w:pPr>
        <w:pStyle w:val="Style17"/>
        <w:rPr/>
      </w:pPr>
      <w:r>
        <w:rPr/>
        <w:t>Профессор</w:t>
        <w:tab/>
        <w:t>____________________</w:t>
        <w:tab/>
        <w:t>Ведищев В. В.</w:t>
      </w:r>
    </w:p>
    <w:p>
      <w:pPr>
        <w:pStyle w:val="Style17"/>
        <w:rPr/>
      </w:pPr>
      <w:r>
        <w:rPr/>
        <w:tab/>
      </w:r>
      <w:r>
        <w:rPr>
          <w:sz w:val="18"/>
          <w:szCs w:val="18"/>
        </w:rPr>
        <w:t>(подпись, дата)</w:t>
      </w:r>
    </w:p>
    <w:p>
      <w:pPr>
        <w:pStyle w:val="Style15"/>
        <w:rPr/>
      </w:pPr>
      <w:r>
        <w:rPr/>
      </w:r>
    </w:p>
    <w:p>
      <w:pPr>
        <w:pStyle w:val="Style15"/>
        <w:rPr/>
      </w:pPr>
      <w:r>
        <w:rPr/>
      </w:r>
    </w:p>
    <w:p>
      <w:pPr>
        <w:pStyle w:val="Style15"/>
        <w:rPr/>
      </w:pPr>
      <w:r>
        <w:rPr/>
      </w:r>
    </w:p>
    <w:p>
      <w:pPr>
        <w:pStyle w:val="Style15"/>
        <w:jc w:val="left"/>
        <w:rPr/>
      </w:pPr>
      <w:r>
        <w:rPr/>
      </w:r>
    </w:p>
    <w:p>
      <w:pPr>
        <w:pStyle w:val="Style15"/>
        <w:spacing w:lineRule="auto" w:line="360" w:before="0" w:after="240"/>
        <w:jc w:val="center"/>
        <w:rPr>
          <w:szCs w:val="28"/>
        </w:rPr>
      </w:pPr>
      <w:r>
        <w:rPr>
          <w:bCs/>
          <w:szCs w:val="28"/>
          <w:lang w:eastAsia="ru-RU"/>
        </w:rPr>
        <w:t>Липецк 2025 г.</w:t>
      </w:r>
    </w:p>
    <w:p>
      <w:pPr>
        <w:pStyle w:val="Normal"/>
        <w:suppressAutoHyphens w:val="false"/>
        <w:spacing w:lineRule="auto" w:line="360"/>
        <w:ind w:firstLine="708"/>
        <w:jc w:val="both"/>
        <w:rPr/>
      </w:pPr>
      <w:r>
        <w:rPr/>
        <w:t>Задача 1.</w:t>
      </w:r>
    </w:p>
    <w:p>
      <w:pPr>
        <w:pStyle w:val="Normal"/>
        <w:spacing w:lineRule="auto" w:line="360"/>
        <w:ind w:firstLine="720"/>
        <w:jc w:val="both"/>
        <w:rPr>
          <w:szCs w:val="28"/>
        </w:rPr>
      </w:pPr>
      <w:r>
        <w:rPr>
          <w:szCs w:val="28"/>
        </w:rPr>
        <w:t>Выбрать предпочтительные проекты из совокупности перспективных проектов разработки программного обеспечения А, Б, В, Г с разной длительностью действия для включения в инвестиционную программу сроком на три года. Исходные данные представлены в таблице. Норма дисконта 15%, объем текущих инвестиций для реализации программы 400 млн. руб.</w:t>
      </w:r>
    </w:p>
    <w:p>
      <w:pPr>
        <w:pStyle w:val="Normal"/>
        <w:ind w:firstLine="720"/>
        <w:rPr>
          <w:szCs w:val="28"/>
        </w:rPr>
      </w:pPr>
      <w:r>
        <w:rPr>
          <w:iCs/>
          <w:szCs w:val="28"/>
        </w:rPr>
        <w:t xml:space="preserve">Таблица 1 - </w:t>
      </w:r>
      <w:r>
        <w:rPr>
          <w:szCs w:val="28"/>
        </w:rPr>
        <w:t>Исходные данные по альтернативным проектам</w:t>
      </w:r>
    </w:p>
    <w:tbl>
      <w:tblPr>
        <w:tblW w:w="9498" w:type="dxa"/>
        <w:jc w:val="left"/>
        <w:tblInd w:w="41" w:type="dxa"/>
        <w:tblLayout w:type="fixed"/>
        <w:tblCellMar>
          <w:top w:w="0" w:type="dxa"/>
          <w:left w:w="40" w:type="dxa"/>
          <w:bottom w:w="0" w:type="dxa"/>
          <w:right w:w="40" w:type="dxa"/>
        </w:tblCellMar>
        <w:tblLook w:val="0000" w:noHBand="0" w:noVBand="0" w:firstColumn="0" w:lastRow="0" w:lastColumn="0" w:firstRow="0"/>
      </w:tblPr>
      <w:tblGrid>
        <w:gridCol w:w="1701"/>
        <w:gridCol w:w="1985"/>
        <w:gridCol w:w="1984"/>
        <w:gridCol w:w="3827"/>
      </w:tblGrid>
      <w:tr>
        <w:trPr>
          <w:trHeight w:val="250" w:hRule="atLeast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szCs w:val="28"/>
              </w:rPr>
            </w:pPr>
            <w:r>
              <w:rPr>
                <w:szCs w:val="28"/>
              </w:rPr>
              <w:t>Проект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both"/>
              <w:rPr>
                <w:szCs w:val="28"/>
              </w:rPr>
            </w:pPr>
            <w:r>
              <w:rPr>
                <w:szCs w:val="28"/>
              </w:rPr>
              <w:t>IC</w:t>
            </w:r>
            <w:r>
              <w:rPr>
                <w:szCs w:val="28"/>
                <w:vertAlign w:val="subscript"/>
              </w:rPr>
              <w:t>0</w:t>
            </w:r>
            <w:r>
              <w:rPr>
                <w:szCs w:val="28"/>
              </w:rPr>
              <w:t xml:space="preserve">, млн. руб. 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NPV, млн. руб. </w:t>
            </w:r>
          </w:p>
        </w:tc>
        <w:tc>
          <w:tcPr>
            <w:tcW w:w="3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Срок реализации проекта, год </w:t>
            </w:r>
          </w:p>
        </w:tc>
      </w:tr>
      <w:tr>
        <w:trPr>
          <w:trHeight w:val="230" w:hRule="atLeast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szCs w:val="28"/>
              </w:rPr>
            </w:pPr>
            <w:r>
              <w:rPr>
                <w:szCs w:val="28"/>
              </w:rPr>
              <w:t>А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szCs w:val="28"/>
              </w:rPr>
            </w:pPr>
            <w:r>
              <w:rPr>
                <w:szCs w:val="28"/>
              </w:rPr>
              <w:t>180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szCs w:val="28"/>
              </w:rPr>
            </w:pPr>
            <w:r>
              <w:rPr>
                <w:szCs w:val="28"/>
              </w:rPr>
              <w:t>6,7</w:t>
            </w:r>
          </w:p>
        </w:tc>
        <w:tc>
          <w:tcPr>
            <w:tcW w:w="3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40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</w:tr>
      <w:tr>
        <w:trPr>
          <w:trHeight w:val="230" w:hRule="atLeast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szCs w:val="28"/>
              </w:rPr>
            </w:pPr>
            <w:r>
              <w:rPr>
                <w:szCs w:val="28"/>
              </w:rPr>
              <w:t>Б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szCs w:val="28"/>
              </w:rPr>
            </w:pPr>
            <w:r>
              <w:rPr>
                <w:szCs w:val="28"/>
              </w:rPr>
              <w:t>160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szCs w:val="28"/>
              </w:rPr>
            </w:pPr>
            <w:r>
              <w:rPr>
                <w:szCs w:val="28"/>
              </w:rPr>
              <w:t>3,8</w:t>
            </w:r>
          </w:p>
        </w:tc>
        <w:tc>
          <w:tcPr>
            <w:tcW w:w="3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4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</w:tr>
      <w:tr>
        <w:trPr>
          <w:trHeight w:val="230" w:hRule="atLeast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szCs w:val="28"/>
              </w:rPr>
            </w:pPr>
            <w:r>
              <w:rPr>
                <w:szCs w:val="28"/>
              </w:rPr>
              <w:t>В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szCs w:val="28"/>
              </w:rPr>
            </w:pPr>
            <w:r>
              <w:rPr>
                <w:szCs w:val="28"/>
              </w:rPr>
              <w:t>190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szCs w:val="28"/>
              </w:rPr>
            </w:pPr>
            <w:r>
              <w:rPr>
                <w:szCs w:val="28"/>
              </w:rPr>
              <w:t>7,1</w:t>
            </w:r>
          </w:p>
        </w:tc>
        <w:tc>
          <w:tcPr>
            <w:tcW w:w="3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40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</w:tr>
      <w:tr>
        <w:trPr>
          <w:trHeight w:val="250" w:hRule="atLeast"/>
        </w:trPr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szCs w:val="28"/>
              </w:rPr>
            </w:pPr>
            <w:r>
              <w:rPr>
                <w:szCs w:val="28"/>
              </w:rPr>
              <w:t>Г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szCs w:val="28"/>
              </w:rPr>
            </w:pPr>
            <w:r>
              <w:rPr>
                <w:szCs w:val="28"/>
              </w:rPr>
              <w:t>250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szCs w:val="28"/>
              </w:rPr>
            </w:pPr>
            <w:r>
              <w:rPr>
                <w:szCs w:val="28"/>
              </w:rPr>
              <w:t>8,3</w:t>
            </w:r>
          </w:p>
        </w:tc>
        <w:tc>
          <w:tcPr>
            <w:tcW w:w="3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40"/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</w:tr>
    </w:tbl>
    <w:p>
      <w:pPr>
        <w:pStyle w:val="Normal"/>
        <w:ind w:left="360"/>
        <w:rPr/>
      </w:pPr>
      <w:r>
        <w:rPr/>
      </w:r>
    </w:p>
    <w:p>
      <w:pPr>
        <w:pStyle w:val="Normal"/>
        <w:spacing w:lineRule="auto" w:line="360"/>
        <w:ind w:firstLine="708"/>
        <w:jc w:val="both"/>
        <w:rPr>
          <w:szCs w:val="28"/>
        </w:rPr>
      </w:pPr>
      <w:r>
        <w:rPr>
          <w:szCs w:val="28"/>
        </w:rPr>
        <w:t>Решение:</w:t>
      </w:r>
    </w:p>
    <w:p>
      <w:pPr>
        <w:pStyle w:val="Normal"/>
        <w:spacing w:lineRule="auto" w:line="360"/>
        <w:ind w:firstLine="709"/>
        <w:rPr>
          <w:szCs w:val="16"/>
        </w:rPr>
      </w:pPr>
      <w:bookmarkStart w:id="0" w:name="_GoBack"/>
      <w:bookmarkEnd w:id="0"/>
      <w:r>
        <w:rPr>
          <w:szCs w:val="16"/>
        </w:rPr>
        <w:t>1) По NPV, самые выгодные: В и Г, но для их реализации необходимо 440 млн. Ограничение: 400 млн. След-но мы можем выбрать проекты А и В, их кап. затраты =370 млн., а совокупный NPV=6,7+7,1=13,8. Каждый из них имеет срок реализации 2 года, это значит, что мы не сможем дважды их реализовать, т.к. инвестиционная программа – 3 года, а след-но, мы не сможем получить допол.доход от реинвестирования.</w:t>
      </w:r>
    </w:p>
    <w:p>
      <w:pPr>
        <w:pStyle w:val="Normal"/>
        <w:spacing w:lineRule="auto" w:line="360"/>
        <w:ind w:firstLine="709"/>
        <w:rPr>
          <w:szCs w:val="16"/>
        </w:rPr>
      </w:pPr>
      <w:r>
        <w:rPr>
          <w:szCs w:val="16"/>
        </w:rPr>
        <w:tab/>
        <w:t>Также мы можем рассмотреть проекты В и Б. Кап. затраты=350 млн. Но т.к. срок реализации проекта Б год, то мы сможем его дважды реинвестировать и получить дополнительный доход, как-то:</w:t>
      </w:r>
    </w:p>
    <w:p>
      <w:pPr>
        <w:pStyle w:val="Normal"/>
        <w:suppressAutoHyphens w:val="false"/>
        <w:spacing w:lineRule="auto" w:line="360"/>
        <w:ind w:firstLine="709"/>
        <w:rPr>
          <w:szCs w:val="16"/>
        </w:rPr>
      </w:pPr>
      <w:r>
        <w:rPr>
          <w:szCs w:val="16"/>
        </w:rPr>
        <w:t>1 год: Затраты = 160, доход=163,8, NPV=3,8.</w:t>
      </w:r>
    </w:p>
    <w:p>
      <w:pPr>
        <w:pStyle w:val="Normal"/>
        <w:suppressAutoHyphens w:val="false"/>
        <w:spacing w:lineRule="auto" w:line="360"/>
        <w:ind w:firstLine="709"/>
        <w:rPr>
          <w:szCs w:val="16"/>
        </w:rPr>
      </w:pPr>
      <w:r>
        <w:rPr>
          <w:szCs w:val="16"/>
        </w:rPr>
        <w:t>2 год: Затраты = 160*1,15=184. Средства = 163,8+(400-350) = 213,8 =&gt; мы можем позволить себе реинвестировать. Доход = 163,8*1,15=188,37, NPV=3,8*1,15=4,37.</w:t>
      </w:r>
    </w:p>
    <w:p>
      <w:pPr>
        <w:pStyle w:val="Normal"/>
        <w:suppressAutoHyphens w:val="false"/>
        <w:spacing w:lineRule="auto" w:line="360"/>
        <w:ind w:firstLine="709"/>
        <w:rPr>
          <w:szCs w:val="16"/>
        </w:rPr>
      </w:pPr>
      <w:r>
        <w:rPr>
          <w:szCs w:val="16"/>
        </w:rPr>
        <w:t>3 год: Затраты = 184*1,15 (или 160*1,15^2)=211,6.</w:t>
      </w:r>
    </w:p>
    <w:p>
      <w:pPr>
        <w:pStyle w:val="Normal"/>
        <w:suppressAutoHyphens w:val="false"/>
        <w:spacing w:lineRule="auto" w:line="360"/>
        <w:ind w:firstLine="709"/>
        <w:rPr>
          <w:szCs w:val="16"/>
        </w:rPr>
      </w:pPr>
      <w:r>
        <w:rPr>
          <w:szCs w:val="16"/>
        </w:rPr>
        <w:t>Средства=188,37+29,8(т.е.213,8-184)=218,17, т.е. мы снова располагаем средствами. Доход=188,37*1,15=216,63, NPV=5,03.</w:t>
      </w:r>
    </w:p>
    <w:p>
      <w:pPr>
        <w:pStyle w:val="Normal"/>
        <w:spacing w:lineRule="auto" w:line="360"/>
        <w:ind w:firstLine="709"/>
        <w:rPr>
          <w:szCs w:val="16"/>
        </w:rPr>
      </w:pPr>
      <w:r>
        <w:rPr>
          <w:szCs w:val="16"/>
        </w:rPr>
        <w:t>Отсюда, их совокупный NPV=5,03+7,1=12,13, что меньше 13,8. Т.о. однозначно проекты А и В, согласно 1-му из отобранных нами критериев – NPV.</w:t>
      </w:r>
    </w:p>
    <w:p>
      <w:pPr>
        <w:pStyle w:val="Normal"/>
        <w:spacing w:lineRule="auto" w:line="360"/>
        <w:ind w:firstLine="709"/>
        <w:rPr>
          <w:szCs w:val="16"/>
        </w:rPr>
      </w:pPr>
      <w:r>
        <w:rPr>
          <w:szCs w:val="16"/>
        </w:rPr>
        <w:t>2) А: I</w:t>
      </w:r>
      <w:r>
        <w:rPr>
          <w:szCs w:val="16"/>
          <w:vertAlign w:val="subscript"/>
        </w:rPr>
        <w:t xml:space="preserve">доходности </w:t>
      </w:r>
      <w:r>
        <w:rPr>
          <w:szCs w:val="16"/>
        </w:rPr>
        <w:t>=186,7/180=1,0372.</w:t>
      </w:r>
    </w:p>
    <w:p>
      <w:pPr>
        <w:pStyle w:val="Normal"/>
        <w:spacing w:lineRule="auto" w:line="360"/>
        <w:ind w:firstLine="709"/>
        <w:rPr>
          <w:szCs w:val="16"/>
        </w:rPr>
      </w:pPr>
      <w:r>
        <w:rPr>
          <w:szCs w:val="16"/>
        </w:rPr>
        <w:t xml:space="preserve">    </w:t>
      </w:r>
      <w:r>
        <w:rPr>
          <w:szCs w:val="16"/>
        </w:rPr>
        <w:t>Б: I</w:t>
      </w:r>
      <w:r>
        <w:rPr>
          <w:szCs w:val="16"/>
          <w:vertAlign w:val="subscript"/>
        </w:rPr>
        <w:t xml:space="preserve">доходности  </w:t>
      </w:r>
      <w:r>
        <w:rPr>
          <w:szCs w:val="16"/>
        </w:rPr>
        <w:t>=163,8/160=1,024.</w:t>
      </w:r>
    </w:p>
    <w:p>
      <w:pPr>
        <w:pStyle w:val="Normal"/>
        <w:spacing w:lineRule="auto" w:line="360"/>
        <w:ind w:firstLine="709"/>
        <w:rPr>
          <w:szCs w:val="16"/>
        </w:rPr>
      </w:pPr>
      <w:r>
        <w:rPr>
          <w:szCs w:val="16"/>
        </w:rPr>
        <w:t xml:space="preserve">    </w:t>
      </w:r>
      <w:r>
        <w:rPr>
          <w:szCs w:val="16"/>
        </w:rPr>
        <w:t>В: I</w:t>
      </w:r>
      <w:r>
        <w:rPr>
          <w:szCs w:val="16"/>
          <w:vertAlign w:val="subscript"/>
        </w:rPr>
        <w:t xml:space="preserve">доходности  </w:t>
      </w:r>
      <w:r>
        <w:rPr>
          <w:szCs w:val="16"/>
        </w:rPr>
        <w:t>=197,1/190=1,0374.</w:t>
      </w:r>
    </w:p>
    <w:p>
      <w:pPr>
        <w:pStyle w:val="Normal"/>
        <w:spacing w:lineRule="auto" w:line="360"/>
        <w:ind w:firstLine="709"/>
        <w:rPr>
          <w:szCs w:val="16"/>
        </w:rPr>
      </w:pPr>
      <w:r>
        <w:rPr>
          <w:szCs w:val="16"/>
        </w:rPr>
        <w:t xml:space="preserve">    </w:t>
      </w:r>
      <w:r>
        <w:rPr>
          <w:szCs w:val="16"/>
        </w:rPr>
        <w:t>Г: I</w:t>
      </w:r>
      <w:r>
        <w:rPr>
          <w:szCs w:val="16"/>
          <w:vertAlign w:val="subscript"/>
        </w:rPr>
        <w:t xml:space="preserve">доходности  </w:t>
      </w:r>
      <w:r>
        <w:rPr>
          <w:szCs w:val="16"/>
        </w:rPr>
        <w:t>=258,3/250=1,0332.</w:t>
      </w:r>
    </w:p>
    <w:p>
      <w:pPr>
        <w:pStyle w:val="Normal"/>
        <w:spacing w:lineRule="auto" w:line="360"/>
        <w:ind w:firstLine="709"/>
        <w:jc w:val="both"/>
        <w:rPr>
          <w:szCs w:val="16"/>
        </w:rPr>
      </w:pPr>
      <w:r>
        <w:rPr>
          <w:szCs w:val="16"/>
        </w:rPr>
        <w:t>В соответствии с критерием I</w:t>
      </w:r>
      <w:r>
        <w:rPr>
          <w:szCs w:val="16"/>
          <w:vertAlign w:val="subscript"/>
        </w:rPr>
        <w:t xml:space="preserve">доходности , </w:t>
      </w:r>
      <w:r>
        <w:rPr>
          <w:szCs w:val="16"/>
        </w:rPr>
        <w:t>снова А и В, их кап. затраты =370 млн.</w:t>
      </w:r>
    </w:p>
    <w:p>
      <w:pPr>
        <w:pStyle w:val="Normal"/>
        <w:spacing w:lineRule="auto" w:line="360"/>
        <w:ind w:firstLine="709"/>
        <w:jc w:val="both"/>
        <w:rPr>
          <w:szCs w:val="16"/>
        </w:rPr>
      </w:pPr>
      <w:r>
        <w:rPr>
          <w:szCs w:val="16"/>
        </w:rPr>
        <w:t>3) А: Затраты=180, Доход за 2 года=186,7, отсюда срок=(180*2)/186,7=1,928, т.е.через 1 год и 339 дней.</w:t>
      </w:r>
    </w:p>
    <w:p>
      <w:pPr>
        <w:pStyle w:val="Normal"/>
        <w:spacing w:lineRule="auto" w:line="360"/>
        <w:ind w:firstLine="709"/>
        <w:jc w:val="both"/>
        <w:rPr>
          <w:szCs w:val="16"/>
        </w:rPr>
      </w:pPr>
      <w:r>
        <w:rPr>
          <w:szCs w:val="16"/>
          <w:vertAlign w:val="subscript"/>
        </w:rPr>
        <w:t xml:space="preserve">      </w:t>
      </w:r>
      <w:r>
        <w:rPr>
          <w:szCs w:val="16"/>
        </w:rPr>
        <w:t>Б: Затраты=160, доход за год=163,8, тогда срок=160/163,8=0,977, т.е. через 356,5 или 357 дней.</w:t>
      </w:r>
    </w:p>
    <w:p>
      <w:pPr>
        <w:pStyle w:val="Normal"/>
        <w:spacing w:lineRule="auto" w:line="360"/>
        <w:ind w:firstLine="709"/>
        <w:jc w:val="both"/>
        <w:rPr>
          <w:szCs w:val="16"/>
        </w:rPr>
      </w:pPr>
      <w:r>
        <w:rPr>
          <w:szCs w:val="16"/>
        </w:rPr>
        <w:t xml:space="preserve">    </w:t>
      </w:r>
      <w:r>
        <w:rPr>
          <w:szCs w:val="16"/>
        </w:rPr>
        <w:t>В: аналогично срок=(190*2)/197,1=1,928, или через год и 339 дней.</w:t>
      </w:r>
    </w:p>
    <w:p>
      <w:pPr>
        <w:pStyle w:val="Normal"/>
        <w:spacing w:lineRule="auto" w:line="360"/>
        <w:ind w:firstLine="709"/>
        <w:jc w:val="both"/>
        <w:rPr>
          <w:szCs w:val="16"/>
        </w:rPr>
      </w:pPr>
      <w:r>
        <w:rPr>
          <w:szCs w:val="16"/>
        </w:rPr>
        <w:t xml:space="preserve">    </w:t>
      </w:r>
      <w:r>
        <w:rPr>
          <w:szCs w:val="16"/>
        </w:rPr>
        <w:t>Г: аналогично срок=(250*3)/258,3=2,904, или через два года и 330 дней.</w:t>
      </w:r>
    </w:p>
    <w:p>
      <w:pPr>
        <w:pStyle w:val="Normal"/>
        <w:spacing w:lineRule="auto" w:line="360"/>
        <w:ind w:firstLine="709"/>
        <w:jc w:val="both"/>
        <w:rPr>
          <w:szCs w:val="28"/>
        </w:rPr>
      </w:pPr>
      <w:r>
        <w:rPr>
          <w:szCs w:val="16"/>
        </w:rPr>
        <w:t xml:space="preserve">По сроку окупаемости проект – Б, который может быть в равной степени в </w:t>
      </w:r>
      <w:r>
        <w:rPr>
          <w:szCs w:val="28"/>
        </w:rPr>
        <w:t>комбинации как с проектом А, так и с проектом В, учитывая, конечно, финансовые ограничения.</w:t>
      </w:r>
    </w:p>
    <w:p>
      <w:pPr>
        <w:pStyle w:val="Normal"/>
        <w:spacing w:lineRule="auto" w:line="360"/>
        <w:ind w:firstLine="709"/>
        <w:jc w:val="both"/>
        <w:rPr>
          <w:szCs w:val="28"/>
        </w:rPr>
      </w:pPr>
      <w:r>
        <w:rPr>
          <w:szCs w:val="28"/>
        </w:rPr>
        <w:t>Чтобы объективно и максимально правильно оценить рассматриваемые проекты, рекомендуется сравнивать не по какому-нибудь одному критерию, а проводить комплексный анализ и рассматривать в совокупности указанные критерии. Осуществив эту работу, мы пришли к выводу, что всем требованиям при вышеуказанных условиях соответствуют проекты А и В.</w:t>
      </w:r>
    </w:p>
    <w:p>
      <w:pPr>
        <w:pStyle w:val="Normal"/>
        <w:suppressAutoHyphens w:val="false"/>
        <w:spacing w:lineRule="auto" w:line="360"/>
        <w:ind w:firstLine="708"/>
        <w:jc w:val="both"/>
        <w:rPr/>
      </w:pPr>
      <w:r>
        <w:rPr/>
        <w:t>Задача 2.</w:t>
      </w:r>
    </w:p>
    <w:p>
      <w:pPr>
        <w:pStyle w:val="Normal"/>
        <w:spacing w:lineRule="auto" w:line="360"/>
        <w:ind w:firstLine="708"/>
        <w:jc w:val="both"/>
        <w:rPr>
          <w:szCs w:val="28"/>
        </w:rPr>
      </w:pPr>
      <w:r>
        <w:rPr>
          <w:szCs w:val="28"/>
        </w:rPr>
        <w:t xml:space="preserve">Определить цену лицензии на основе размера прибыли лицензиата и на базе роялти. Определить единовременный платеж. Среднегодовой выпуск программной продукции по лицензии в период действия договора составляет 200 тыс.шт., срок действия договора – 3 года, дополнительная прибыль от реализации каждой единицы продукции, изготовленной по лицензии – 100 руб., коэффициент, распределения прибыли от использования лицензии – 20%, размер роялти </w:t>
        <w:softHyphen/>
        <w:softHyphen/>
        <w:t>– 5%. Коэффициент дисконтирования для единовременного платежа – 20%.</w:t>
      </w:r>
    </w:p>
    <w:p>
      <w:pPr>
        <w:pStyle w:val="Normal"/>
        <w:spacing w:lineRule="auto" w:line="360"/>
        <w:ind w:firstLine="708"/>
        <w:jc w:val="both"/>
        <w:rPr>
          <w:szCs w:val="28"/>
        </w:rPr>
      </w:pPr>
      <w:r>
        <w:rPr>
          <w:szCs w:val="28"/>
        </w:rPr>
        <w:t>Решение:</w:t>
      </w:r>
    </w:p>
    <w:p>
      <w:pPr>
        <w:pStyle w:val="Normal"/>
        <w:spacing w:lineRule="auto" w:line="360"/>
        <w:ind w:firstLine="708"/>
        <w:jc w:val="both"/>
        <w:rPr>
          <w:iCs/>
          <w:color w:val="000000"/>
          <w:szCs w:val="28"/>
        </w:rPr>
      </w:pPr>
      <w:r>
        <w:rPr>
          <w:iCs/>
          <w:color w:val="000000"/>
          <w:szCs w:val="28"/>
        </w:rPr>
        <w:t>Определение цены лицензии на основе оценки размера прибыли лицензиата.</w:t>
      </w:r>
    </w:p>
    <w:p>
      <w:pPr>
        <w:pStyle w:val="Normal"/>
        <w:shd w:val="clear" w:color="auto" w:fill="FFFFFF"/>
        <w:suppressAutoHyphens w:val="false"/>
        <w:spacing w:lineRule="auto" w:line="360"/>
        <w:jc w:val="center"/>
        <w:rPr>
          <w:sz w:val="24"/>
          <w:lang w:eastAsia="ru-RU"/>
        </w:rPr>
      </w:pPr>
      <w:r>
        <w:rPr>
          <w:iCs/>
          <w:color w:val="000000"/>
          <w:szCs w:val="28"/>
          <w:lang w:val="en-US" w:eastAsia="ru-RU"/>
        </w:rPr>
        <w:t>C</w:t>
      </w:r>
      <w:r>
        <w:rPr>
          <w:iCs/>
          <w:color w:val="000000"/>
          <w:szCs w:val="28"/>
          <w:vertAlign w:val="subscript"/>
          <w:lang w:val="en-US" w:eastAsia="ru-RU"/>
        </w:rPr>
        <w:t>p</w:t>
      </w:r>
      <w:r>
        <w:rPr>
          <w:iCs/>
          <w:color w:val="000000"/>
          <w:szCs w:val="28"/>
          <w:lang w:eastAsia="ru-RU"/>
        </w:rPr>
        <w:t>=</w:t>
      </w:r>
      <w:r>
        <w:rPr>
          <w:iCs/>
          <w:color w:val="000000"/>
          <w:szCs w:val="28"/>
          <w:lang w:val="en-US" w:eastAsia="ru-RU"/>
        </w:rPr>
        <w:t>V·T·P</w:t>
      </w:r>
      <w:r>
        <w:rPr>
          <w:iCs/>
          <w:color w:val="000000"/>
          <w:szCs w:val="28"/>
          <w:vertAlign w:val="subscript"/>
          <w:lang w:val="en-US" w:eastAsia="ru-RU"/>
        </w:rPr>
        <w:t>r</w:t>
      </w:r>
      <w:r>
        <w:rPr>
          <w:iCs/>
          <w:color w:val="000000"/>
          <w:szCs w:val="28"/>
          <w:lang w:val="en-US" w:eastAsia="ru-RU"/>
        </w:rPr>
        <w:t>·S</w:t>
      </w:r>
      <w:r>
        <w:rPr>
          <w:iCs/>
          <w:color w:val="000000"/>
          <w:szCs w:val="28"/>
          <w:vertAlign w:val="subscript"/>
          <w:lang w:val="en-US" w:eastAsia="ru-RU"/>
        </w:rPr>
        <w:t>h</w:t>
      </w:r>
      <w:r>
        <w:rPr>
          <w:iCs/>
          <w:color w:val="000000"/>
          <w:szCs w:val="28"/>
          <w:lang w:eastAsia="ru-RU"/>
        </w:rPr>
        <w:t>,</w:t>
      </w:r>
    </w:p>
    <w:p>
      <w:pPr>
        <w:pStyle w:val="Normal"/>
        <w:shd w:val="clear" w:color="auto" w:fill="FFFFFF"/>
        <w:suppressAutoHyphens w:val="false"/>
        <w:spacing w:lineRule="auto" w:line="360"/>
        <w:ind w:firstLine="680"/>
        <w:jc w:val="both"/>
        <w:rPr>
          <w:sz w:val="24"/>
          <w:lang w:eastAsia="ru-RU"/>
        </w:rPr>
      </w:pPr>
      <w:r>
        <w:rPr>
          <w:color w:val="000000"/>
          <w:szCs w:val="28"/>
          <w:lang w:eastAsia="ru-RU"/>
        </w:rPr>
        <w:t xml:space="preserve">где </w:t>
      </w:r>
      <w:r>
        <w:rPr>
          <w:iCs/>
          <w:color w:val="000000"/>
          <w:szCs w:val="28"/>
          <w:lang w:eastAsia="ru-RU"/>
        </w:rPr>
        <w:t>С</w:t>
      </w:r>
      <w:r>
        <w:rPr>
          <w:iCs/>
          <w:color w:val="000000"/>
          <w:szCs w:val="28"/>
          <w:vertAlign w:val="subscript"/>
          <w:lang w:eastAsia="ru-RU"/>
        </w:rPr>
        <w:t>р</w:t>
      </w:r>
      <w:r>
        <w:rPr>
          <w:iCs/>
          <w:color w:val="000000"/>
          <w:szCs w:val="28"/>
          <w:lang w:eastAsia="ru-RU"/>
        </w:rPr>
        <w:t xml:space="preserve"> </w:t>
      </w:r>
      <w:r>
        <w:rPr>
          <w:color w:val="000000"/>
          <w:szCs w:val="28"/>
          <w:lang w:eastAsia="ru-RU"/>
        </w:rPr>
        <w:t>— расчетная цена лицензии (</w:t>
      </w:r>
      <w:r>
        <w:rPr>
          <w:color w:val="000000"/>
          <w:szCs w:val="28"/>
          <w:lang w:val="en-US" w:eastAsia="ru-RU"/>
        </w:rPr>
        <w:t>cost</w:t>
      </w:r>
      <w:r>
        <w:rPr>
          <w:color w:val="000000"/>
          <w:szCs w:val="28"/>
          <w:lang w:eastAsia="ru-RU"/>
        </w:rPr>
        <w:t>);</w:t>
      </w:r>
    </w:p>
    <w:p>
      <w:pPr>
        <w:pStyle w:val="Normal"/>
        <w:shd w:val="clear" w:color="auto" w:fill="FFFFFF"/>
        <w:suppressAutoHyphens w:val="false"/>
        <w:spacing w:lineRule="auto" w:line="360"/>
        <w:ind w:firstLine="680"/>
        <w:jc w:val="both"/>
        <w:rPr>
          <w:sz w:val="24"/>
          <w:lang w:eastAsia="ru-RU"/>
        </w:rPr>
      </w:pPr>
      <w:r>
        <w:rPr>
          <w:iCs/>
          <w:color w:val="000000"/>
          <w:szCs w:val="28"/>
          <w:lang w:val="en-US" w:eastAsia="ru-RU"/>
        </w:rPr>
        <w:t>V</w:t>
      </w:r>
      <w:r>
        <w:rPr>
          <w:iCs/>
          <w:color w:val="000000"/>
          <w:szCs w:val="28"/>
          <w:lang w:eastAsia="ru-RU"/>
        </w:rPr>
        <w:t xml:space="preserve"> </w:t>
      </w:r>
      <w:r>
        <w:rPr>
          <w:color w:val="000000"/>
          <w:szCs w:val="28"/>
          <w:lang w:eastAsia="ru-RU"/>
        </w:rPr>
        <w:t>— среднегодовой объем выпуска продукции в течение действия</w:t>
      </w:r>
    </w:p>
    <w:p>
      <w:pPr>
        <w:pStyle w:val="Normal"/>
        <w:shd w:val="clear" w:color="auto" w:fill="FFFFFF"/>
        <w:suppressAutoHyphens w:val="false"/>
        <w:spacing w:lineRule="auto" w:line="360"/>
        <w:ind w:firstLine="680"/>
        <w:jc w:val="both"/>
        <w:rPr>
          <w:sz w:val="24"/>
          <w:lang w:eastAsia="ru-RU"/>
        </w:rPr>
      </w:pPr>
      <w:r>
        <w:rPr>
          <w:color w:val="000000"/>
          <w:szCs w:val="28"/>
          <w:lang w:eastAsia="ru-RU"/>
        </w:rPr>
        <w:t xml:space="preserve">соглашения (в соответствующих единицах); </w:t>
      </w:r>
    </w:p>
    <w:p>
      <w:pPr>
        <w:pStyle w:val="Normal"/>
        <w:shd w:val="clear" w:color="auto" w:fill="FFFFFF"/>
        <w:suppressAutoHyphens w:val="false"/>
        <w:spacing w:lineRule="auto" w:line="360"/>
        <w:ind w:firstLine="680"/>
        <w:jc w:val="both"/>
        <w:rPr>
          <w:sz w:val="24"/>
          <w:lang w:eastAsia="ru-RU"/>
        </w:rPr>
      </w:pPr>
      <w:r>
        <w:rPr>
          <w:iCs/>
          <w:color w:val="000000"/>
          <w:szCs w:val="28"/>
          <w:lang w:eastAsia="ru-RU"/>
        </w:rPr>
        <w:t xml:space="preserve">Т </w:t>
      </w:r>
      <w:r>
        <w:rPr>
          <w:color w:val="000000"/>
          <w:szCs w:val="28"/>
          <w:lang w:eastAsia="ru-RU"/>
        </w:rPr>
        <w:t>— срок действия соглашения;</w:t>
      </w:r>
    </w:p>
    <w:p>
      <w:pPr>
        <w:pStyle w:val="Normal"/>
        <w:shd w:val="clear" w:color="auto" w:fill="FFFFFF"/>
        <w:suppressAutoHyphens w:val="false"/>
        <w:spacing w:lineRule="auto" w:line="360"/>
        <w:ind w:firstLine="680"/>
        <w:jc w:val="both"/>
        <w:rPr>
          <w:sz w:val="24"/>
          <w:lang w:eastAsia="ru-RU"/>
        </w:rPr>
      </w:pPr>
      <w:r>
        <w:rPr>
          <w:iCs/>
          <w:color w:val="000000"/>
          <w:szCs w:val="28"/>
          <w:lang w:eastAsia="ru-RU"/>
        </w:rPr>
        <w:t>Р</w:t>
      </w:r>
      <w:r>
        <w:rPr>
          <w:iCs/>
          <w:color w:val="000000"/>
          <w:szCs w:val="28"/>
          <w:vertAlign w:val="subscript"/>
          <w:lang w:val="en-US" w:eastAsia="ru-RU"/>
        </w:rPr>
        <w:t>r</w:t>
      </w:r>
      <w:r>
        <w:rPr>
          <w:iCs/>
          <w:color w:val="000000"/>
          <w:szCs w:val="28"/>
          <w:lang w:eastAsia="ru-RU"/>
        </w:rPr>
        <w:t xml:space="preserve"> </w:t>
      </w:r>
      <w:r>
        <w:rPr>
          <w:color w:val="000000"/>
          <w:szCs w:val="28"/>
          <w:lang w:eastAsia="ru-RU"/>
        </w:rPr>
        <w:t xml:space="preserve">— дополнительная прибыль лицензиата от реализации лицензии; </w:t>
      </w:r>
    </w:p>
    <w:p>
      <w:pPr>
        <w:pStyle w:val="Normal"/>
        <w:shd w:val="clear" w:color="auto" w:fill="FFFFFF"/>
        <w:suppressAutoHyphens w:val="false"/>
        <w:spacing w:lineRule="auto" w:line="360"/>
        <w:ind w:firstLine="680"/>
        <w:jc w:val="both"/>
        <w:rPr>
          <w:sz w:val="24"/>
          <w:lang w:eastAsia="ru-RU"/>
        </w:rPr>
      </w:pPr>
      <w:r>
        <w:rPr>
          <w:iCs/>
          <w:color w:val="000000"/>
          <w:szCs w:val="28"/>
          <w:lang w:val="en-US" w:eastAsia="ru-RU"/>
        </w:rPr>
        <w:t>S</w:t>
      </w:r>
      <w:r>
        <w:rPr>
          <w:iCs/>
          <w:color w:val="000000"/>
          <w:szCs w:val="28"/>
          <w:vertAlign w:val="subscript"/>
          <w:lang w:val="en-US" w:eastAsia="ru-RU"/>
        </w:rPr>
        <w:t>h</w:t>
      </w:r>
      <w:r>
        <w:rPr>
          <w:iCs/>
          <w:color w:val="000000"/>
          <w:szCs w:val="28"/>
          <w:lang w:eastAsia="ru-RU"/>
        </w:rPr>
        <w:t xml:space="preserve"> </w:t>
      </w:r>
      <w:r>
        <w:rPr>
          <w:color w:val="000000"/>
          <w:szCs w:val="28"/>
          <w:lang w:eastAsia="ru-RU"/>
        </w:rPr>
        <w:t>— доля лицензиара в дополнительной прибыли лицензиата.</w:t>
      </w:r>
    </w:p>
    <w:p>
      <w:pPr>
        <w:pStyle w:val="Normal"/>
        <w:spacing w:lineRule="auto" w:line="360"/>
        <w:ind w:firstLine="708"/>
        <w:jc w:val="both"/>
        <w:rPr>
          <w:szCs w:val="28"/>
        </w:rPr>
      </w:pPr>
      <w:r>
        <w:rPr>
          <w:szCs w:val="28"/>
        </w:rPr>
        <w:t xml:space="preserve">Отсюда, </w:t>
      </w:r>
      <w:r>
        <w:rPr>
          <w:szCs w:val="28"/>
          <w:lang w:val="en-US"/>
        </w:rPr>
        <w:t>C</w:t>
      </w:r>
      <w:r>
        <w:rPr>
          <w:szCs w:val="28"/>
          <w:vertAlign w:val="subscript"/>
          <w:lang w:val="en-US"/>
        </w:rPr>
        <w:t>p</w:t>
      </w:r>
      <w:r>
        <w:rPr>
          <w:szCs w:val="28"/>
        </w:rPr>
        <w:t>=200 000*3*100*0,2=12 000 000 рублей.</w:t>
      </w:r>
    </w:p>
    <w:p>
      <w:pPr>
        <w:pStyle w:val="Normal"/>
        <w:spacing w:lineRule="auto" w:line="360"/>
        <w:ind w:firstLine="709"/>
        <w:jc w:val="both"/>
        <w:rPr>
          <w:szCs w:val="28"/>
        </w:rPr>
      </w:pPr>
      <w:r>
        <w:rPr>
          <w:color w:val="000000"/>
          <w:szCs w:val="28"/>
        </w:rPr>
        <w:t>Цена лицензии на базе роялти рассчитывается по следующей формуле:</w:t>
      </w:r>
      <w:r>
        <w:rPr>
          <w:szCs w:val="28"/>
          <w:lang w:eastAsia="ru-RU"/>
        </w:rPr>
        <w:t xml:space="preserve"> </w:t>
      </w:r>
      <w:r>
        <w:rPr/>
        <w:drawing>
          <wp:inline distT="0" distB="0" distL="0" distR="0">
            <wp:extent cx="1409700" cy="381000"/>
            <wp:effectExtent l="0" t="0" r="0" b="0"/>
            <wp:docPr id="2" name="Рисунок 21" descr="http://www.ssau.ru/images/resources/ump/knysh_innovmen/Image363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1" descr="http://www.ssau.ru/images/resources/ump/knysh_innovmen/Image3636.gif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381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Cs w:val="28"/>
        </w:rPr>
        <w:t>,</w:t>
      </w:r>
    </w:p>
    <w:p>
      <w:pPr>
        <w:pStyle w:val="Normal"/>
        <w:spacing w:lineRule="auto" w:line="360"/>
        <w:ind w:firstLine="709"/>
        <w:jc w:val="both"/>
        <w:rPr>
          <w:szCs w:val="28"/>
        </w:rPr>
      </w:pPr>
      <w:r>
        <w:rPr>
          <w:szCs w:val="28"/>
        </w:rPr>
        <w:t xml:space="preserve">Где </w:t>
      </w:r>
      <w:r>
        <w:rPr>
          <w:szCs w:val="28"/>
          <w:lang w:val="en-US"/>
        </w:rPr>
        <w:t>V</w:t>
      </w:r>
      <w:r>
        <w:rPr>
          <w:szCs w:val="28"/>
        </w:rPr>
        <w:t xml:space="preserve"> - объем ожидаемого выпуска продукции по лицензии в году </w:t>
      </w:r>
      <w:r>
        <w:rPr>
          <w:szCs w:val="28"/>
          <w:lang w:val="en-US"/>
        </w:rPr>
        <w:t>t</w:t>
      </w:r>
      <w:r>
        <w:rPr>
          <w:szCs w:val="28"/>
        </w:rPr>
        <w:t xml:space="preserve"> (шт., кг, куб. м. и т.п.);</w:t>
      </w:r>
    </w:p>
    <w:p>
      <w:pPr>
        <w:pStyle w:val="Normal"/>
        <w:spacing w:lineRule="auto" w:line="360"/>
        <w:ind w:firstLine="709"/>
        <w:jc w:val="both"/>
        <w:rPr>
          <w:szCs w:val="28"/>
        </w:rPr>
      </w:pPr>
      <w:r>
        <w:rPr>
          <w:szCs w:val="28"/>
          <w:lang w:val="en-US"/>
        </w:rPr>
        <w:t>Z</w:t>
      </w:r>
      <w:r>
        <w:rPr>
          <w:szCs w:val="28"/>
        </w:rPr>
        <w:t xml:space="preserve"> - Продажная цена изготовленной по лицензии продукции в году t;</w:t>
      </w:r>
    </w:p>
    <w:p>
      <w:pPr>
        <w:pStyle w:val="Normal"/>
        <w:spacing w:lineRule="auto" w:line="360"/>
        <w:ind w:firstLine="709"/>
        <w:jc w:val="both"/>
        <w:rPr>
          <w:szCs w:val="28"/>
        </w:rPr>
      </w:pPr>
      <w:r>
        <w:rPr>
          <w:szCs w:val="28"/>
          <w:lang w:val="en-US"/>
        </w:rPr>
        <w:t>R</w:t>
      </w:r>
      <w:r>
        <w:rPr>
          <w:szCs w:val="28"/>
        </w:rPr>
        <w:t xml:space="preserve"> - Размер роялти в году t (%);</w:t>
      </w:r>
    </w:p>
    <w:p>
      <w:pPr>
        <w:pStyle w:val="Normal"/>
        <w:spacing w:lineRule="auto" w:line="360"/>
        <w:ind w:firstLine="709"/>
        <w:jc w:val="both"/>
        <w:rPr>
          <w:szCs w:val="28"/>
        </w:rPr>
      </w:pPr>
      <w:r>
        <w:rPr>
          <w:szCs w:val="28"/>
        </w:rPr>
        <w:t xml:space="preserve">Т - </w:t>
      </w:r>
      <w:r>
        <w:rPr>
          <w:szCs w:val="28"/>
          <w:lang w:val="en-US"/>
        </w:rPr>
        <w:t>C</w:t>
      </w:r>
      <w:r>
        <w:rPr>
          <w:szCs w:val="28"/>
        </w:rPr>
        <w:t>рок действия лицензионного договора.</w:t>
      </w:r>
    </w:p>
    <w:p>
      <w:pPr>
        <w:pStyle w:val="Normal"/>
        <w:spacing w:lineRule="auto" w:line="360"/>
        <w:ind w:firstLine="709"/>
        <w:rPr/>
      </w:pPr>
      <w:r>
        <w:rPr>
          <w:lang w:val="en-US"/>
        </w:rPr>
        <w:t>C</w:t>
      </w:r>
      <w:r>
        <w:rPr/>
        <w:t>р = 200 000*100*0,05*3 = 3</w:t>
      </w:r>
      <w:r>
        <w:rPr>
          <w:lang w:val="en-US"/>
        </w:rPr>
        <w:t> </w:t>
      </w:r>
      <w:r>
        <w:rPr/>
        <w:t>000</w:t>
      </w:r>
      <w:r>
        <w:rPr>
          <w:lang w:val="en-US"/>
        </w:rPr>
        <w:t> </w:t>
      </w:r>
      <w:r>
        <w:rPr/>
        <w:t>000 руб.</w:t>
      </w:r>
    </w:p>
    <w:p>
      <w:pPr>
        <w:pStyle w:val="NormalWeb"/>
        <w:spacing w:lineRule="auto" w:line="360" w:beforeAutospacing="0" w:before="0" w:afterAutospacing="0" w:after="0"/>
        <w:ind w:firstLine="709"/>
        <w:jc w:val="both"/>
        <w:rPr>
          <w:rFonts w:ascii="Tahoma" w:hAnsi="Tahoma" w:cs="Tahoma"/>
          <w:sz w:val="20"/>
          <w:szCs w:val="20"/>
        </w:rPr>
      </w:pPr>
      <w:r>
        <w:rPr>
          <w:sz w:val="28"/>
          <w:szCs w:val="28"/>
        </w:rPr>
        <w:t>Формула расчетной цены лицензии при выплате в виде паушальных платежей</w:t>
      </w:r>
      <w:r>
        <w:rPr>
          <w:rFonts w:cs="Tahoma" w:ascii="Tahoma" w:hAnsi="Tahoma"/>
          <w:sz w:val="20"/>
          <w:szCs w:val="20"/>
        </w:rPr>
        <w:t>:</w:t>
      </w:r>
    </w:p>
    <w:p>
      <w:pPr>
        <w:pStyle w:val="NormalWeb"/>
        <w:spacing w:lineRule="auto" w:line="360" w:beforeAutospacing="0" w:before="0" w:afterAutospacing="0" w:after="0"/>
        <w:jc w:val="both"/>
        <w:rPr>
          <w:sz w:val="28"/>
          <w:szCs w:val="28"/>
        </w:rPr>
      </w:pP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C</w:t>
      </w:r>
      <w:r>
        <w:rPr>
          <w:bCs/>
          <w:sz w:val="28"/>
          <w:szCs w:val="28"/>
          <w:vertAlign w:val="subscript"/>
        </w:rPr>
        <w:t>p</w:t>
      </w:r>
      <w:r>
        <w:rPr>
          <w:bCs/>
          <w:sz w:val="28"/>
          <w:szCs w:val="28"/>
        </w:rPr>
        <w:t xml:space="preserve"> = C</w:t>
      </w:r>
      <w:r>
        <w:rPr>
          <w:bCs/>
          <w:sz w:val="28"/>
          <w:szCs w:val="28"/>
          <w:vertAlign w:val="subscript"/>
        </w:rPr>
        <w:t>r</w:t>
      </w:r>
      <w:r>
        <w:rPr>
          <w:bCs/>
          <w:sz w:val="28"/>
          <w:szCs w:val="28"/>
        </w:rPr>
        <w:t xml:space="preserve"> * а,</w:t>
      </w:r>
    </w:p>
    <w:p>
      <w:pPr>
        <w:pStyle w:val="NormalWeb"/>
        <w:spacing w:lineRule="auto" w:line="360" w:beforeAutospacing="0" w:before="0" w:afterAutospacing="0"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r>
        <w:rPr>
          <w:bCs/>
          <w:sz w:val="28"/>
          <w:szCs w:val="28"/>
        </w:rPr>
        <w:t>С</w:t>
      </w:r>
      <w:r>
        <w:rPr>
          <w:bCs/>
          <w:sz w:val="28"/>
          <w:szCs w:val="28"/>
          <w:vertAlign w:val="subscript"/>
        </w:rPr>
        <w:t>р</w:t>
      </w:r>
      <w:r>
        <w:rPr>
          <w:sz w:val="28"/>
          <w:szCs w:val="28"/>
        </w:rPr>
        <w:t xml:space="preserve"> — расчетная цена лицензии при выплате в виде паушальных платежей;</w:t>
        <w:br/>
      </w:r>
      <w:r>
        <w:rPr>
          <w:bCs/>
          <w:sz w:val="28"/>
          <w:szCs w:val="28"/>
        </w:rPr>
        <w:t>С</w:t>
      </w:r>
      <w:r>
        <w:rPr>
          <w:bCs/>
          <w:sz w:val="28"/>
          <w:szCs w:val="28"/>
          <w:vertAlign w:val="subscript"/>
        </w:rPr>
        <w:t>г</w:t>
      </w:r>
      <w:r>
        <w:rPr>
          <w:sz w:val="28"/>
          <w:szCs w:val="28"/>
        </w:rPr>
        <w:t xml:space="preserve"> — расчетная цена лицензии при выплате в виде роялти; </w:t>
        <w:br/>
      </w:r>
      <w:r>
        <w:rPr>
          <w:bCs/>
          <w:sz w:val="28"/>
          <w:szCs w:val="28"/>
        </w:rPr>
        <w:t>а</w:t>
      </w:r>
      <w:r>
        <w:rPr>
          <w:sz w:val="28"/>
          <w:szCs w:val="28"/>
        </w:rPr>
        <w:t xml:space="preserve"> — коэффициент перехода (дисконтирования) от платежей в виде роялти к паушальным платежам.</w:t>
      </w:r>
    </w:p>
    <w:p>
      <w:pPr>
        <w:pStyle w:val="Normal"/>
        <w:spacing w:lineRule="auto" w:line="360"/>
        <w:ind w:firstLine="709"/>
        <w:rPr/>
      </w:pPr>
      <w:r>
        <w:rPr>
          <w:lang w:val="en-US"/>
        </w:rPr>
        <w:t>C</w:t>
      </w:r>
      <w:r>
        <w:rPr/>
        <w:t>р = 0,2*3 000 000 = 600 000 руб.</w:t>
      </w:r>
    </w:p>
    <w:p>
      <w:pPr>
        <w:pStyle w:val="Normal"/>
        <w:suppressAutoHyphens w:val="false"/>
        <w:spacing w:lineRule="auto" w:line="360"/>
        <w:ind w:firstLine="567"/>
        <w:jc w:val="both"/>
        <w:rPr/>
      </w:pPr>
      <w:r>
        <w:rPr/>
        <w:t>Задача 3.</w:t>
      </w:r>
    </w:p>
    <w:p>
      <w:pPr>
        <w:pStyle w:val="Normal"/>
        <w:shd w:val="clear" w:color="auto" w:fill="FFFFFF"/>
        <w:spacing w:lineRule="auto" w:line="360"/>
        <w:ind w:firstLine="567"/>
        <w:jc w:val="both"/>
        <w:rPr>
          <w:color w:val="000000"/>
          <w:szCs w:val="28"/>
        </w:rPr>
      </w:pPr>
      <w:r>
        <w:rPr>
          <w:color w:val="000000"/>
          <w:szCs w:val="28"/>
        </w:rPr>
        <w:t>Рассматривается инвестиционный проект, требующий первоначальных инвестиций в размере 83 млн. руб. Планируемые денежные доходы за три года соответственно равны: 55 млн. руб., 59 млн. руб., 62 млн. руб. Норма дисконта определена в размере 15% годовых. Коэффициенты достоверности, определенные экспертами для каждого года, равны: α</w:t>
      </w:r>
      <w:r>
        <w:rPr>
          <w:color w:val="000000"/>
          <w:szCs w:val="28"/>
          <w:vertAlign w:val="subscript"/>
        </w:rPr>
        <w:t>0</w:t>
      </w:r>
      <w:r>
        <w:rPr>
          <w:color w:val="000000"/>
          <w:szCs w:val="28"/>
        </w:rPr>
        <w:t>=1,00; α</w:t>
      </w:r>
      <w:r>
        <w:rPr>
          <w:color w:val="000000"/>
          <w:szCs w:val="28"/>
          <w:vertAlign w:val="subscript"/>
        </w:rPr>
        <w:t>1</w:t>
      </w:r>
      <w:r>
        <w:rPr>
          <w:color w:val="000000"/>
          <w:szCs w:val="28"/>
        </w:rPr>
        <w:t>=0,62; α</w:t>
      </w:r>
      <w:r>
        <w:rPr>
          <w:color w:val="000000"/>
          <w:szCs w:val="28"/>
          <w:vertAlign w:val="subscript"/>
        </w:rPr>
        <w:t>2</w:t>
      </w:r>
      <w:r>
        <w:rPr>
          <w:color w:val="000000"/>
          <w:szCs w:val="28"/>
        </w:rPr>
        <w:t>=0,60; α</w:t>
      </w:r>
      <w:r>
        <w:rPr>
          <w:color w:val="000000"/>
          <w:szCs w:val="28"/>
          <w:vertAlign w:val="subscript"/>
        </w:rPr>
        <w:t>3</w:t>
      </w:r>
      <w:r>
        <w:rPr>
          <w:color w:val="000000"/>
          <w:szCs w:val="28"/>
        </w:rPr>
        <w:t>=0,58. Необходимо оценить данный проект с учетом и без учета риска.</w:t>
      </w:r>
    </w:p>
    <w:p>
      <w:pPr>
        <w:pStyle w:val="Normal"/>
        <w:spacing w:lineRule="auto" w:line="360"/>
        <w:ind w:firstLine="708"/>
        <w:jc w:val="both"/>
        <w:rPr/>
      </w:pPr>
      <w:r>
        <w:rPr/>
        <w:t>Решение:</w:t>
      </w:r>
    </w:p>
    <w:p>
      <w:pPr>
        <w:pStyle w:val="Normal"/>
        <w:spacing w:lineRule="auto" w:line="360"/>
        <w:ind w:firstLine="708"/>
        <w:jc w:val="both"/>
        <w:rPr>
          <w:szCs w:val="28"/>
        </w:rPr>
      </w:pPr>
      <w:r>
        <w:rPr>
          <w:szCs w:val="28"/>
          <w:lang w:eastAsia="ru-RU"/>
        </w:rPr>
        <w:t xml:space="preserve">В этом случае осуществляют корректировку не нормы дисконта, а ожидаемых значений потока платежей CF путем введения специальных понижающих коэффициентов </w:t>
      </w:r>
      <w:r>
        <w:rPr>
          <w:bCs/>
          <w:iCs/>
          <w:szCs w:val="28"/>
          <w:lang w:eastAsia="ru-RU"/>
        </w:rPr>
        <w:t>(а</w:t>
      </w:r>
      <w:r>
        <w:rPr>
          <w:bCs/>
          <w:iCs/>
          <w:szCs w:val="28"/>
          <w:vertAlign w:val="subscript"/>
          <w:lang w:eastAsia="ru-RU"/>
        </w:rPr>
        <w:t>t</w:t>
      </w:r>
      <w:r>
        <w:rPr>
          <w:bCs/>
          <w:iCs/>
          <w:szCs w:val="28"/>
          <w:lang w:eastAsia="ru-RU"/>
        </w:rPr>
        <w:t>)</w:t>
      </w:r>
      <w:r>
        <w:rPr>
          <w:bCs/>
          <w:szCs w:val="28"/>
          <w:lang w:eastAsia="ru-RU"/>
        </w:rPr>
        <w:t> для</w:t>
      </w:r>
      <w:r>
        <w:rPr>
          <w:szCs w:val="28"/>
          <w:lang w:eastAsia="ru-RU"/>
        </w:rPr>
        <w:t xml:space="preserve"> каждого периода реализации проекта.  </w:t>
      </w:r>
    </w:p>
    <w:p>
      <w:pPr>
        <w:pStyle w:val="Normal"/>
        <w:suppressAutoHyphens w:val="false"/>
        <w:spacing w:lineRule="auto" w:line="360"/>
        <w:jc w:val="center"/>
        <w:rPr>
          <w:szCs w:val="28"/>
          <w:lang w:eastAsia="ru-RU"/>
        </w:rPr>
      </w:pPr>
      <w:r>
        <w:rPr>
          <w:bCs/>
          <w:szCs w:val="28"/>
          <w:lang w:eastAsia="ru-RU"/>
        </w:rPr>
        <w:t>а</w:t>
      </w:r>
      <w:r>
        <w:rPr>
          <w:bCs/>
          <w:szCs w:val="28"/>
          <w:vertAlign w:val="subscript"/>
          <w:lang w:eastAsia="ru-RU"/>
        </w:rPr>
        <w:t>t</w:t>
      </w:r>
      <w:r>
        <w:rPr>
          <w:bCs/>
          <w:szCs w:val="28"/>
          <w:lang w:eastAsia="ru-RU"/>
        </w:rPr>
        <w:t>= CCF</w:t>
      </w:r>
      <w:r>
        <w:rPr>
          <w:bCs/>
          <w:szCs w:val="28"/>
          <w:vertAlign w:val="subscript"/>
          <w:lang w:eastAsia="ru-RU"/>
        </w:rPr>
        <w:t xml:space="preserve">t </w:t>
      </w:r>
      <w:r>
        <w:rPr>
          <w:bCs/>
          <w:szCs w:val="28"/>
          <w:lang w:eastAsia="ru-RU"/>
        </w:rPr>
        <w:t>/ RCF</w:t>
      </w:r>
      <w:r>
        <w:rPr>
          <w:bCs/>
          <w:szCs w:val="28"/>
          <w:vertAlign w:val="subscript"/>
          <w:lang w:eastAsia="ru-RU"/>
        </w:rPr>
        <w:t>t</w:t>
      </w:r>
    </w:p>
    <w:p>
      <w:pPr>
        <w:pStyle w:val="Normal"/>
        <w:suppressAutoHyphens w:val="false"/>
        <w:spacing w:lineRule="auto" w:line="360"/>
        <w:ind w:firstLine="709"/>
        <w:rPr>
          <w:szCs w:val="28"/>
          <w:lang w:eastAsia="ru-RU"/>
        </w:rPr>
      </w:pPr>
      <w:r>
        <w:rPr>
          <w:szCs w:val="28"/>
          <w:lang w:eastAsia="ru-RU"/>
        </w:rPr>
        <w:t xml:space="preserve">где </w:t>
      </w:r>
      <w:r>
        <w:rPr>
          <w:bCs/>
          <w:iCs/>
          <w:szCs w:val="28"/>
          <w:lang w:eastAsia="ru-RU"/>
        </w:rPr>
        <w:t>CCF</w:t>
      </w:r>
      <w:r>
        <w:rPr>
          <w:bCs/>
          <w:iCs/>
          <w:szCs w:val="28"/>
          <w:vertAlign w:val="subscript"/>
          <w:lang w:eastAsia="ru-RU"/>
        </w:rPr>
        <w:t>t</w:t>
      </w:r>
      <w:r>
        <w:rPr>
          <w:bCs/>
          <w:iCs/>
          <w:szCs w:val="28"/>
          <w:lang w:eastAsia="ru-RU"/>
        </w:rPr>
        <w:t xml:space="preserve"> – </w:t>
      </w:r>
      <w:r>
        <w:rPr>
          <w:szCs w:val="28"/>
          <w:lang w:eastAsia="ru-RU"/>
        </w:rPr>
        <w:t>величина чистых поступлений от безрисковой операции в период t;</w:t>
      </w:r>
    </w:p>
    <w:p>
      <w:pPr>
        <w:pStyle w:val="Normal"/>
        <w:suppressAutoHyphens w:val="false"/>
        <w:spacing w:lineRule="auto" w:line="360"/>
        <w:ind w:firstLine="709"/>
        <w:jc w:val="both"/>
        <w:rPr>
          <w:szCs w:val="28"/>
          <w:lang w:eastAsia="ru-RU"/>
        </w:rPr>
      </w:pPr>
      <w:r>
        <w:rPr>
          <w:bCs/>
          <w:iCs/>
          <w:szCs w:val="28"/>
          <w:lang w:eastAsia="ru-RU"/>
        </w:rPr>
        <w:t>RCF</w:t>
      </w:r>
      <w:r>
        <w:rPr>
          <w:bCs/>
          <w:iCs/>
          <w:szCs w:val="28"/>
          <w:vertAlign w:val="subscript"/>
          <w:lang w:eastAsia="ru-RU"/>
        </w:rPr>
        <w:t xml:space="preserve">t  </w:t>
      </w:r>
      <w:r>
        <w:rPr>
          <w:szCs w:val="28"/>
          <w:lang w:eastAsia="ru-RU"/>
        </w:rPr>
        <w:t>- ожидаемая (запланированная) величина чистых поступлений от реализации проекта в период t;</w:t>
      </w:r>
    </w:p>
    <w:p>
      <w:pPr>
        <w:pStyle w:val="Normal"/>
        <w:suppressAutoHyphens w:val="false"/>
        <w:spacing w:lineRule="auto" w:line="360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>t – номер периода.</w:t>
      </w:r>
    </w:p>
    <w:p>
      <w:pPr>
        <w:pStyle w:val="Normal"/>
        <w:suppressAutoHyphens w:val="false"/>
        <w:spacing w:lineRule="auto" w:line="360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Тогда достоверный эквивалент ожидаемого платежа может быть определен как: </w:t>
      </w:r>
      <w:r>
        <w:rPr>
          <w:bCs/>
          <w:szCs w:val="28"/>
          <w:lang w:eastAsia="ru-RU"/>
        </w:rPr>
        <w:t>CCF</w:t>
      </w:r>
      <w:r>
        <w:rPr>
          <w:bCs/>
          <w:szCs w:val="28"/>
          <w:vertAlign w:val="subscript"/>
          <w:lang w:eastAsia="ru-RU"/>
        </w:rPr>
        <w:t>t</w:t>
      </w:r>
      <w:r>
        <w:rPr>
          <w:bCs/>
          <w:szCs w:val="28"/>
          <w:lang w:eastAsia="ru-RU"/>
        </w:rPr>
        <w:t xml:space="preserve"> = а</w:t>
      </w:r>
      <w:r>
        <w:rPr>
          <w:bCs/>
          <w:szCs w:val="28"/>
          <w:vertAlign w:val="subscript"/>
          <w:lang w:eastAsia="ru-RU"/>
        </w:rPr>
        <w:t>t</w:t>
      </w:r>
      <w:r>
        <w:rPr>
          <w:bCs/>
          <w:szCs w:val="28"/>
          <w:lang w:eastAsia="ru-RU"/>
        </w:rPr>
        <w:t>RCF</w:t>
      </w:r>
      <w:r>
        <w:rPr>
          <w:bCs/>
          <w:szCs w:val="28"/>
          <w:vertAlign w:val="subscript"/>
          <w:lang w:eastAsia="ru-RU"/>
        </w:rPr>
        <w:t>t     ,</w:t>
      </w:r>
      <w:r>
        <w:rPr>
          <w:szCs w:val="28"/>
          <w:lang w:eastAsia="ru-RU"/>
        </w:rPr>
        <w:t xml:space="preserve"> где </w:t>
      </w:r>
      <w:r>
        <w:rPr>
          <w:bCs/>
          <w:iCs/>
          <w:szCs w:val="28"/>
          <w:lang w:eastAsia="ru-RU"/>
        </w:rPr>
        <w:t>а</w:t>
      </w:r>
      <w:r>
        <w:rPr>
          <w:bCs/>
          <w:iCs/>
          <w:szCs w:val="28"/>
          <w:vertAlign w:val="subscript"/>
          <w:lang w:eastAsia="ru-RU"/>
        </w:rPr>
        <w:t>t</w:t>
      </w:r>
      <w:r>
        <w:rPr>
          <w:bCs/>
          <w:iCs/>
          <w:szCs w:val="28"/>
          <w:lang w:eastAsia="ru-RU"/>
        </w:rPr>
        <w:t>&lt;=1</w:t>
      </w:r>
    </w:p>
    <w:p>
      <w:pPr>
        <w:pStyle w:val="Normal"/>
        <w:suppressAutoHyphens w:val="false"/>
        <w:spacing w:lineRule="auto" w:line="360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>Таким образом, осуществляется приведение ожидаемых поступлений к величинам платежей, получение которых практически не вызывает сомнений и значения которых могут быть определены более или менее достоверно либо точно.</w:t>
      </w:r>
    </w:p>
    <w:p>
      <w:pPr>
        <w:pStyle w:val="Normal"/>
        <w:suppressAutoHyphens w:val="false"/>
        <w:spacing w:lineRule="auto" w:line="360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>Однако на практике для определения значений коэффициентов чаще используется метод экспертных оценок. В этом случае коэффициенты отражают степень уверенности специалистов-экспертов в том, что поступление ожидаемого платежа осуществится.</w:t>
      </w:r>
    </w:p>
    <w:p>
      <w:pPr>
        <w:pStyle w:val="Normal"/>
        <w:suppressAutoHyphens w:val="false"/>
        <w:spacing w:lineRule="auto" w:line="360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>После того, как значения коэффициентов определены, осуществляется расчет критерия NPV:</w:t>
      </w:r>
    </w:p>
    <w:p>
      <w:pPr>
        <w:pStyle w:val="Normal"/>
        <w:suppressAutoHyphens w:val="false"/>
        <w:spacing w:lineRule="auto" w:line="360"/>
        <w:jc w:val="center"/>
        <w:rPr>
          <w:szCs w:val="28"/>
          <w:lang w:val="en-US" w:eastAsia="ru-RU"/>
        </w:rPr>
      </w:pPr>
      <w:r>
        <w:rPr>
          <w:bCs/>
          <w:szCs w:val="28"/>
          <w:lang w:val="en-US" w:eastAsia="ru-RU"/>
        </w:rPr>
        <w:t xml:space="preserve">NPV = </w:t>
      </w:r>
      <w:r>
        <w:rPr/>
      </w:r>
      <m:oMath xmlns:m="http://schemas.openxmlformats.org/officeDocument/2006/math">
        <m:nary>
          <m:naryPr>
            <m:chr m:val="∑"/>
          </m:naryPr>
          <m:sub>
            <m:r>
              <w:rPr>
                <w:rFonts w:ascii="Cambria Math" w:hAnsi="Cambria Math"/>
              </w:rPr>
              <m:t xml:space="preserve">2</m:t>
            </m:r>
          </m:sub>
          <m:sup>
            <m:r>
              <w:rPr>
                <w:rFonts w:ascii="Cambria Math" w:hAnsi="Cambria Math"/>
              </w:rPr>
              <m:t xml:space="preserve">n</m:t>
            </m:r>
          </m:sup>
          <m:e/>
        </m:nary>
      </m:oMath>
      <w:r>
        <w:rPr>
          <w:bCs/>
          <w:szCs w:val="28"/>
          <w:lang w:val="en-US" w:eastAsia="ru-RU"/>
        </w:rPr>
        <w:t xml:space="preserve"> (a</w:t>
      </w:r>
      <w:r>
        <w:rPr>
          <w:bCs/>
          <w:szCs w:val="28"/>
          <w:vertAlign w:val="subscript"/>
          <w:lang w:val="en-US" w:eastAsia="ru-RU"/>
        </w:rPr>
        <w:t>t</w:t>
      </w:r>
      <w:r>
        <w:rPr>
          <w:bCs/>
          <w:szCs w:val="28"/>
          <w:lang w:val="en-US" w:eastAsia="ru-RU"/>
        </w:rPr>
        <w:t>*CF</w:t>
      </w:r>
      <w:r>
        <w:rPr>
          <w:bCs/>
          <w:szCs w:val="28"/>
          <w:vertAlign w:val="subscript"/>
          <w:lang w:val="en-US" w:eastAsia="ru-RU"/>
        </w:rPr>
        <w:t>t</w:t>
      </w:r>
      <w:r>
        <w:rPr>
          <w:bCs/>
          <w:szCs w:val="28"/>
          <w:lang w:val="en-US" w:eastAsia="ru-RU"/>
        </w:rPr>
        <w:t>)/(1+r)</w:t>
      </w:r>
      <w:r>
        <w:rPr>
          <w:bCs/>
          <w:szCs w:val="28"/>
          <w:vertAlign w:val="superscript"/>
          <w:lang w:val="en-US" w:eastAsia="ru-RU"/>
        </w:rPr>
        <w:t>t</w:t>
      </w:r>
      <w:r>
        <w:rPr>
          <w:bCs/>
          <w:szCs w:val="28"/>
          <w:lang w:val="en-US" w:eastAsia="ru-RU"/>
        </w:rPr>
        <w:t xml:space="preserve"> – I</w:t>
      </w:r>
      <w:r>
        <w:rPr>
          <w:bCs/>
          <w:szCs w:val="28"/>
          <w:vertAlign w:val="subscript"/>
          <w:lang w:val="en-US" w:eastAsia="ru-RU"/>
        </w:rPr>
        <w:t>0</w:t>
      </w:r>
    </w:p>
    <w:p>
      <w:pPr>
        <w:pStyle w:val="Normal"/>
        <w:suppressAutoHyphens w:val="false"/>
        <w:spacing w:lineRule="auto" w:line="360"/>
        <w:ind w:firstLine="709"/>
        <w:rPr>
          <w:szCs w:val="28"/>
          <w:lang w:eastAsia="ru-RU"/>
        </w:rPr>
      </w:pPr>
      <w:r>
        <w:rPr>
          <w:szCs w:val="28"/>
          <w:lang w:eastAsia="ru-RU"/>
        </w:rPr>
        <w:t xml:space="preserve">где </w:t>
      </w:r>
      <w:r>
        <w:rPr>
          <w:bCs/>
          <w:iCs/>
          <w:szCs w:val="28"/>
          <w:lang w:eastAsia="ru-RU"/>
        </w:rPr>
        <w:t>CF</w:t>
      </w:r>
      <w:r>
        <w:rPr>
          <w:bCs/>
          <w:iCs/>
          <w:szCs w:val="28"/>
          <w:vertAlign w:val="subscript"/>
          <w:lang w:eastAsia="ru-RU"/>
        </w:rPr>
        <w:t>t</w:t>
      </w:r>
      <w:r>
        <w:rPr>
          <w:szCs w:val="28"/>
          <w:lang w:eastAsia="ru-RU"/>
        </w:rPr>
        <w:t xml:space="preserve"> - суммарный поток платежей в период t;</w:t>
      </w:r>
    </w:p>
    <w:p>
      <w:pPr>
        <w:pStyle w:val="Normal"/>
        <w:suppressAutoHyphens w:val="false"/>
        <w:spacing w:lineRule="auto" w:line="360"/>
        <w:ind w:firstLine="709"/>
        <w:rPr>
          <w:szCs w:val="28"/>
          <w:lang w:eastAsia="ru-RU"/>
        </w:rPr>
      </w:pPr>
      <w:r>
        <w:rPr>
          <w:bCs/>
          <w:iCs/>
          <w:szCs w:val="28"/>
          <w:lang w:eastAsia="ru-RU"/>
        </w:rPr>
        <w:t>r</w:t>
      </w:r>
      <w:r>
        <w:rPr>
          <w:szCs w:val="28"/>
          <w:lang w:eastAsia="ru-RU"/>
        </w:rPr>
        <w:t xml:space="preserve"> - используемая ставка процента;</w:t>
      </w:r>
    </w:p>
    <w:p>
      <w:pPr>
        <w:pStyle w:val="Normal"/>
        <w:suppressAutoHyphens w:val="false"/>
        <w:spacing w:lineRule="auto" w:line="360"/>
        <w:ind w:firstLine="709"/>
        <w:rPr>
          <w:szCs w:val="28"/>
          <w:lang w:eastAsia="ru-RU"/>
        </w:rPr>
      </w:pPr>
      <w:r>
        <w:rPr>
          <w:bCs/>
          <w:iCs/>
          <w:szCs w:val="28"/>
          <w:lang w:eastAsia="ru-RU"/>
        </w:rPr>
        <w:t>a</w:t>
      </w:r>
      <w:r>
        <w:rPr>
          <w:bCs/>
          <w:iCs/>
          <w:szCs w:val="28"/>
          <w:vertAlign w:val="subscript"/>
          <w:lang w:eastAsia="ru-RU"/>
        </w:rPr>
        <w:t>t</w:t>
      </w:r>
      <w:r>
        <w:rPr>
          <w:szCs w:val="28"/>
          <w:lang w:eastAsia="ru-RU"/>
        </w:rPr>
        <w:t xml:space="preserve"> - корректирующий множитель;</w:t>
      </w:r>
    </w:p>
    <w:p>
      <w:pPr>
        <w:pStyle w:val="Normal"/>
        <w:suppressAutoHyphens w:val="false"/>
        <w:spacing w:lineRule="auto" w:line="360"/>
        <w:ind w:firstLine="709"/>
        <w:rPr>
          <w:szCs w:val="28"/>
          <w:lang w:eastAsia="ru-RU"/>
        </w:rPr>
      </w:pPr>
      <w:r>
        <w:rPr>
          <w:bCs/>
          <w:iCs/>
          <w:szCs w:val="28"/>
          <w:lang w:eastAsia="ru-RU"/>
        </w:rPr>
        <w:t>I</w:t>
      </w:r>
      <w:r>
        <w:rPr>
          <w:bCs/>
          <w:iCs/>
          <w:szCs w:val="28"/>
          <w:vertAlign w:val="subscript"/>
          <w:lang w:eastAsia="ru-RU"/>
        </w:rPr>
        <w:t xml:space="preserve">0 </w:t>
      </w:r>
      <w:r>
        <w:rPr>
          <w:szCs w:val="28"/>
          <w:lang w:eastAsia="ru-RU"/>
        </w:rPr>
        <w:t>- начальные инвестиции;</w:t>
      </w:r>
    </w:p>
    <w:p>
      <w:pPr>
        <w:pStyle w:val="Normal"/>
        <w:suppressAutoHyphens w:val="false"/>
        <w:spacing w:lineRule="auto" w:line="360"/>
        <w:ind w:firstLine="709"/>
        <w:rPr>
          <w:szCs w:val="28"/>
          <w:lang w:eastAsia="ru-RU"/>
        </w:rPr>
      </w:pPr>
      <w:r>
        <w:rPr>
          <w:bCs/>
          <w:iCs/>
          <w:szCs w:val="28"/>
          <w:lang w:eastAsia="ru-RU"/>
        </w:rPr>
        <w:t> </w:t>
      </w:r>
      <w:r>
        <w:rPr>
          <w:bCs/>
          <w:iCs/>
          <w:szCs w:val="28"/>
          <w:lang w:eastAsia="ru-RU"/>
        </w:rPr>
        <w:t>n</w:t>
      </w:r>
      <w:r>
        <w:rPr>
          <w:szCs w:val="28"/>
          <w:lang w:eastAsia="ru-RU"/>
        </w:rPr>
        <w:t xml:space="preserve"> - срок проекта.</w:t>
      </w:r>
    </w:p>
    <w:p>
      <w:pPr>
        <w:pStyle w:val="Normal"/>
        <w:suppressAutoHyphens w:val="false"/>
        <w:spacing w:lineRule="auto" w:line="360" w:beforeAutospacing="1" w:afterAutospacing="1"/>
        <w:ind w:firstLine="708"/>
        <w:rPr>
          <w:sz w:val="24"/>
          <w:lang w:eastAsia="ru-RU"/>
        </w:rPr>
      </w:pPr>
      <w:r>
        <w:rPr>
          <w:szCs w:val="28"/>
          <w:lang w:eastAsia="ru-RU"/>
        </w:rPr>
        <w:t xml:space="preserve">Предпочтение отдается тому проекту, по которому величина </w:t>
      </w:r>
      <w:r>
        <w:rPr>
          <w:bCs/>
          <w:iCs/>
          <w:szCs w:val="28"/>
          <w:lang w:eastAsia="ru-RU"/>
        </w:rPr>
        <w:t xml:space="preserve">NPV </w:t>
      </w:r>
      <w:r>
        <w:rPr>
          <w:szCs w:val="28"/>
          <w:lang w:eastAsia="ru-RU"/>
        </w:rPr>
        <w:t>больше</w:t>
      </w:r>
      <w:r>
        <w:rPr>
          <w:sz w:val="24"/>
          <w:lang w:eastAsia="ru-RU"/>
        </w:rPr>
        <w:t>.</w:t>
      </w:r>
    </w:p>
    <w:tbl>
      <w:tblPr>
        <w:tblStyle w:val="a3"/>
        <w:tblW w:w="90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93"/>
        <w:gridCol w:w="1801"/>
        <w:gridCol w:w="1476"/>
        <w:gridCol w:w="1440"/>
        <w:gridCol w:w="1597"/>
        <w:gridCol w:w="1352"/>
      </w:tblGrid>
      <w:tr>
        <w:trPr/>
        <w:tc>
          <w:tcPr>
            <w:tcW w:w="1393" w:type="dxa"/>
            <w:tcBorders/>
          </w:tcPr>
          <w:p>
            <w:pPr>
              <w:pStyle w:val="Normal"/>
              <w:widowControl w:val="false"/>
              <w:suppressAutoHyphens w:val="false"/>
              <w:spacing w:beforeAutospacing="1" w:after="0"/>
              <w:jc w:val="both"/>
              <w:rPr>
                <w:lang w:val="en-US" w:eastAsia="ru-RU"/>
              </w:rPr>
            </w:pPr>
            <w:r>
              <w:rPr>
                <w:kern w:val="0"/>
                <w:lang w:val="ru-RU" w:eastAsia="ru-RU" w:bidi="ar-SA"/>
              </w:rPr>
              <w:t> </w:t>
            </w:r>
            <w:r>
              <w:rPr>
                <w:kern w:val="0"/>
                <w:lang w:val="en-US" w:eastAsia="ru-RU" w:bidi="ar-SA"/>
              </w:rPr>
              <w:t>t</w:t>
            </w:r>
          </w:p>
        </w:tc>
        <w:tc>
          <w:tcPr>
            <w:tcW w:w="1801" w:type="dxa"/>
            <w:tcBorders/>
          </w:tcPr>
          <w:p>
            <w:pPr>
              <w:pStyle w:val="Normal"/>
              <w:widowControl w:val="false"/>
              <w:suppressAutoHyphens w:val="false"/>
              <w:spacing w:beforeAutospacing="1" w:after="0"/>
              <w:jc w:val="both"/>
              <w:rPr>
                <w:lang w:val="en-US" w:eastAsia="ru-RU"/>
              </w:rPr>
            </w:pPr>
            <w:r>
              <w:rPr>
                <w:kern w:val="0"/>
                <w:lang w:val="en-US" w:eastAsia="ru-RU" w:bidi="ar-SA"/>
              </w:rPr>
              <w:t>T/(1+0,15)</w:t>
            </w:r>
            <w:r>
              <w:rPr>
                <w:kern w:val="0"/>
                <w:vertAlign w:val="superscript"/>
                <w:lang w:val="en-US" w:eastAsia="ru-RU" w:bidi="ar-SA"/>
              </w:rPr>
              <w:t>t</w:t>
            </w:r>
          </w:p>
        </w:tc>
        <w:tc>
          <w:tcPr>
            <w:tcW w:w="1476" w:type="dxa"/>
            <w:tcBorders/>
          </w:tcPr>
          <w:p>
            <w:pPr>
              <w:pStyle w:val="Normal"/>
              <w:widowControl w:val="false"/>
              <w:suppressAutoHyphens w:val="false"/>
              <w:spacing w:beforeAutospacing="1" w:after="0"/>
              <w:jc w:val="both"/>
              <w:rPr>
                <w:vertAlign w:val="subscript"/>
                <w:lang w:val="en-US" w:eastAsia="ru-RU"/>
              </w:rPr>
            </w:pPr>
            <w:r>
              <w:rPr>
                <w:kern w:val="0"/>
                <w:lang w:val="en-US" w:eastAsia="ru-RU" w:bidi="ar-SA"/>
              </w:rPr>
              <w:t>CF</w:t>
            </w:r>
            <w:r>
              <w:rPr>
                <w:kern w:val="0"/>
                <w:vertAlign w:val="subscript"/>
                <w:lang w:val="en-US" w:eastAsia="ru-RU" w:bidi="ar-SA"/>
              </w:rPr>
              <w:t>t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false"/>
              <w:spacing w:beforeAutospacing="1" w:after="0"/>
              <w:jc w:val="both"/>
              <w:rPr>
                <w:vertAlign w:val="subscript"/>
                <w:lang w:val="en-US" w:eastAsia="ru-RU"/>
              </w:rPr>
            </w:pPr>
            <w:r>
              <w:rPr>
                <w:kern w:val="0"/>
                <w:lang w:val="en-US" w:eastAsia="ru-RU" w:bidi="ar-SA"/>
              </w:rPr>
              <w:t>a</w:t>
            </w:r>
            <w:r>
              <w:rPr>
                <w:kern w:val="0"/>
                <w:vertAlign w:val="subscript"/>
                <w:lang w:val="en-US" w:eastAsia="ru-RU" w:bidi="ar-SA"/>
              </w:rPr>
              <w:t>t</w:t>
            </w:r>
          </w:p>
        </w:tc>
        <w:tc>
          <w:tcPr>
            <w:tcW w:w="1597" w:type="dxa"/>
            <w:tcBorders/>
          </w:tcPr>
          <w:p>
            <w:pPr>
              <w:pStyle w:val="Normal"/>
              <w:widowControl w:val="false"/>
              <w:suppressAutoHyphens w:val="false"/>
              <w:spacing w:beforeAutospacing="1" w:after="0"/>
              <w:jc w:val="both"/>
              <w:rPr>
                <w:lang w:val="en-US" w:eastAsia="ru-RU"/>
              </w:rPr>
            </w:pPr>
            <w:r>
              <w:rPr>
                <w:kern w:val="0"/>
                <w:lang w:val="en-US" w:eastAsia="ru-RU" w:bidi="ar-SA"/>
              </w:rPr>
              <w:t>a</w:t>
            </w:r>
            <w:r>
              <w:rPr>
                <w:kern w:val="0"/>
                <w:vertAlign w:val="subscript"/>
                <w:lang w:val="en-US" w:eastAsia="ru-RU" w:bidi="ar-SA"/>
              </w:rPr>
              <w:t>t</w:t>
            </w:r>
            <w:r>
              <w:rPr>
                <w:kern w:val="0"/>
                <w:lang w:val="en-US" w:eastAsia="ru-RU" w:bidi="ar-SA"/>
              </w:rPr>
              <w:t>*CF</w:t>
            </w:r>
            <w:r>
              <w:rPr>
                <w:kern w:val="0"/>
                <w:vertAlign w:val="subscript"/>
                <w:lang w:val="en-US" w:eastAsia="ru-RU" w:bidi="ar-SA"/>
              </w:rPr>
              <w:t>t</w:t>
            </w:r>
          </w:p>
        </w:tc>
        <w:tc>
          <w:tcPr>
            <w:tcW w:w="1352" w:type="dxa"/>
            <w:tcBorders/>
          </w:tcPr>
          <w:p>
            <w:pPr>
              <w:pStyle w:val="Normal"/>
              <w:widowControl w:val="false"/>
              <w:suppressAutoHyphens w:val="false"/>
              <w:spacing w:beforeAutospacing="1" w:after="0"/>
              <w:jc w:val="both"/>
              <w:rPr>
                <w:lang w:val="en-US" w:eastAsia="ru-RU"/>
              </w:rPr>
            </w:pPr>
            <w:r>
              <w:rPr>
                <w:kern w:val="0"/>
                <w:lang w:val="en-US" w:eastAsia="ru-RU" w:bidi="ar-SA"/>
              </w:rPr>
              <w:t>NPV</w:t>
            </w:r>
          </w:p>
        </w:tc>
      </w:tr>
      <w:tr>
        <w:trPr/>
        <w:tc>
          <w:tcPr>
            <w:tcW w:w="1393" w:type="dxa"/>
            <w:tcBorders/>
          </w:tcPr>
          <w:p>
            <w:pPr>
              <w:pStyle w:val="Normal"/>
              <w:widowControl w:val="false"/>
              <w:suppressAutoHyphens w:val="false"/>
              <w:spacing w:beforeAutospacing="1" w:after="0"/>
              <w:jc w:val="both"/>
              <w:rPr>
                <w:lang w:val="en-US" w:eastAsia="ru-RU"/>
              </w:rPr>
            </w:pPr>
            <w:r>
              <w:rPr>
                <w:kern w:val="0"/>
                <w:lang w:val="en-US" w:eastAsia="ru-RU" w:bidi="ar-SA"/>
              </w:rPr>
              <w:t>0</w:t>
            </w:r>
          </w:p>
        </w:tc>
        <w:tc>
          <w:tcPr>
            <w:tcW w:w="1801" w:type="dxa"/>
            <w:tcBorders/>
          </w:tcPr>
          <w:p>
            <w:pPr>
              <w:pStyle w:val="Normal"/>
              <w:widowControl w:val="false"/>
              <w:suppressAutoHyphens w:val="false"/>
              <w:spacing w:beforeAutospacing="1" w:after="0"/>
              <w:jc w:val="both"/>
              <w:rPr>
                <w:lang w:eastAsia="ru-RU"/>
              </w:rPr>
            </w:pPr>
            <w:r>
              <w:rPr>
                <w:kern w:val="0"/>
                <w:lang w:val="ru-RU" w:eastAsia="ru-RU" w:bidi="ar-SA"/>
              </w:rPr>
              <w:t>1</w:t>
            </w:r>
          </w:p>
        </w:tc>
        <w:tc>
          <w:tcPr>
            <w:tcW w:w="1476" w:type="dxa"/>
            <w:tcBorders/>
          </w:tcPr>
          <w:p>
            <w:pPr>
              <w:pStyle w:val="Normal"/>
              <w:widowControl w:val="false"/>
              <w:suppressAutoHyphens w:val="false"/>
              <w:spacing w:beforeAutospacing="1" w:after="0"/>
              <w:jc w:val="both"/>
              <w:rPr>
                <w:lang w:eastAsia="ru-RU"/>
              </w:rPr>
            </w:pPr>
            <w:r>
              <w:rPr>
                <w:kern w:val="0"/>
                <w:lang w:val="ru-RU" w:eastAsia="ru-RU" w:bidi="ar-SA"/>
              </w:rPr>
              <w:t>- 83млн руб.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false"/>
              <w:spacing w:beforeAutospacing="1" w:after="0"/>
              <w:jc w:val="both"/>
              <w:rPr>
                <w:lang w:eastAsia="ru-RU"/>
              </w:rPr>
            </w:pPr>
            <w:r>
              <w:rPr>
                <w:kern w:val="0"/>
                <w:lang w:val="ru-RU" w:eastAsia="ru-RU" w:bidi="ar-SA"/>
              </w:rPr>
              <w:t>1</w:t>
            </w:r>
          </w:p>
        </w:tc>
        <w:tc>
          <w:tcPr>
            <w:tcW w:w="1597" w:type="dxa"/>
            <w:tcBorders/>
          </w:tcPr>
          <w:p>
            <w:pPr>
              <w:pStyle w:val="Normal"/>
              <w:widowControl w:val="false"/>
              <w:suppressAutoHyphens w:val="false"/>
              <w:spacing w:beforeAutospacing="1" w:after="0"/>
              <w:jc w:val="both"/>
              <w:rPr>
                <w:lang w:eastAsia="ru-RU"/>
              </w:rPr>
            </w:pPr>
            <w:r>
              <w:rPr>
                <w:kern w:val="0"/>
                <w:lang w:val="ru-RU" w:eastAsia="ru-RU" w:bidi="ar-SA"/>
              </w:rPr>
              <w:t>-83 млн руб</w:t>
            </w:r>
          </w:p>
        </w:tc>
        <w:tc>
          <w:tcPr>
            <w:tcW w:w="1352" w:type="dxa"/>
            <w:tcBorders/>
          </w:tcPr>
          <w:p>
            <w:pPr>
              <w:pStyle w:val="Normal"/>
              <w:widowControl w:val="false"/>
              <w:suppressAutoHyphens w:val="false"/>
              <w:spacing w:beforeAutospacing="1" w:after="0"/>
              <w:jc w:val="both"/>
              <w:rPr>
                <w:lang w:eastAsia="ru-RU"/>
              </w:rPr>
            </w:pPr>
            <w:r>
              <w:rPr>
                <w:kern w:val="0"/>
                <w:lang w:val="ru-RU" w:eastAsia="ru-RU" w:bidi="ar-SA"/>
              </w:rPr>
              <w:t>-83 млн</w:t>
            </w:r>
          </w:p>
        </w:tc>
      </w:tr>
      <w:tr>
        <w:trPr/>
        <w:tc>
          <w:tcPr>
            <w:tcW w:w="1393" w:type="dxa"/>
            <w:tcBorders/>
          </w:tcPr>
          <w:p>
            <w:pPr>
              <w:pStyle w:val="Normal"/>
              <w:widowControl w:val="false"/>
              <w:suppressAutoHyphens w:val="false"/>
              <w:spacing w:beforeAutospacing="1" w:after="0"/>
              <w:jc w:val="both"/>
              <w:rPr>
                <w:lang w:val="en-US" w:eastAsia="ru-RU"/>
              </w:rPr>
            </w:pPr>
            <w:r>
              <w:rPr>
                <w:kern w:val="0"/>
                <w:lang w:val="en-US" w:eastAsia="ru-RU" w:bidi="ar-SA"/>
              </w:rPr>
              <w:t>1</w:t>
            </w:r>
          </w:p>
        </w:tc>
        <w:tc>
          <w:tcPr>
            <w:tcW w:w="1801" w:type="dxa"/>
            <w:tcBorders/>
          </w:tcPr>
          <w:p>
            <w:pPr>
              <w:pStyle w:val="Normal"/>
              <w:widowControl w:val="false"/>
              <w:suppressAutoHyphens w:val="false"/>
              <w:spacing w:beforeAutospacing="1" w:after="0"/>
              <w:jc w:val="both"/>
              <w:rPr>
                <w:lang w:val="en-US" w:eastAsia="ru-RU"/>
              </w:rPr>
            </w:pPr>
            <w:r>
              <w:rPr>
                <w:kern w:val="0"/>
                <w:lang w:val="en-US" w:eastAsia="ru-RU" w:bidi="ar-SA"/>
              </w:rPr>
              <w:t>1/1,15=0,869</w:t>
            </w:r>
          </w:p>
        </w:tc>
        <w:tc>
          <w:tcPr>
            <w:tcW w:w="1476" w:type="dxa"/>
            <w:tcBorders/>
          </w:tcPr>
          <w:p>
            <w:pPr>
              <w:pStyle w:val="Normal"/>
              <w:widowControl w:val="false"/>
              <w:suppressAutoHyphens w:val="false"/>
              <w:spacing w:beforeAutospacing="1" w:after="0"/>
              <w:jc w:val="both"/>
              <w:rPr>
                <w:lang w:eastAsia="ru-RU"/>
              </w:rPr>
            </w:pPr>
            <w:r>
              <w:rPr>
                <w:kern w:val="0"/>
                <w:lang w:val="ru-RU" w:eastAsia="ru-RU" w:bidi="ar-SA"/>
              </w:rPr>
              <w:t>55 млн руб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false"/>
              <w:spacing w:beforeAutospacing="1" w:after="0"/>
              <w:jc w:val="both"/>
              <w:rPr>
                <w:lang w:val="en-US" w:eastAsia="ru-RU"/>
              </w:rPr>
            </w:pPr>
            <w:r>
              <w:rPr>
                <w:kern w:val="0"/>
                <w:lang w:val="ru-RU" w:eastAsia="ru-RU" w:bidi="ar-SA"/>
              </w:rPr>
              <w:t>0</w:t>
            </w:r>
            <w:r>
              <w:rPr>
                <w:kern w:val="0"/>
                <w:lang w:val="en-US" w:eastAsia="ru-RU" w:bidi="ar-SA"/>
              </w:rPr>
              <w:t>,62</w:t>
            </w:r>
          </w:p>
        </w:tc>
        <w:tc>
          <w:tcPr>
            <w:tcW w:w="1597" w:type="dxa"/>
            <w:tcBorders/>
          </w:tcPr>
          <w:p>
            <w:pPr>
              <w:pStyle w:val="Normal"/>
              <w:widowControl w:val="false"/>
              <w:suppressAutoHyphens w:val="false"/>
              <w:spacing w:beforeAutospacing="1" w:after="0"/>
              <w:jc w:val="both"/>
              <w:rPr>
                <w:lang w:eastAsia="ru-RU"/>
              </w:rPr>
            </w:pPr>
            <w:r>
              <w:rPr>
                <w:kern w:val="0"/>
                <w:lang w:val="en-US" w:eastAsia="ru-RU" w:bidi="ar-SA"/>
              </w:rPr>
              <w:t xml:space="preserve">34,1 </w:t>
            </w:r>
            <w:r>
              <w:rPr>
                <w:kern w:val="0"/>
                <w:lang w:val="ru-RU" w:eastAsia="ru-RU" w:bidi="ar-SA"/>
              </w:rPr>
              <w:t>млн руб</w:t>
            </w:r>
          </w:p>
        </w:tc>
        <w:tc>
          <w:tcPr>
            <w:tcW w:w="1352" w:type="dxa"/>
            <w:tcBorders/>
          </w:tcPr>
          <w:p>
            <w:pPr>
              <w:pStyle w:val="Normal"/>
              <w:widowControl w:val="false"/>
              <w:suppressAutoHyphens w:val="false"/>
              <w:spacing w:beforeAutospacing="1" w:after="0"/>
              <w:jc w:val="both"/>
              <w:rPr>
                <w:lang w:eastAsia="ru-RU"/>
              </w:rPr>
            </w:pPr>
            <w:r>
              <w:rPr>
                <w:kern w:val="0"/>
                <w:lang w:val="en-US" w:eastAsia="ru-RU" w:bidi="ar-SA"/>
              </w:rPr>
              <w:t>39.24</w:t>
            </w:r>
            <w:r>
              <w:rPr>
                <w:kern w:val="0"/>
                <w:lang w:val="ru-RU" w:eastAsia="ru-RU" w:bidi="ar-SA"/>
              </w:rPr>
              <w:t xml:space="preserve"> млн</w:t>
            </w:r>
          </w:p>
        </w:tc>
      </w:tr>
      <w:tr>
        <w:trPr/>
        <w:tc>
          <w:tcPr>
            <w:tcW w:w="1393" w:type="dxa"/>
            <w:tcBorders/>
          </w:tcPr>
          <w:p>
            <w:pPr>
              <w:pStyle w:val="Normal"/>
              <w:widowControl w:val="false"/>
              <w:suppressAutoHyphens w:val="false"/>
              <w:spacing w:beforeAutospacing="1" w:after="0"/>
              <w:jc w:val="both"/>
              <w:rPr>
                <w:lang w:val="en-US" w:eastAsia="ru-RU"/>
              </w:rPr>
            </w:pPr>
            <w:r>
              <w:rPr>
                <w:kern w:val="0"/>
                <w:lang w:val="en-US" w:eastAsia="ru-RU" w:bidi="ar-SA"/>
              </w:rPr>
              <w:t>2</w:t>
            </w:r>
          </w:p>
        </w:tc>
        <w:tc>
          <w:tcPr>
            <w:tcW w:w="1801" w:type="dxa"/>
            <w:tcBorders/>
          </w:tcPr>
          <w:p>
            <w:pPr>
              <w:pStyle w:val="Normal"/>
              <w:widowControl w:val="false"/>
              <w:suppressAutoHyphens w:val="false"/>
              <w:spacing w:beforeAutospacing="1" w:after="0"/>
              <w:jc w:val="both"/>
              <w:rPr>
                <w:lang w:val="en-US" w:eastAsia="ru-RU"/>
              </w:rPr>
            </w:pPr>
            <w:r>
              <w:rPr>
                <w:kern w:val="0"/>
                <w:lang w:val="en-US" w:eastAsia="ru-RU" w:bidi="ar-SA"/>
              </w:rPr>
              <w:t>1/1,15</w:t>
            </w:r>
            <w:r>
              <w:rPr>
                <w:kern w:val="0"/>
                <w:vertAlign w:val="superscript"/>
                <w:lang w:val="en-US" w:eastAsia="ru-RU" w:bidi="ar-SA"/>
              </w:rPr>
              <w:t>2</w:t>
            </w:r>
            <w:r>
              <w:rPr>
                <w:kern w:val="0"/>
                <w:lang w:val="en-US" w:eastAsia="ru-RU" w:bidi="ar-SA"/>
              </w:rPr>
              <w:t>=0,756</w:t>
            </w:r>
          </w:p>
        </w:tc>
        <w:tc>
          <w:tcPr>
            <w:tcW w:w="1476" w:type="dxa"/>
            <w:tcBorders/>
          </w:tcPr>
          <w:p>
            <w:pPr>
              <w:pStyle w:val="Normal"/>
              <w:widowControl w:val="false"/>
              <w:suppressAutoHyphens w:val="false"/>
              <w:spacing w:beforeAutospacing="1" w:after="0"/>
              <w:jc w:val="both"/>
              <w:rPr>
                <w:lang w:eastAsia="ru-RU"/>
              </w:rPr>
            </w:pPr>
            <w:r>
              <w:rPr>
                <w:kern w:val="0"/>
                <w:lang w:val="ru-RU" w:eastAsia="ru-RU" w:bidi="ar-SA"/>
              </w:rPr>
              <w:t>53 млн руб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false"/>
              <w:spacing w:beforeAutospacing="1" w:after="0"/>
              <w:jc w:val="both"/>
              <w:rPr>
                <w:lang w:val="en-US" w:eastAsia="ru-RU"/>
              </w:rPr>
            </w:pPr>
            <w:r>
              <w:rPr>
                <w:kern w:val="0"/>
                <w:lang w:val="en-US" w:eastAsia="ru-RU" w:bidi="ar-SA"/>
              </w:rPr>
              <w:t>0,60</w:t>
            </w:r>
          </w:p>
        </w:tc>
        <w:tc>
          <w:tcPr>
            <w:tcW w:w="1597" w:type="dxa"/>
            <w:tcBorders/>
          </w:tcPr>
          <w:p>
            <w:pPr>
              <w:pStyle w:val="Normal"/>
              <w:widowControl w:val="false"/>
              <w:suppressAutoHyphens w:val="false"/>
              <w:spacing w:beforeAutospacing="1" w:after="0"/>
              <w:jc w:val="both"/>
              <w:rPr>
                <w:lang w:val="en-US" w:eastAsia="ru-RU"/>
              </w:rPr>
            </w:pPr>
            <w:r>
              <w:rPr>
                <w:kern w:val="0"/>
                <w:lang w:val="en-US" w:eastAsia="ru-RU" w:bidi="ar-SA"/>
              </w:rPr>
              <w:t>31,8</w:t>
            </w:r>
            <w:r>
              <w:rPr>
                <w:kern w:val="0"/>
                <w:lang w:val="ru-RU" w:eastAsia="ru-RU" w:bidi="ar-SA"/>
              </w:rPr>
              <w:t xml:space="preserve"> млн руб</w:t>
            </w:r>
          </w:p>
        </w:tc>
        <w:tc>
          <w:tcPr>
            <w:tcW w:w="1352" w:type="dxa"/>
            <w:tcBorders/>
          </w:tcPr>
          <w:p>
            <w:pPr>
              <w:pStyle w:val="Normal"/>
              <w:widowControl w:val="false"/>
              <w:suppressAutoHyphens w:val="false"/>
              <w:spacing w:beforeAutospacing="1" w:after="0"/>
              <w:jc w:val="both"/>
              <w:rPr>
                <w:lang w:eastAsia="ru-RU"/>
              </w:rPr>
            </w:pPr>
            <w:r>
              <w:rPr>
                <w:kern w:val="0"/>
                <w:lang w:val="ru-RU" w:eastAsia="ru-RU" w:bidi="ar-SA"/>
              </w:rPr>
              <w:t>42</w:t>
            </w:r>
            <w:r>
              <w:rPr>
                <w:kern w:val="0"/>
                <w:lang w:val="en-US" w:eastAsia="ru-RU" w:bidi="ar-SA"/>
              </w:rPr>
              <w:t>,063</w:t>
            </w:r>
            <w:r>
              <w:rPr>
                <w:kern w:val="0"/>
                <w:lang w:val="ru-RU" w:eastAsia="ru-RU" w:bidi="ar-SA"/>
              </w:rPr>
              <w:t xml:space="preserve"> млн</w:t>
            </w:r>
          </w:p>
        </w:tc>
      </w:tr>
      <w:tr>
        <w:trPr/>
        <w:tc>
          <w:tcPr>
            <w:tcW w:w="1393" w:type="dxa"/>
            <w:tcBorders/>
          </w:tcPr>
          <w:p>
            <w:pPr>
              <w:pStyle w:val="Normal"/>
              <w:widowControl w:val="false"/>
              <w:suppressAutoHyphens w:val="false"/>
              <w:spacing w:beforeAutospacing="1" w:after="0"/>
              <w:jc w:val="both"/>
              <w:rPr>
                <w:sz w:val="24"/>
                <w:lang w:val="en-US" w:eastAsia="ru-RU"/>
              </w:rPr>
            </w:pPr>
            <w:r>
              <w:rPr>
                <w:kern w:val="0"/>
                <w:sz w:val="24"/>
                <w:lang w:val="en-US" w:eastAsia="ru-RU" w:bidi="ar-SA"/>
              </w:rPr>
              <w:t>3</w:t>
            </w:r>
          </w:p>
        </w:tc>
        <w:tc>
          <w:tcPr>
            <w:tcW w:w="1801" w:type="dxa"/>
            <w:tcBorders/>
          </w:tcPr>
          <w:p>
            <w:pPr>
              <w:pStyle w:val="Normal"/>
              <w:widowControl w:val="false"/>
              <w:suppressAutoHyphens w:val="false"/>
              <w:spacing w:beforeAutospacing="1" w:after="0"/>
              <w:jc w:val="both"/>
              <w:rPr>
                <w:sz w:val="24"/>
                <w:lang w:eastAsia="ru-RU"/>
              </w:rPr>
            </w:pPr>
            <w:r>
              <w:rPr>
                <w:kern w:val="0"/>
                <w:sz w:val="24"/>
                <w:lang w:val="en-US" w:eastAsia="ru-RU" w:bidi="ar-SA"/>
              </w:rPr>
              <w:t>1/1,15</w:t>
            </w:r>
            <w:r>
              <w:rPr>
                <w:kern w:val="0"/>
                <w:sz w:val="24"/>
                <w:vertAlign w:val="superscript"/>
                <w:lang w:val="en-US" w:eastAsia="ru-RU" w:bidi="ar-SA"/>
              </w:rPr>
              <w:t>3</w:t>
            </w:r>
            <w:r>
              <w:rPr>
                <w:kern w:val="0"/>
                <w:sz w:val="24"/>
                <w:lang w:val="en-US" w:eastAsia="ru-RU" w:bidi="ar-SA"/>
              </w:rPr>
              <w:t>=0,657</w:t>
            </w:r>
          </w:p>
        </w:tc>
        <w:tc>
          <w:tcPr>
            <w:tcW w:w="1476" w:type="dxa"/>
            <w:tcBorders/>
          </w:tcPr>
          <w:p>
            <w:pPr>
              <w:pStyle w:val="Normal"/>
              <w:widowControl w:val="false"/>
              <w:suppressAutoHyphens w:val="false"/>
              <w:spacing w:beforeAutospacing="1" w:after="0"/>
              <w:jc w:val="both"/>
              <w:rPr>
                <w:sz w:val="24"/>
                <w:lang w:eastAsia="ru-RU"/>
              </w:rPr>
            </w:pPr>
            <w:r>
              <w:rPr>
                <w:kern w:val="0"/>
                <w:sz w:val="24"/>
                <w:lang w:val="ru-RU" w:eastAsia="ru-RU" w:bidi="ar-SA"/>
              </w:rPr>
              <w:t>62 млн руб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false"/>
              <w:spacing w:beforeAutospacing="1" w:after="0"/>
              <w:jc w:val="both"/>
              <w:rPr>
                <w:sz w:val="24"/>
                <w:lang w:eastAsia="ru-RU"/>
              </w:rPr>
            </w:pPr>
            <w:r>
              <w:rPr>
                <w:kern w:val="0"/>
                <w:sz w:val="24"/>
                <w:lang w:val="en-US" w:eastAsia="ru-RU" w:bidi="ar-SA"/>
              </w:rPr>
              <w:t>0,58</w:t>
            </w:r>
          </w:p>
        </w:tc>
        <w:tc>
          <w:tcPr>
            <w:tcW w:w="1597" w:type="dxa"/>
            <w:tcBorders/>
          </w:tcPr>
          <w:p>
            <w:pPr>
              <w:pStyle w:val="Normal"/>
              <w:widowControl w:val="false"/>
              <w:suppressAutoHyphens w:val="false"/>
              <w:spacing w:beforeAutospacing="1" w:after="0"/>
              <w:jc w:val="both"/>
              <w:rPr>
                <w:sz w:val="24"/>
                <w:lang w:eastAsia="ru-RU"/>
              </w:rPr>
            </w:pPr>
            <w:r>
              <w:rPr>
                <w:kern w:val="0"/>
                <w:sz w:val="24"/>
                <w:lang w:val="en-US" w:eastAsia="ru-RU" w:bidi="ar-SA"/>
              </w:rPr>
              <w:t xml:space="preserve">35,96 </w:t>
            </w:r>
            <w:r>
              <w:rPr>
                <w:kern w:val="0"/>
                <w:sz w:val="24"/>
                <w:lang w:val="ru-RU" w:eastAsia="ru-RU" w:bidi="ar-SA"/>
              </w:rPr>
              <w:t>млн руб</w:t>
            </w:r>
          </w:p>
        </w:tc>
        <w:tc>
          <w:tcPr>
            <w:tcW w:w="1352" w:type="dxa"/>
            <w:tcBorders/>
          </w:tcPr>
          <w:p>
            <w:pPr>
              <w:pStyle w:val="Normal"/>
              <w:widowControl w:val="false"/>
              <w:suppressAutoHyphens w:val="false"/>
              <w:spacing w:beforeAutospacing="1" w:after="0"/>
              <w:jc w:val="both"/>
              <w:rPr>
                <w:sz w:val="24"/>
                <w:lang w:eastAsia="ru-RU"/>
              </w:rPr>
            </w:pPr>
            <w:r>
              <w:rPr>
                <w:kern w:val="0"/>
                <w:sz w:val="24"/>
                <w:lang w:val="ru-RU" w:eastAsia="ru-RU" w:bidi="ar-SA"/>
              </w:rPr>
              <w:t>54</w:t>
            </w:r>
            <w:r>
              <w:rPr>
                <w:kern w:val="0"/>
                <w:sz w:val="24"/>
                <w:lang w:val="en-US" w:eastAsia="ru-RU" w:bidi="ar-SA"/>
              </w:rPr>
              <w:t>,</w:t>
            </w:r>
            <w:r>
              <w:rPr>
                <w:kern w:val="0"/>
                <w:sz w:val="24"/>
                <w:lang w:val="ru-RU" w:eastAsia="ru-RU" w:bidi="ar-SA"/>
              </w:rPr>
              <w:t>734 млн</w:t>
            </w:r>
          </w:p>
        </w:tc>
      </w:tr>
    </w:tbl>
    <w:p>
      <w:pPr>
        <w:pStyle w:val="Normal"/>
        <w:suppressAutoHyphens w:val="false"/>
        <w:spacing w:lineRule="auto" w:line="360" w:beforeAutospacing="1" w:afterAutospacing="1"/>
        <w:ind w:firstLine="709"/>
        <w:jc w:val="both"/>
        <w:rPr>
          <w:sz w:val="24"/>
          <w:lang w:eastAsia="ru-RU"/>
        </w:rPr>
      </w:pPr>
      <w:r>
        <w:rPr/>
        <w:t>Из расчетов видно, что вариант 3 наиболее привлекательный, поскольку NPV=54,734 , что является наибольшей величиной среди всех остальных.</w:t>
      </w:r>
    </w:p>
    <w:sectPr>
      <w:type w:val="nextPage"/>
      <w:pgSz w:w="11906" w:h="16838"/>
      <w:pgMar w:left="1418" w:right="1418" w:gutter="0" w:header="0" w:top="1134" w:footer="0" w:bottom="1134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Times New Roman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Tahoma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cd3c18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4"/>
      <w:lang w:eastAsia="ar-SA" w:val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>
    <w:name w:val="Титульник. Основной текст [ВУЗ] Знак"/>
    <w:basedOn w:val="DefaultParagraphFont"/>
    <w:qFormat/>
    <w:rPr>
      <w:rFonts w:ascii="Times New Roman" w:hAnsi="Times New Roman" w:cs="Times New Roman"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Noto Sans Devanagari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Noto Sans Devanagari"/>
      <w:sz w:val="24"/>
    </w:rPr>
  </w:style>
  <w:style w:type="paragraph" w:styleId="NormalWeb">
    <w:name w:val="Normal (Web)"/>
    <w:basedOn w:val="Normal"/>
    <w:uiPriority w:val="99"/>
    <w:semiHidden/>
    <w:unhideWhenUsed/>
    <w:qFormat/>
    <w:rsid w:val="00cd3c18"/>
    <w:pPr>
      <w:suppressAutoHyphens w:val="false"/>
      <w:spacing w:beforeAutospacing="1" w:afterAutospacing="1"/>
    </w:pPr>
    <w:rPr>
      <w:sz w:val="24"/>
      <w:lang w:eastAsia="ru-RU"/>
    </w:rPr>
  </w:style>
  <w:style w:type="paragraph" w:styleId="Style15">
    <w:name w:val="Титульник. По центру [ВУЗ]"/>
    <w:qFormat/>
    <w:pPr>
      <w:widowControl/>
      <w:tabs>
        <w:tab w:val="clear" w:pos="708"/>
        <w:tab w:val="left" w:pos="0" w:leader="none"/>
        <w:tab w:val="center" w:pos="4536" w:leader="none"/>
        <w:tab w:val="right" w:pos="9070" w:leader="none"/>
      </w:tabs>
      <w:suppressAutoHyphens w:val="true"/>
      <w:overflowPunct w:val="false"/>
      <w:bidi w:val="0"/>
      <w:spacing w:lineRule="auto" w:line="360" w:before="0" w:after="0"/>
      <w:jc w:val="center"/>
    </w:pPr>
    <w:rPr>
      <w:rFonts w:ascii="Times New Roman" w:hAnsi="Times New Roman" w:eastAsia="Calibri" w:cs="Times New Roman"/>
      <w:color w:val="auto"/>
      <w:kern w:val="0"/>
      <w:sz w:val="28"/>
      <w:szCs w:val="28"/>
      <w:lang w:val="ru-RU" w:eastAsia="en-US" w:bidi="ar-SA"/>
    </w:rPr>
  </w:style>
  <w:style w:type="paragraph" w:styleId="Style16">
    <w:name w:val="Титульник. Шапка [ВУЗ]"/>
    <w:basedOn w:val="Style15"/>
    <w:qFormat/>
    <w:pPr>
      <w:spacing w:lineRule="auto" w:line="240"/>
    </w:pPr>
    <w:rPr>
      <w:b/>
    </w:rPr>
  </w:style>
  <w:style w:type="paragraph" w:styleId="Style17">
    <w:name w:val="Титульник. Основной текст [ВУЗ]"/>
    <w:qFormat/>
    <w:pPr>
      <w:widowControl/>
      <w:tabs>
        <w:tab w:val="clear" w:pos="708"/>
        <w:tab w:val="left" w:pos="0" w:leader="none"/>
        <w:tab w:val="center" w:pos="4536" w:leader="none"/>
        <w:tab w:val="right" w:pos="9070" w:leader="none"/>
      </w:tabs>
      <w:suppressAutoHyphens w:val="true"/>
      <w:overflowPunct w:val="false"/>
      <w:bidi w:val="0"/>
      <w:spacing w:lineRule="auto" w:line="360" w:before="0" w:after="0"/>
      <w:jc w:val="left"/>
    </w:pPr>
    <w:rPr>
      <w:rFonts w:ascii="Times New Roman" w:hAnsi="Times New Roman" w:eastAsia="Calibri" w:cs="Times New Roman"/>
      <w:color w:val="auto"/>
      <w:kern w:val="0"/>
      <w:sz w:val="28"/>
      <w:szCs w:val="28"/>
      <w:lang w:val="ru-RU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rsid w:val="00cd3c18"/>
    <w:pPr>
      <w:spacing w:after="0" w:line="240" w:lineRule="auto"/>
    </w:pPr>
    <w:rPr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519032-6358-4DD2-B54B-B5B2F5EA0B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LibreOffice/24.8.5.2$Linux_X86_64 LibreOffice_project/480$Build-2</Application>
  <AppVersion>15.0000</AppVersion>
  <Pages>6</Pages>
  <Words>972</Words>
  <Characters>5928</Characters>
  <CharactersWithSpaces>6847</CharactersWithSpaces>
  <Paragraphs>128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2024-03-16T20:35:00Z</dcterms:created>
  <dc:creator>Деметрий</dc:creator>
  <dc:description/>
  <dc:language>en-US</dc:language>
  <cp:lastModifiedBy/>
  <dcterms:modified xsi:type="dcterms:W3CDTF">2025-03-17T12:57:07Z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