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rPr/>
      </w:pPr>
      <w:r>
        <w:drawing>
          <wp:anchor behindDoc="0" distT="0" distB="0" distL="114300" distR="114300" simplePos="0" locked="0" layoutInCell="0" allowOverlap="1" relativeHeight="4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176" y="0"/>
                <wp:lineTo x="-176" y="20822"/>
                <wp:lineTo x="21057" y="20822"/>
                <wp:lineTo x="21057" y="0"/>
                <wp:lineTo x="-176" y="0"/>
              </wp:wrapPolygon>
            </wp:wrapTight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МИНИСТЕРСТВО НАУКИ И ВЫСШЕГО ОБРАЗОВАНИЯ РФ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5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Институт </w:t>
        <w:tab/>
        <w:t>компьютерных наук</w:t>
      </w:r>
    </w:p>
    <w:p>
      <w:pPr>
        <w:pStyle w:val="Style15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Кафедра </w:t>
        <w:tab/>
        <w:t>автоматизированных систем управления</w:t>
      </w:r>
    </w:p>
    <w:p>
      <w:pPr>
        <w:pStyle w:val="Style15"/>
        <w:rPr/>
      </w:pPr>
      <w:r>
        <w:rPr/>
      </w:r>
    </w:p>
    <w:p>
      <w:pPr>
        <w:pStyle w:val="Style15"/>
        <w:rPr/>
      </w:pPr>
      <w:r>
        <w:rPr/>
      </w:r>
    </w:p>
    <w:p>
      <w:pPr>
        <w:pStyle w:val="Style15"/>
        <w:rPr/>
      </w:pPr>
      <w:r>
        <w:rPr/>
      </w:r>
    </w:p>
    <w:p>
      <w:pPr>
        <w:pStyle w:val="Style15"/>
        <w:jc w:val="left"/>
        <w:rPr/>
      </w:pPr>
      <w:r>
        <w:rPr/>
      </w:r>
    </w:p>
    <w:p>
      <w:pPr>
        <w:pStyle w:val="Style15"/>
        <w:rPr/>
      </w:pPr>
      <w:r>
        <w:rPr/>
        <w:t>ПРАКТИЧЕСКАЯ РАБОТА №</w:t>
      </w:r>
      <w:r>
        <w:rPr/>
        <w:t>8</w:t>
      </w:r>
    </w:p>
    <w:p>
      <w:pPr>
        <w:pStyle w:val="Style15"/>
        <w:rPr/>
      </w:pPr>
      <w:r>
        <w:rPr/>
        <w:t>по курсу «Экономико-правовые основы рынка программного обеспечения»</w:t>
      </w:r>
    </w:p>
    <w:p>
      <w:pPr>
        <w:pStyle w:val="Style15"/>
        <w:rPr/>
      </w:pPr>
      <w:r>
        <w:rPr/>
      </w:r>
    </w:p>
    <w:p>
      <w:pPr>
        <w:pStyle w:val="Style15"/>
        <w:rPr/>
      </w:pPr>
      <w:r>
        <w:rPr/>
      </w:r>
    </w:p>
    <w:p>
      <w:pPr>
        <w:pStyle w:val="Style15"/>
        <w:rPr/>
      </w:pPr>
      <w:r>
        <w:rPr/>
      </w:r>
    </w:p>
    <w:p>
      <w:pPr>
        <w:pStyle w:val="Style15"/>
        <w:rPr/>
      </w:pPr>
      <w:r>
        <w:rPr/>
      </w:r>
    </w:p>
    <w:p>
      <w:pPr>
        <w:pStyle w:val="Style15"/>
        <w:spacing w:lineRule="auto" w:line="276"/>
        <w:jc w:val="left"/>
        <w:rPr/>
      </w:pPr>
      <w:r>
        <w:rPr/>
        <w:tab/>
        <w:tab/>
      </w:r>
    </w:p>
    <w:p>
      <w:pPr>
        <w:pStyle w:val="Style17"/>
        <w:tabs>
          <w:tab w:val="left" w:pos="0" w:leader="none"/>
          <w:tab w:val="center" w:pos="1985" w:leader="none"/>
          <w:tab w:val="center" w:pos="4536" w:leader="none"/>
          <w:tab w:val="right" w:pos="9070" w:leader="none"/>
        </w:tabs>
        <w:spacing w:lineRule="auto" w:line="276"/>
        <w:rPr/>
      </w:pPr>
      <w:r>
        <w:rPr>
          <w:rStyle w:val="Style14"/>
        </w:rPr>
        <w:t xml:space="preserve">Студент </w:t>
      </w:r>
      <w:r>
        <w:rPr/>
        <w:t>АС-21-1</w:t>
        <w:tab/>
        <w:t>____________________</w:t>
        <w:tab/>
        <w:t>Станиславчук С.М.</w:t>
      </w:r>
    </w:p>
    <w:p>
      <w:pPr>
        <w:pStyle w:val="Style17"/>
        <w:spacing w:lineRule="auto" w:line="276"/>
        <w:rPr/>
      </w:pPr>
      <w:r>
        <w:rPr/>
        <w:tab/>
      </w:r>
      <w:r>
        <w:rPr>
          <w:sz w:val="18"/>
          <w:szCs w:val="18"/>
        </w:rPr>
        <w:t>(подпись, дата)</w:t>
        <w:tab/>
      </w:r>
    </w:p>
    <w:p>
      <w:pPr>
        <w:pStyle w:val="Style17"/>
        <w:spacing w:lineRule="auto" w:line="276"/>
        <w:rPr/>
      </w:pPr>
      <w:r>
        <w:rPr/>
        <w:tab/>
        <w:tab/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  <w:t>Руководитель</w:t>
      </w:r>
    </w:p>
    <w:p>
      <w:pPr>
        <w:pStyle w:val="Style17"/>
        <w:rPr/>
      </w:pPr>
      <w:r>
        <w:rPr/>
        <w:t>Профессор</w:t>
        <w:tab/>
        <w:t>____________________</w:t>
        <w:tab/>
        <w:t>Ведищев В. В.</w:t>
      </w:r>
    </w:p>
    <w:p>
      <w:pPr>
        <w:pStyle w:val="Style17"/>
        <w:rPr/>
      </w:pPr>
      <w:r>
        <w:rPr/>
        <w:tab/>
      </w:r>
      <w:r>
        <w:rPr>
          <w:sz w:val="18"/>
          <w:szCs w:val="18"/>
        </w:rPr>
        <w:t>(подпись, дата)</w:t>
      </w:r>
    </w:p>
    <w:p>
      <w:pPr>
        <w:pStyle w:val="Style15"/>
        <w:rPr/>
      </w:pPr>
      <w:r>
        <w:rPr/>
      </w:r>
    </w:p>
    <w:p>
      <w:pPr>
        <w:pStyle w:val="Style15"/>
        <w:rPr/>
      </w:pPr>
      <w:r>
        <w:rPr/>
      </w:r>
    </w:p>
    <w:p>
      <w:pPr>
        <w:pStyle w:val="Style15"/>
        <w:rPr/>
      </w:pPr>
      <w:r>
        <w:rPr/>
      </w:r>
    </w:p>
    <w:p>
      <w:pPr>
        <w:pStyle w:val="Style15"/>
        <w:jc w:val="left"/>
        <w:rPr/>
      </w:pPr>
      <w:r>
        <w:rPr/>
      </w:r>
    </w:p>
    <w:p>
      <w:pPr>
        <w:pStyle w:val="Style15"/>
        <w:spacing w:lineRule="auto" w:line="360" w:before="0" w:after="240"/>
        <w:jc w:val="center"/>
        <w:rPr>
          <w:szCs w:val="28"/>
        </w:rPr>
      </w:pPr>
      <w:r>
        <w:rPr>
          <w:bCs/>
          <w:szCs w:val="28"/>
          <w:lang w:eastAsia="ru-RU"/>
        </w:rPr>
        <w:t>Липецк 2025 г.</w:t>
      </w:r>
    </w:p>
    <w:p>
      <w:pPr>
        <w:pStyle w:val="Normal"/>
        <w:spacing w:lineRule="auto" w:line="360"/>
        <w:ind w:firstLine="708"/>
        <w:rPr>
          <w:szCs w:val="28"/>
        </w:rPr>
      </w:pPr>
      <w:r>
        <w:rPr>
          <w:szCs w:val="28"/>
        </w:rPr>
        <w:t>Задание 1.</w:t>
      </w:r>
    </w:p>
    <w:p>
      <w:pPr>
        <w:pStyle w:val="Normal"/>
        <w:spacing w:lineRule="auto" w:line="360"/>
        <w:ind w:firstLine="709"/>
        <w:jc w:val="both"/>
        <w:rPr>
          <w:szCs w:val="28"/>
        </w:rPr>
      </w:pPr>
      <w:r>
        <w:rPr>
          <w:szCs w:val="28"/>
        </w:rPr>
        <w:t>Фирма планирует инвестировать в разработку программного обеспечения 20 млн. руб. Необходимо сформировать годовую инвестиционную программу на основе индекса доход</w:t>
        <w:softHyphen/>
        <w:t>ности с учетом финансовых ограничений и определить потери NPV в связи с исключением из программы проектов, не реализуемых из-за отсутствия инве</w:t>
        <w:softHyphen/>
        <w:t>стиционных средств. Исходные данные представлены в таблице.</w:t>
      </w:r>
    </w:p>
    <w:p>
      <w:pPr>
        <w:pStyle w:val="Normal"/>
        <w:spacing w:lineRule="auto" w:line="360"/>
        <w:ind w:firstLine="708"/>
        <w:jc w:val="both"/>
        <w:rPr>
          <w:szCs w:val="28"/>
        </w:rPr>
      </w:pPr>
      <w:r>
        <w:rPr>
          <w:iCs/>
          <w:szCs w:val="28"/>
        </w:rPr>
        <w:t xml:space="preserve">Таблица 1 - </w:t>
      </w:r>
      <w:r>
        <w:rPr>
          <w:szCs w:val="28"/>
        </w:rPr>
        <w:t>Исходные данные по проектам, рассматриваемым для включения в инвестиционную программу</w:t>
      </w:r>
    </w:p>
    <w:tbl>
      <w:tblPr>
        <w:tblW w:w="8647" w:type="dxa"/>
        <w:jc w:val="center"/>
        <w:tblInd w:w="0" w:type="dxa"/>
        <w:tblLayout w:type="fixed"/>
        <w:tblCellMar>
          <w:top w:w="0" w:type="dxa"/>
          <w:left w:w="40" w:type="dxa"/>
          <w:bottom w:w="0" w:type="dxa"/>
          <w:right w:w="40" w:type="dxa"/>
        </w:tblCellMar>
        <w:tblLook w:val="0000" w:noHBand="0" w:noVBand="0" w:firstColumn="0" w:lastRow="0" w:lastColumn="0" w:firstRow="0"/>
      </w:tblPr>
      <w:tblGrid>
        <w:gridCol w:w="2694"/>
        <w:gridCol w:w="2975"/>
        <w:gridCol w:w="2978"/>
      </w:tblGrid>
      <w:tr>
        <w:trPr>
          <w:trHeight w:val="230" w:hRule="atLeast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firstLine="94"/>
              <w:jc w:val="center"/>
              <w:rPr>
                <w:szCs w:val="28"/>
              </w:rPr>
            </w:pPr>
            <w:r>
              <w:rPr>
                <w:szCs w:val="28"/>
              </w:rPr>
              <w:t>Проект</w:t>
            </w:r>
          </w:p>
        </w:tc>
        <w:tc>
          <w:tcPr>
            <w:tcW w:w="2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firstLine="94"/>
              <w:jc w:val="center"/>
              <w:rPr>
                <w:szCs w:val="28"/>
              </w:rPr>
            </w:pPr>
            <w:r>
              <w:rPr>
                <w:szCs w:val="28"/>
              </w:rPr>
              <w:t>NPV, млн руб.</w:t>
            </w:r>
          </w:p>
        </w:tc>
        <w:tc>
          <w:tcPr>
            <w:tcW w:w="2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firstLine="94"/>
              <w:jc w:val="center"/>
              <w:rPr>
                <w:szCs w:val="28"/>
              </w:rPr>
            </w:pPr>
            <w:r>
              <w:rPr>
                <w:szCs w:val="28"/>
              </w:rPr>
              <w:t>IС</w:t>
            </w:r>
            <w:r>
              <w:rPr>
                <w:szCs w:val="28"/>
                <w:vertAlign w:val="subscript"/>
              </w:rPr>
              <w:t>0</w:t>
            </w:r>
            <w:r>
              <w:rPr>
                <w:szCs w:val="28"/>
              </w:rPr>
              <w:t>, млн руб.</w:t>
            </w:r>
          </w:p>
        </w:tc>
      </w:tr>
      <w:tr>
        <w:trPr>
          <w:trHeight w:val="211" w:hRule="atLeast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firstLine="94"/>
              <w:jc w:val="center"/>
              <w:rPr>
                <w:szCs w:val="28"/>
              </w:rPr>
            </w:pPr>
            <w:r>
              <w:rPr>
                <w:szCs w:val="28"/>
              </w:rPr>
              <w:t>А</w:t>
            </w:r>
          </w:p>
        </w:tc>
        <w:tc>
          <w:tcPr>
            <w:tcW w:w="297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firstLine="94"/>
              <w:jc w:val="center"/>
              <w:rPr>
                <w:szCs w:val="28"/>
              </w:rPr>
            </w:pPr>
            <w:r>
              <w:rPr>
                <w:szCs w:val="28"/>
              </w:rPr>
              <w:t>1,28</w:t>
            </w:r>
          </w:p>
        </w:tc>
        <w:tc>
          <w:tcPr>
            <w:tcW w:w="297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firstLine="94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</w:tr>
      <w:tr>
        <w:trPr>
          <w:trHeight w:val="192" w:hRule="atLeast"/>
        </w:trPr>
        <w:tc>
          <w:tcPr>
            <w:tcW w:w="269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firstLine="94"/>
              <w:jc w:val="center"/>
              <w:rPr>
                <w:szCs w:val="28"/>
              </w:rPr>
            </w:pPr>
            <w:r>
              <w:rPr>
                <w:szCs w:val="28"/>
              </w:rPr>
              <w:t>Б</w:t>
            </w:r>
          </w:p>
        </w:tc>
        <w:tc>
          <w:tcPr>
            <w:tcW w:w="297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firstLine="94"/>
              <w:jc w:val="center"/>
              <w:rPr>
                <w:szCs w:val="28"/>
              </w:rPr>
            </w:pPr>
            <w:r>
              <w:rPr>
                <w:szCs w:val="28"/>
              </w:rPr>
              <w:t>3,56</w:t>
            </w:r>
          </w:p>
        </w:tc>
        <w:tc>
          <w:tcPr>
            <w:tcW w:w="297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firstLine="94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</w:tr>
      <w:tr>
        <w:trPr>
          <w:trHeight w:val="202" w:hRule="atLeast"/>
        </w:trPr>
        <w:tc>
          <w:tcPr>
            <w:tcW w:w="269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firstLine="94"/>
              <w:jc w:val="center"/>
              <w:rPr>
                <w:szCs w:val="28"/>
              </w:rPr>
            </w:pPr>
            <w:r>
              <w:rPr>
                <w:szCs w:val="28"/>
              </w:rPr>
              <w:t>В</w:t>
            </w:r>
          </w:p>
        </w:tc>
        <w:tc>
          <w:tcPr>
            <w:tcW w:w="297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firstLine="94"/>
              <w:jc w:val="center"/>
              <w:rPr>
                <w:szCs w:val="28"/>
              </w:rPr>
            </w:pPr>
            <w:r>
              <w:rPr>
                <w:szCs w:val="28"/>
              </w:rPr>
              <w:t>2,85</w:t>
            </w:r>
          </w:p>
        </w:tc>
        <w:tc>
          <w:tcPr>
            <w:tcW w:w="297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firstLine="94"/>
              <w:jc w:val="center"/>
              <w:rPr>
                <w:szCs w:val="28"/>
              </w:rPr>
            </w:pPr>
            <w:r>
              <w:rPr>
                <w:szCs w:val="28"/>
              </w:rPr>
              <w:t>7,5</w:t>
            </w:r>
          </w:p>
        </w:tc>
      </w:tr>
      <w:tr>
        <w:trPr>
          <w:trHeight w:val="211" w:hRule="atLeast"/>
        </w:trPr>
        <w:tc>
          <w:tcPr>
            <w:tcW w:w="269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firstLine="94"/>
              <w:jc w:val="center"/>
              <w:rPr>
                <w:szCs w:val="28"/>
              </w:rPr>
            </w:pPr>
            <w:r>
              <w:rPr>
                <w:szCs w:val="28"/>
              </w:rPr>
              <w:t>Г</w:t>
            </w:r>
          </w:p>
        </w:tc>
        <w:tc>
          <w:tcPr>
            <w:tcW w:w="297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firstLine="94"/>
              <w:jc w:val="center"/>
              <w:rPr>
                <w:szCs w:val="28"/>
              </w:rPr>
            </w:pPr>
            <w:r>
              <w:rPr>
                <w:szCs w:val="28"/>
              </w:rPr>
              <w:t>3,23</w:t>
            </w:r>
          </w:p>
        </w:tc>
        <w:tc>
          <w:tcPr>
            <w:tcW w:w="297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firstLine="94"/>
              <w:jc w:val="center"/>
              <w:rPr>
                <w:szCs w:val="28"/>
              </w:rPr>
            </w:pPr>
            <w:r>
              <w:rPr>
                <w:szCs w:val="28"/>
              </w:rPr>
              <w:t>8,2</w:t>
            </w:r>
          </w:p>
        </w:tc>
      </w:tr>
      <w:tr>
        <w:trPr>
          <w:trHeight w:val="221" w:hRule="atLeast"/>
        </w:trPr>
        <w:tc>
          <w:tcPr>
            <w:tcW w:w="269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firstLine="94"/>
              <w:jc w:val="center"/>
              <w:rPr>
                <w:szCs w:val="28"/>
              </w:rPr>
            </w:pPr>
            <w:r>
              <w:rPr>
                <w:szCs w:val="28"/>
              </w:rPr>
              <w:t>Д</w:t>
            </w:r>
          </w:p>
        </w:tc>
        <w:tc>
          <w:tcPr>
            <w:tcW w:w="29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firstLine="94"/>
              <w:jc w:val="center"/>
              <w:rPr>
                <w:szCs w:val="28"/>
              </w:rPr>
            </w:pPr>
            <w:r>
              <w:rPr>
                <w:szCs w:val="28"/>
              </w:rPr>
              <w:t>2,45</w:t>
            </w:r>
          </w:p>
        </w:tc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firstLine="94"/>
              <w:jc w:val="center"/>
              <w:rPr>
                <w:szCs w:val="28"/>
              </w:rPr>
            </w:pPr>
            <w:r>
              <w:rPr>
                <w:szCs w:val="28"/>
              </w:rPr>
              <w:t>7,1</w:t>
            </w:r>
          </w:p>
        </w:tc>
      </w:tr>
      <w:tr>
        <w:trPr>
          <w:trHeight w:val="230" w:hRule="atLeast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firstLine="94"/>
              <w:jc w:val="center"/>
              <w:rPr>
                <w:szCs w:val="28"/>
              </w:rPr>
            </w:pPr>
            <w:r>
              <w:rPr>
                <w:szCs w:val="28"/>
              </w:rPr>
              <w:t>Всего</w:t>
            </w:r>
          </w:p>
        </w:tc>
        <w:tc>
          <w:tcPr>
            <w:tcW w:w="2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firstLine="94"/>
              <w:jc w:val="center"/>
              <w:rPr>
                <w:szCs w:val="28"/>
              </w:rPr>
            </w:pPr>
            <w:r>
              <w:rPr>
                <w:szCs w:val="28"/>
              </w:rPr>
              <w:t>13,37</w:t>
            </w:r>
          </w:p>
        </w:tc>
        <w:tc>
          <w:tcPr>
            <w:tcW w:w="2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firstLine="94"/>
              <w:jc w:val="center"/>
              <w:rPr>
                <w:szCs w:val="28"/>
              </w:rPr>
            </w:pPr>
            <w:r>
              <w:rPr>
                <w:szCs w:val="28"/>
              </w:rPr>
              <w:t>37,8</w:t>
            </w:r>
          </w:p>
        </w:tc>
      </w:tr>
    </w:tbl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360"/>
        <w:ind w:firstLine="709"/>
        <w:jc w:val="both"/>
        <w:rPr>
          <w:szCs w:val="28"/>
        </w:rPr>
      </w:pPr>
      <w:r>
        <w:rPr>
          <w:szCs w:val="28"/>
        </w:rPr>
        <w:t>Рассчитаем I</w:t>
      </w:r>
      <w:r>
        <w:rPr>
          <w:szCs w:val="28"/>
          <w:vertAlign w:val="subscript"/>
        </w:rPr>
        <w:t xml:space="preserve">доходности </w:t>
      </w:r>
      <w:r>
        <w:rPr>
          <w:szCs w:val="28"/>
        </w:rPr>
        <w:t xml:space="preserve"> для каждого проекта и на его основе произведем отбор тех проектов, которые наиболее выгодны и соответствуют тем фин.ограничениям, которыми мы располагаем.</w:t>
      </w:r>
    </w:p>
    <w:p>
      <w:pPr>
        <w:pStyle w:val="Normal"/>
        <w:spacing w:lineRule="auto" w:line="360"/>
        <w:ind w:firstLine="709"/>
        <w:jc w:val="both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А: I</w:t>
      </w:r>
      <w:r>
        <w:rPr>
          <w:szCs w:val="28"/>
          <w:vertAlign w:val="subscript"/>
        </w:rPr>
        <w:t xml:space="preserve">доходности </w:t>
      </w:r>
      <w:r>
        <w:rPr>
          <w:szCs w:val="28"/>
        </w:rPr>
        <w:t>=7,28/6=1,21333.</w:t>
      </w:r>
    </w:p>
    <w:p>
      <w:pPr>
        <w:pStyle w:val="Normal"/>
        <w:spacing w:lineRule="auto" w:line="360"/>
        <w:ind w:firstLine="709"/>
        <w:jc w:val="both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Б: I</w:t>
      </w:r>
      <w:r>
        <w:rPr>
          <w:szCs w:val="28"/>
          <w:vertAlign w:val="subscript"/>
        </w:rPr>
        <w:t xml:space="preserve">доходности  </w:t>
      </w:r>
      <w:r>
        <w:rPr>
          <w:szCs w:val="28"/>
        </w:rPr>
        <w:t>=12,56/9=1,395555.</w:t>
      </w:r>
    </w:p>
    <w:p>
      <w:pPr>
        <w:pStyle w:val="Normal"/>
        <w:spacing w:lineRule="auto" w:line="360"/>
        <w:ind w:firstLine="709"/>
        <w:jc w:val="both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В: I</w:t>
      </w:r>
      <w:r>
        <w:rPr>
          <w:szCs w:val="28"/>
          <w:vertAlign w:val="subscript"/>
        </w:rPr>
        <w:t xml:space="preserve">доходности  </w:t>
      </w:r>
      <w:r>
        <w:rPr>
          <w:szCs w:val="28"/>
        </w:rPr>
        <w:t>=10,35/7,5=1,38.</w:t>
      </w:r>
    </w:p>
    <w:p>
      <w:pPr>
        <w:pStyle w:val="Normal"/>
        <w:spacing w:lineRule="auto" w:line="360"/>
        <w:ind w:firstLine="709"/>
        <w:jc w:val="both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>Г: I</w:t>
      </w:r>
      <w:r>
        <w:rPr>
          <w:szCs w:val="28"/>
          <w:vertAlign w:val="subscript"/>
        </w:rPr>
        <w:t xml:space="preserve">доходности  </w:t>
      </w:r>
      <w:r>
        <w:rPr>
          <w:szCs w:val="28"/>
        </w:rPr>
        <w:t>=11,43/8,2=1,3939.</w:t>
      </w:r>
    </w:p>
    <w:p>
      <w:pPr>
        <w:pStyle w:val="Normal"/>
        <w:spacing w:lineRule="auto" w:line="360"/>
        <w:ind w:firstLine="709"/>
        <w:jc w:val="both"/>
        <w:rPr>
          <w:szCs w:val="28"/>
        </w:rPr>
      </w:pPr>
      <w:r>
        <w:rPr>
          <w:szCs w:val="28"/>
          <w:vertAlign w:val="subscript"/>
        </w:rPr>
        <w:t xml:space="preserve">     </w:t>
      </w:r>
      <w:r>
        <w:rPr>
          <w:szCs w:val="28"/>
        </w:rPr>
        <w:t>Д: I</w:t>
      </w:r>
      <w:r>
        <w:rPr>
          <w:szCs w:val="28"/>
          <w:vertAlign w:val="subscript"/>
        </w:rPr>
        <w:t xml:space="preserve">доходности  </w:t>
      </w:r>
      <w:r>
        <w:rPr>
          <w:szCs w:val="28"/>
        </w:rPr>
        <w:t>=9,55/7,1=1,34507.</w:t>
      </w:r>
    </w:p>
    <w:p>
      <w:pPr>
        <w:pStyle w:val="Normal"/>
        <w:spacing w:lineRule="auto" w:line="360"/>
        <w:ind w:firstLine="709"/>
        <w:jc w:val="both"/>
        <w:rPr>
          <w:szCs w:val="28"/>
        </w:rPr>
      </w:pPr>
      <w:r>
        <w:rPr>
          <w:szCs w:val="28"/>
        </w:rPr>
        <w:t>С точки зрения данного критерия, самыми выгодными являются проекты Б и Г, также В. Но учитывая фин.ограничения, нам подходят только проекты Б и Г. их совокупный NPV=3,56+3,23=6,79, а потери NPV в связи с исключением из программы проектов, не реализуемых из-за отсутствия инвест.средств, составляют 1,28+2,85+2,45=6,58. Таким образом в годовую инвестиции программу должны войти проекты Б и Г.</w:t>
      </w:r>
    </w:p>
    <w:p>
      <w:pPr>
        <w:pStyle w:val="Normal"/>
        <w:spacing w:lineRule="auto" w:line="360"/>
        <w:ind w:firstLine="709"/>
        <w:jc w:val="both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360"/>
        <w:ind w:firstLine="709"/>
        <w:jc w:val="both"/>
        <w:rPr>
          <w:szCs w:val="28"/>
          <w:vertAlign w:val="subscript"/>
        </w:rPr>
      </w:pPr>
      <w:r>
        <w:rPr>
          <w:szCs w:val="28"/>
          <w:vertAlign w:val="subscript"/>
        </w:rPr>
      </w:r>
    </w:p>
    <w:p>
      <w:pPr>
        <w:pStyle w:val="Normal"/>
        <w:spacing w:lineRule="auto" w:line="360"/>
        <w:ind w:firstLine="709"/>
        <w:jc w:val="both"/>
        <w:rPr>
          <w:szCs w:val="28"/>
        </w:rPr>
      </w:pPr>
      <w:r>
        <w:rPr>
          <w:szCs w:val="28"/>
        </w:rPr>
        <w:t>Задание 2.</w:t>
      </w:r>
    </w:p>
    <w:p>
      <w:pPr>
        <w:pStyle w:val="Normal"/>
        <w:spacing w:lineRule="auto" w:line="360"/>
        <w:ind w:firstLine="709"/>
        <w:jc w:val="both"/>
        <w:rPr>
          <w:szCs w:val="28"/>
        </w:rPr>
      </w:pPr>
      <w:r>
        <w:rPr>
          <w:szCs w:val="28"/>
        </w:rPr>
        <w:t>Оценить стоимость товарного знака программного продукта, если себестоимость разработки товарного знака, получения охраны и затраты на рекламу и использование составляют 1400 тыс. руб., срок использования товарного знака с момента начала широкомасштабной рекламы с использованием товарного знака – 2 года, величина товарооборота – 3500 тыс. руб. в месяц.</w:t>
      </w:r>
    </w:p>
    <w:p>
      <w:pPr>
        <w:pStyle w:val="Normal"/>
        <w:spacing w:lineRule="auto" w:line="360"/>
        <w:ind w:firstLine="709"/>
        <w:jc w:val="both"/>
        <w:rPr>
          <w:szCs w:val="28"/>
        </w:rPr>
      </w:pPr>
      <w:r>
        <w:rPr>
          <w:szCs w:val="28"/>
        </w:rPr>
        <w:t>Решение:</w:t>
      </w:r>
    </w:p>
    <w:p>
      <w:pPr>
        <w:pStyle w:val="Normal"/>
        <w:spacing w:lineRule="auto" w:line="360"/>
        <w:ind w:firstLine="709"/>
        <w:jc w:val="center"/>
        <w:rPr>
          <w:i/>
          <w:i/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T</m:t>
          </m:r>
          <m:sSub>
            <m:e>
              <m:r>
                <w:rPr>
                  <w:rFonts w:ascii="Cambria Math" w:hAnsi="Cambria Math"/>
                </w:rPr>
                <m:t xml:space="preserve">C</m:t>
              </m:r>
            </m:e>
            <m:sub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з</m:t>
              </m:r>
            </m:sub>
          </m:sSub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K</m:t>
              </m:r>
            </m:e>
            <m:sub>
              <m:r>
                <w:rPr>
                  <w:rFonts w:ascii="Cambria Math" w:hAnsi="Cambria Math"/>
                </w:rPr>
                <m:t xml:space="preserve">хп</m:t>
              </m:r>
            </m:sub>
          </m:sSub>
          <m:r>
            <w:rPr>
              <w:rFonts w:ascii="Cambria Math" w:hAnsi="Cambria Math"/>
            </w:rPr>
            <m:t xml:space="preserve">∗</m:t>
          </m:r>
          <m:nary>
            <m:naryPr>
              <m:chr m:val="∑"/>
              <m:subHide m:val="1"/>
              <m:supHide m:val="1"/>
            </m:naryPr>
            <m:sub/>
            <m:sup/>
            <m:e>
              <m:r>
                <w:rPr>
                  <w:rFonts w:ascii="Cambria Math" w:hAnsi="Cambria Math"/>
                </w:rPr>
                <m:t xml:space="preserve">ЭВ</m:t>
              </m:r>
              <m:f>
                <m:fPr>
                  <m:type m:val="lin"/>
                </m:fPr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Д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∗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H</m:t>
                      </m:r>
                    </m:e>
                    <m:sub/>
                  </m:sSub>
                  <m:r>
                    <w:rPr>
                      <w:rFonts w:ascii="Cambria Math" w:hAnsi="Cambria Math"/>
                    </w:rPr>
                    <m:t xml:space="preserve">∗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  <m:r>
                        <w:rPr>
                          <w:rFonts w:ascii="Cambria Math" w:hAnsi="Cambria Math"/>
                        </w:rPr>
                        <m:t xml:space="preserve">+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∂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i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hAnsi="Cambria Math"/>
                </w:rPr>
                <m:t xml:space="preserve">i</m:t>
              </m:r>
            </m:e>
          </m:nary>
        </m:oMath>
      </m:oMathPara>
    </w:p>
    <w:p>
      <w:pPr>
        <w:pStyle w:val="Normal"/>
        <w:spacing w:lineRule="auto" w:line="360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>где ТСтз – текущая стоимость товарного знака;</w:t>
      </w:r>
    </w:p>
    <w:p>
      <w:pPr>
        <w:pStyle w:val="Normal"/>
        <w:spacing w:lineRule="auto" w:line="360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>Кхп – коэффициент, учитывающий дополнительную прибыль, связанную с применением товарного знака, и зависящий от характера производства продукции (оказания услуг), защищенной товарным знаком (значения этого коэффициента определяются по таблице 3);</w:t>
      </w:r>
    </w:p>
    <w:p>
      <w:pPr>
        <w:pStyle w:val="Normal"/>
        <w:spacing w:lineRule="auto" w:line="360"/>
        <w:ind w:firstLine="708"/>
        <w:rPr>
          <w:szCs w:val="28"/>
          <w:vertAlign w:val="subscript"/>
          <w:lang w:eastAsia="ru-RU"/>
        </w:rPr>
      </w:pPr>
      <w:r>
        <w:rPr>
          <w:szCs w:val="28"/>
          <w:lang w:eastAsia="ru-RU"/>
        </w:rPr>
        <w:t>Таблица 2 - Данные для определения коэффициента К</w:t>
      </w:r>
      <w:r>
        <w:rPr>
          <w:szCs w:val="28"/>
          <w:vertAlign w:val="subscript"/>
          <w:lang w:eastAsia="ru-RU"/>
        </w:rPr>
        <w:t>хп</w:t>
      </w:r>
    </w:p>
    <w:tbl>
      <w:tblPr>
        <w:tblStyle w:val="a4"/>
        <w:tblW w:w="90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30"/>
        <w:gridCol w:w="4529"/>
      </w:tblGrid>
      <w:tr>
        <w:trPr/>
        <w:tc>
          <w:tcPr>
            <w:tcW w:w="453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Cs w:val="28"/>
                <w:lang w:eastAsia="ru-RU"/>
              </w:rPr>
            </w:pPr>
            <w:r>
              <w:rPr>
                <w:kern w:val="0"/>
                <w:szCs w:val="28"/>
                <w:lang w:val="ru-RU" w:eastAsia="ru-RU" w:bidi="ar-SA"/>
              </w:rPr>
              <w:t>0,1</w:t>
            </w:r>
          </w:p>
        </w:tc>
        <w:tc>
          <w:tcPr>
            <w:tcW w:w="452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Cs w:val="28"/>
                <w:lang w:eastAsia="ru-RU"/>
              </w:rPr>
            </w:pPr>
            <w:r>
              <w:rPr>
                <w:kern w:val="0"/>
                <w:szCs w:val="28"/>
                <w:lang w:val="ru-RU" w:eastAsia="ru-RU" w:bidi="ar-SA"/>
              </w:rPr>
              <w:t>Индивидуальное производство</w:t>
            </w:r>
          </w:p>
        </w:tc>
      </w:tr>
      <w:tr>
        <w:trPr/>
        <w:tc>
          <w:tcPr>
            <w:tcW w:w="453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Cs w:val="28"/>
                <w:lang w:eastAsia="ru-RU"/>
              </w:rPr>
            </w:pPr>
            <w:r>
              <w:rPr>
                <w:kern w:val="0"/>
                <w:szCs w:val="28"/>
                <w:lang w:val="ru-RU" w:eastAsia="ru-RU" w:bidi="ar-SA"/>
              </w:rPr>
              <w:t>0,1-0,2</w:t>
            </w:r>
          </w:p>
        </w:tc>
        <w:tc>
          <w:tcPr>
            <w:tcW w:w="452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Cs w:val="28"/>
                <w:lang w:eastAsia="ru-RU"/>
              </w:rPr>
            </w:pPr>
            <w:r>
              <w:rPr>
                <w:kern w:val="0"/>
                <w:szCs w:val="28"/>
                <w:lang w:val="ru-RU" w:eastAsia="ru-RU" w:bidi="ar-SA"/>
              </w:rPr>
              <w:t>Мелкосерийное производство</w:t>
            </w:r>
          </w:p>
        </w:tc>
      </w:tr>
      <w:tr>
        <w:trPr/>
        <w:tc>
          <w:tcPr>
            <w:tcW w:w="453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Cs w:val="28"/>
                <w:lang w:eastAsia="ru-RU"/>
              </w:rPr>
            </w:pPr>
            <w:r>
              <w:rPr>
                <w:kern w:val="0"/>
                <w:szCs w:val="28"/>
                <w:lang w:val="ru-RU" w:eastAsia="ru-RU" w:bidi="ar-SA"/>
              </w:rPr>
              <w:t>0,2-0,3</w:t>
            </w:r>
          </w:p>
        </w:tc>
        <w:tc>
          <w:tcPr>
            <w:tcW w:w="452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Cs w:val="28"/>
                <w:lang w:eastAsia="ru-RU"/>
              </w:rPr>
            </w:pPr>
            <w:r>
              <w:rPr>
                <w:kern w:val="0"/>
                <w:szCs w:val="28"/>
                <w:lang w:val="ru-RU" w:eastAsia="ru-RU" w:bidi="ar-SA"/>
              </w:rPr>
              <w:t>Серийное производство</w:t>
            </w:r>
          </w:p>
        </w:tc>
      </w:tr>
      <w:tr>
        <w:trPr/>
        <w:tc>
          <w:tcPr>
            <w:tcW w:w="453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Cs w:val="28"/>
                <w:lang w:eastAsia="ru-RU"/>
              </w:rPr>
            </w:pPr>
            <w:r>
              <w:rPr>
                <w:kern w:val="0"/>
                <w:szCs w:val="28"/>
                <w:lang w:val="ru-RU" w:eastAsia="ru-RU" w:bidi="ar-SA"/>
              </w:rPr>
              <w:t>0,3-0,4</w:t>
            </w:r>
          </w:p>
        </w:tc>
        <w:tc>
          <w:tcPr>
            <w:tcW w:w="452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Cs w:val="28"/>
                <w:lang w:eastAsia="ru-RU"/>
              </w:rPr>
            </w:pPr>
            <w:r>
              <w:rPr>
                <w:kern w:val="0"/>
                <w:szCs w:val="28"/>
                <w:lang w:val="ru-RU" w:eastAsia="ru-RU" w:bidi="ar-SA"/>
              </w:rPr>
              <w:t>Крупносерийное производство</w:t>
            </w:r>
          </w:p>
        </w:tc>
      </w:tr>
      <w:tr>
        <w:trPr/>
        <w:tc>
          <w:tcPr>
            <w:tcW w:w="453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Cs w:val="28"/>
                <w:lang w:eastAsia="ru-RU"/>
              </w:rPr>
            </w:pPr>
            <w:r>
              <w:rPr>
                <w:kern w:val="0"/>
                <w:szCs w:val="28"/>
                <w:lang w:val="ru-RU" w:eastAsia="ru-RU" w:bidi="ar-SA"/>
              </w:rPr>
              <w:t>0,4-0,5</w:t>
            </w:r>
          </w:p>
        </w:tc>
        <w:tc>
          <w:tcPr>
            <w:tcW w:w="452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szCs w:val="28"/>
                <w:lang w:eastAsia="ru-RU"/>
              </w:rPr>
            </w:pPr>
            <w:r>
              <w:rPr>
                <w:kern w:val="0"/>
                <w:szCs w:val="28"/>
                <w:lang w:val="ru-RU" w:eastAsia="ru-RU" w:bidi="ar-SA"/>
              </w:rPr>
              <w:t>Массовое производство</w:t>
            </w:r>
          </w:p>
        </w:tc>
      </w:tr>
    </w:tbl>
    <w:p>
      <w:pPr>
        <w:pStyle w:val="Normal"/>
        <w:rPr>
          <w:szCs w:val="28"/>
          <w:lang w:eastAsia="ru-RU"/>
        </w:rPr>
      </w:pPr>
      <w:r>
        <w:rPr>
          <w:szCs w:val="28"/>
          <w:lang w:eastAsia="ru-RU"/>
        </w:rPr>
      </w:r>
    </w:p>
    <w:p>
      <w:pPr>
        <w:pStyle w:val="Normal"/>
        <w:spacing w:lineRule="auto" w:line="360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>i – код (индекс) года (i = 1, 2, 3... Т, где Т – планируемый срок выпуска продукции (оказания услуг), защищенной товарным знаком);</w:t>
      </w:r>
    </w:p>
    <w:p>
      <w:pPr>
        <w:pStyle w:val="Normal"/>
        <w:spacing w:lineRule="auto" w:line="360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>ЭВД</w:t>
      </w:r>
      <w:r>
        <w:rPr>
          <w:szCs w:val="28"/>
          <w:vertAlign w:val="subscript"/>
          <w:lang w:eastAsia="ru-RU"/>
        </w:rPr>
        <w:t>i</w:t>
      </w:r>
      <w:r>
        <w:rPr>
          <w:szCs w:val="28"/>
          <w:lang w:eastAsia="ru-RU"/>
        </w:rPr>
        <w:t> – эффективный валовой доход в i-м году, определяемый по формуле:</w:t>
      </w:r>
    </w:p>
    <w:p>
      <w:pPr>
        <w:pStyle w:val="Normal"/>
        <w:spacing w:lineRule="auto" w:line="360"/>
        <w:ind w:firstLine="709"/>
        <w:jc w:val="center"/>
        <w:rPr>
          <w:szCs w:val="28"/>
          <w:lang w:eastAsia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ЭВД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О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w:rPr>
              <w:rFonts w:ascii="Cambria Math" w:hAnsi="Cambria Math"/>
            </w:rPr>
            <m:t xml:space="preserve">∗</m:t>
          </m:r>
          <m:sSub>
            <m:e>
              <m:r>
                <w:rPr>
                  <w:rFonts w:ascii="Cambria Math" w:hAnsi="Cambria Math"/>
                </w:rPr>
                <m:t xml:space="preserve">Ц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Normal"/>
        <w:spacing w:lineRule="auto" w:line="360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>где О</w:t>
      </w:r>
      <w:r>
        <w:rPr>
          <w:szCs w:val="28"/>
          <w:vertAlign w:val="subscript"/>
          <w:lang w:eastAsia="ru-RU"/>
        </w:rPr>
        <w:t>i</w:t>
      </w:r>
      <w:r>
        <w:rPr>
          <w:szCs w:val="28"/>
          <w:lang w:eastAsia="ru-RU"/>
        </w:rPr>
        <w:t> – объем реализованной продукции (услуг) в i-м году; Ц</w:t>
      </w:r>
      <w:r>
        <w:rPr>
          <w:szCs w:val="28"/>
          <w:vertAlign w:val="subscript"/>
          <w:lang w:eastAsia="ru-RU"/>
        </w:rPr>
        <w:t>i</w:t>
      </w:r>
      <w:r>
        <w:rPr>
          <w:szCs w:val="28"/>
          <w:lang w:eastAsia="ru-RU"/>
        </w:rPr>
        <w:t> – вероятная цена единицы продукции (услуг) в i-м году;</w:t>
      </w:r>
    </w:p>
    <w:p>
      <w:pPr>
        <w:pStyle w:val="Normal"/>
        <w:spacing w:lineRule="auto" w:line="360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>Нп</w:t>
      </w:r>
      <w:r>
        <w:rPr>
          <w:szCs w:val="28"/>
          <w:vertAlign w:val="subscript"/>
          <w:lang w:eastAsia="ru-RU"/>
        </w:rPr>
        <w:t>i</w:t>
      </w:r>
      <w:r>
        <w:rPr>
          <w:szCs w:val="28"/>
          <w:lang w:eastAsia="ru-RU"/>
        </w:rPr>
        <w:t> – норма прибыли в i-м году (определяемая экспертным методом в зависимости от конъюнктуры рынка, характера производства и др.), обычно лежащая в интервале от 10 до 20% (в западной практике); Нп</w:t>
      </w:r>
      <w:r>
        <w:rPr>
          <w:szCs w:val="28"/>
          <w:vertAlign w:val="subscript"/>
          <w:lang w:eastAsia="ru-RU"/>
        </w:rPr>
        <w:t>i</w:t>
      </w:r>
      <w:r>
        <w:rPr>
          <w:szCs w:val="28"/>
          <w:lang w:eastAsia="ru-RU"/>
        </w:rPr>
        <w:t xml:space="preserve"> может быть const.;</w:t>
      </w:r>
    </w:p>
    <w:p>
      <w:pPr>
        <w:pStyle w:val="Normal"/>
        <w:spacing w:lineRule="auto" w:line="360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>Сд</w:t>
      </w:r>
      <w:r>
        <w:rPr>
          <w:szCs w:val="28"/>
          <w:vertAlign w:val="subscript"/>
          <w:lang w:eastAsia="ru-RU"/>
        </w:rPr>
        <w:t>i</w:t>
      </w:r>
      <w:r>
        <w:rPr>
          <w:szCs w:val="28"/>
          <w:lang w:eastAsia="ru-RU"/>
        </w:rPr>
        <w:t> – ставка дисконта в i-м году (Сд</w:t>
      </w:r>
      <w:r>
        <w:rPr>
          <w:szCs w:val="28"/>
          <w:vertAlign w:val="subscript"/>
          <w:lang w:eastAsia="ru-RU"/>
        </w:rPr>
        <w:t>i</w:t>
      </w:r>
      <w:r>
        <w:rPr>
          <w:szCs w:val="28"/>
          <w:lang w:eastAsia="ru-RU"/>
        </w:rPr>
        <w:t xml:space="preserve"> может быть const.).</w:t>
      </w:r>
    </w:p>
    <w:p>
      <w:pPr>
        <w:pStyle w:val="Normal"/>
        <w:spacing w:lineRule="auto" w:line="360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>Вместо произведения ЭВД</w:t>
      </w:r>
      <w:r>
        <w:rPr>
          <w:szCs w:val="28"/>
          <w:vertAlign w:val="subscript"/>
          <w:lang w:eastAsia="ru-RU"/>
        </w:rPr>
        <w:t>i</w:t>
      </w:r>
      <w:r>
        <w:rPr>
          <w:szCs w:val="28"/>
          <w:lang w:eastAsia="ru-RU"/>
        </w:rPr>
        <w:t xml:space="preserve"> * Нп</w:t>
      </w:r>
      <w:r>
        <w:rPr>
          <w:szCs w:val="28"/>
          <w:vertAlign w:val="subscript"/>
          <w:lang w:eastAsia="ru-RU"/>
        </w:rPr>
        <w:t>i</w:t>
      </w:r>
      <w:r>
        <w:rPr>
          <w:szCs w:val="28"/>
          <w:lang w:eastAsia="ru-RU"/>
        </w:rPr>
        <w:t xml:space="preserve"> может быть взята величина чистого дохода (ЧД), если по конкретным данным оцениваемого объекта легче получить информацию о ЧД, чем раздельную информацию об ЭВД и Нп. </w:t>
      </w:r>
    </w:p>
    <w:p>
      <w:pPr>
        <w:pStyle w:val="Normal"/>
        <w:spacing w:lineRule="auto" w:line="360"/>
        <w:ind w:firstLine="709"/>
        <w:jc w:val="both"/>
        <w:rPr>
          <w:szCs w:val="28"/>
        </w:rPr>
      </w:pPr>
      <w:r>
        <w:rPr>
          <w:szCs w:val="28"/>
        </w:rPr>
        <w:t>ТС</w:t>
      </w:r>
      <w:r>
        <w:rPr>
          <w:szCs w:val="28"/>
          <w:vertAlign w:val="subscript"/>
        </w:rPr>
        <w:t>тз</w:t>
      </w:r>
      <w:r>
        <w:rPr>
          <w:szCs w:val="28"/>
        </w:rPr>
        <w:t xml:space="preserve"> = 0,2 * 12 * 2 * 3500 – 1400 = 15 400 тыс.</w:t>
      </w:r>
    </w:p>
    <w:p>
      <w:pPr>
        <w:pStyle w:val="Normal"/>
        <w:spacing w:lineRule="auto" w:line="360"/>
        <w:ind w:firstLine="709"/>
        <w:jc w:val="both"/>
        <w:rPr>
          <w:szCs w:val="28"/>
        </w:rPr>
      </w:pPr>
      <w:r>
        <w:rPr>
          <w:szCs w:val="28"/>
        </w:rPr>
        <w:t>Ответ: 15 400 тыс.</w:t>
      </w:r>
    </w:p>
    <w:p>
      <w:pPr>
        <w:pStyle w:val="Normal"/>
        <w:spacing w:lineRule="auto" w:line="360"/>
        <w:ind w:firstLine="709"/>
        <w:jc w:val="both"/>
        <w:rPr>
          <w:szCs w:val="28"/>
        </w:rPr>
      </w:pPr>
      <w:r>
        <w:rPr>
          <w:szCs w:val="28"/>
        </w:rPr>
        <w:t xml:space="preserve">Задание 3. </w:t>
      </w:r>
    </w:p>
    <w:p>
      <w:pPr>
        <w:pStyle w:val="Normal"/>
        <w:spacing w:lineRule="auto" w:line="360"/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>Фирма может передать все права на программное обеспечение собственной разработки за сумму 400 тыс. руб. и вложить вырученные деньги в банк под 15% годовых на условиях сложного процента. Ежегодный доход от продажи фирмой копий этого ПО составляет в среднем 120 тыс. руб. Требуется выбрать наиболее доходный способ вложения капитала на 5 лет.</w:t>
      </w:r>
    </w:p>
    <w:p>
      <w:pPr>
        <w:pStyle w:val="Normal"/>
        <w:spacing w:lineRule="auto" w:line="360"/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>Решение: Необходимо определить, какую сумму мы будем иметь в 1-м и 2-м случаях через 5 лет.</w:t>
      </w:r>
    </w:p>
    <w:p>
      <w:pPr>
        <w:pStyle w:val="Normal"/>
        <w:spacing w:lineRule="auto" w:line="360"/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а) Прямой метод или метод наращивания: </w:t>
      </w:r>
    </w:p>
    <w:p>
      <w:pPr>
        <w:pStyle w:val="Normal"/>
        <w:spacing w:lineRule="auto" w:line="360"/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>Продаем права: F=P(1+r)</w:t>
      </w:r>
      <w:r>
        <w:rPr>
          <w:color w:val="000000"/>
          <w:szCs w:val="28"/>
          <w:vertAlign w:val="superscript"/>
        </w:rPr>
        <w:t>n</w:t>
      </w:r>
      <w:r>
        <w:rPr>
          <w:color w:val="000000"/>
          <w:szCs w:val="28"/>
        </w:rPr>
        <w:t>. (F-буд.стоимость,  P-нач.вклад, r-процентная ставка, n-кол-во лет). F=400000*(1+0.15)</w:t>
      </w:r>
      <w:r>
        <w:rPr>
          <w:color w:val="000000"/>
          <w:szCs w:val="28"/>
          <w:vertAlign w:val="superscript"/>
        </w:rPr>
        <w:t>5</w:t>
      </w:r>
      <w:r>
        <w:rPr>
          <w:color w:val="000000"/>
          <w:szCs w:val="28"/>
        </w:rPr>
        <w:t>=804542,875 р.</w:t>
      </w:r>
    </w:p>
    <w:p>
      <w:pPr>
        <w:pStyle w:val="Normal"/>
        <w:spacing w:lineRule="auto" w:line="360"/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>Продаем диски: F=120000*5=600000 р. Выгодней первый вариант.</w:t>
      </w:r>
    </w:p>
    <w:p>
      <w:pPr>
        <w:pStyle w:val="Normal"/>
        <w:spacing w:lineRule="auto" w:line="360"/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>в) Обратный метод (дисконтирование):</w:t>
      </w:r>
    </w:p>
    <w:p>
      <w:pPr>
        <w:pStyle w:val="Normal"/>
        <w:spacing w:lineRule="auto" w:line="360"/>
        <w:ind w:firstLine="709"/>
        <w:jc w:val="both"/>
        <w:rPr>
          <w:szCs w:val="28"/>
        </w:rPr>
      </w:pPr>
      <w:r>
        <w:rPr>
          <w:color w:val="000000"/>
          <w:szCs w:val="28"/>
        </w:rPr>
        <w:t>Будем сравнивать выгоды с позиции наст. времени. При продаже прав имеем 400000 р. Во втором случае денежный поток за 5 лет приводим к настоящему времени через ставку дисконтирования: P=(120000*5)/(1+0.15)</w:t>
      </w:r>
      <w:r>
        <w:rPr>
          <w:color w:val="000000"/>
          <w:szCs w:val="28"/>
          <w:vertAlign w:val="superscript"/>
        </w:rPr>
        <w:t>5</w:t>
      </w:r>
      <w:r>
        <w:rPr>
          <w:color w:val="000000"/>
          <w:szCs w:val="28"/>
        </w:rPr>
        <w:t>=298306.04. Опять видим, что выгоднее продать права и вложить деньги в банк.</w:t>
      </w:r>
    </w:p>
    <w:p>
      <w:pPr>
        <w:pStyle w:val="Normal"/>
        <w:spacing w:lineRule="auto" w:line="360"/>
        <w:ind w:firstLine="709"/>
        <w:jc w:val="both"/>
        <w:rPr/>
      </w:pPr>
      <w:r>
        <w:rPr/>
      </w:r>
    </w:p>
    <w:sectPr>
      <w:type w:val="nextPage"/>
      <w:pgSz w:w="11906" w:h="16838"/>
      <w:pgMar w:left="1418" w:right="1418" w:gutter="0" w:header="0" w:top="1134" w:footer="0" w:bottom="1134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c4a3e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4"/>
      <w:lang w:eastAsia="ar-SA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6c4a3e"/>
    <w:rPr>
      <w:color w:val="808080"/>
    </w:rPr>
  </w:style>
  <w:style w:type="character" w:styleId="Style14">
    <w:name w:val="Титульник. Основной текст [ВУЗ] Знак"/>
    <w:basedOn w:val="DefaultParagraphFont"/>
    <w:qFormat/>
    <w:rPr>
      <w:rFonts w:ascii="Times New Roman" w:hAnsi="Times New Roman" w:cs="Times New Roman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Noto Sans Devanagari"/>
      <w:sz w:val="24"/>
    </w:rPr>
  </w:style>
  <w:style w:type="paragraph" w:styleId="Style15">
    <w:name w:val="Титульник. По центру [ВУЗ]"/>
    <w:qFormat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overflowPunct w:val="false"/>
      <w:bidi w:val="0"/>
      <w:spacing w:lineRule="auto" w:line="360" w:before="0" w:after="0"/>
      <w:jc w:val="center"/>
    </w:pPr>
    <w:rPr>
      <w:rFonts w:ascii="Times New Roman" w:hAnsi="Times New Roman" w:eastAsia="Calibri" w:cs="Times New Roman"/>
      <w:color w:val="auto"/>
      <w:kern w:val="0"/>
      <w:sz w:val="28"/>
      <w:szCs w:val="28"/>
      <w:lang w:val="ru-RU" w:eastAsia="en-US" w:bidi="ar-SA"/>
    </w:rPr>
  </w:style>
  <w:style w:type="paragraph" w:styleId="Style16">
    <w:name w:val="Титульник. Шапка [ВУЗ]"/>
    <w:basedOn w:val="Style15"/>
    <w:qFormat/>
    <w:pPr>
      <w:spacing w:lineRule="auto" w:line="240"/>
    </w:pPr>
    <w:rPr>
      <w:b/>
    </w:rPr>
  </w:style>
  <w:style w:type="paragraph" w:styleId="Style17">
    <w:name w:val="Титульник. Основной текст [ВУЗ]"/>
    <w:qFormat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overflowPunct w:val="false"/>
      <w:bidi w:val="0"/>
      <w:spacing w:lineRule="auto" w:line="360" w:before="0" w:after="0"/>
      <w:jc w:val="left"/>
    </w:pPr>
    <w:rPr>
      <w:rFonts w:ascii="Times New Roman" w:hAnsi="Times New Roman" w:eastAsia="Calibri" w:cs="Times New Roman"/>
      <w:color w:val="auto"/>
      <w:kern w:val="0"/>
      <w:sz w:val="28"/>
      <w:szCs w:val="28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6c4a3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LibreOffice/24.8.5.2$Linux_X86_64 LibreOffice_project/480$Build-2</Application>
  <AppVersion>15.0000</AppVersion>
  <Pages>4</Pages>
  <Words>614</Words>
  <Characters>3917</Characters>
  <CharactersWithSpaces>4507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2024-03-16T20:42:00Z</dcterms:created>
  <dc:creator>Деметрий</dc:creator>
  <dc:description/>
  <dc:language>en-US</dc:language>
  <cp:lastModifiedBy/>
  <dcterms:modified xsi:type="dcterms:W3CDTF">2025-03-17T12:57:24Z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