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.jpeg" ContentType="image/jpeg"/>
  <Override PartName="/word/media/image10.png" ContentType="image/png"/>
  <Override PartName="/word/media/image6.png" ContentType="image/png"/>
  <Override PartName="/word/media/image15.png" ContentType="image/png"/>
  <Override PartName="/word/media/image14.png" ContentType="image/png"/>
  <Override PartName="/word/media/image5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24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114300" distR="114300" simplePos="0" locked="0" layoutInCell="0" allowOverlap="1" relativeHeight="15">
            <wp:simplePos x="0" y="0"/>
            <wp:positionH relativeFrom="column">
              <wp:posOffset>-255905</wp:posOffset>
            </wp:positionH>
            <wp:positionV relativeFrom="paragraph">
              <wp:posOffset>6985</wp:posOffset>
            </wp:positionV>
            <wp:extent cx="741045" cy="946150"/>
            <wp:effectExtent l="0" t="0" r="0" b="0"/>
            <wp:wrapSquare wrapText="bothSides"/>
            <wp:docPr id="1" name="Picture 4" descr="Изображение выглядит как Шрифт, текст, логотип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Изображение выглядит как Шрифт, текст, логотип, Графи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34260" b="31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45" cy="946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МИНИСТЕРСТВО НАУКИ И ВЫСШЕГО ОБРАЗОВАНИЯ РФ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ФЕДЕРАЛЬНОЕ ГОСУДАРСТВЕННОЕ БЮДЖЕТНОЕ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ОБРАЗОВАТЕЛЬНОЕ УЧРЕЖДЕНИЕ ВЫСШЕГО ОБРАЗОВАНИЯ «ЛИПЕЦКИЙ ГОСУДАРСТВЕННЫЙ ТЕХНИЧЕСКИЙ УНИВЕРСИТЕТ» </w:t>
      </w:r>
      <w:bookmarkStart w:id="0" w:name="_Hlk146459078"/>
      <w:bookmarkEnd w:id="0"/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Институт компьютерных наук</w:t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</w:rPr>
        <w:t xml:space="preserve">Кафедра 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электропривода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360"/>
        <w:ind w:right="-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КУРСОВАЯ РАБОТА</w:t>
      </w:r>
    </w:p>
    <w:p>
      <w:pPr>
        <w:pStyle w:val="Normal"/>
        <w:spacing w:lineRule="auto" w:line="360"/>
        <w:ind w:right="-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курсу «</w:t>
      </w:r>
      <w:r>
        <w:rPr>
          <w:sz w:val="28"/>
          <w:szCs w:val="28"/>
        </w:rPr>
        <w:t>Программирование систем промышленной автоматизации</w:t>
      </w:r>
      <w:r>
        <w:rPr>
          <w:rFonts w:cs="Times New Roman" w:ascii="Times New Roman" w:hAnsi="Times New Roman"/>
          <w:sz w:val="28"/>
          <w:szCs w:val="28"/>
        </w:rPr>
        <w:t>»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Проектирование системы технического объекта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Студент</w:t>
        <w:tab/>
        <w:tab/>
        <w:t xml:space="preserve">                  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                                       </w:t>
      </w:r>
      <w:r>
        <w:rPr>
          <w:rFonts w:cs="Times New Roman" w:ascii="Times New Roman" w:hAnsi="Times New Roman"/>
          <w:bCs/>
          <w:sz w:val="28"/>
          <w:szCs w:val="28"/>
          <w:lang w:eastAsia="ru-RU"/>
        </w:rPr>
        <w:t xml:space="preserve">        Станиславчук С.М.</w:t>
        <w:tab/>
      </w:r>
    </w:p>
    <w:p>
      <w:pPr>
        <w:pStyle w:val="Normal"/>
        <w:ind w:left="3540"/>
        <w:jc w:val="both"/>
        <w:rPr>
          <w:rFonts w:ascii="Times New Roman" w:hAnsi="Times New Roman" w:cs="Times New Roman"/>
          <w:bCs/>
          <w:lang w:eastAsia="ru-RU"/>
        </w:rPr>
      </w:pPr>
      <w:r>
        <w:rPr>
          <w:rFonts w:cs="Times New Roman" w:ascii="Times New Roman" w:hAnsi="Times New Roman"/>
          <w:bCs/>
          <w:lang w:eastAsia="ru-RU"/>
        </w:rPr>
        <w:t xml:space="preserve">       </w:t>
      </w:r>
      <w:r>
        <w:rPr>
          <w:rFonts w:cs="Times New Roman" w:ascii="Times New Roman" w:hAnsi="Times New Roman"/>
          <w:bCs/>
          <w:lang w:eastAsia="ru-RU"/>
        </w:rPr>
        <w:t>подпись, ФИО</w:t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Группа</w:t>
        <w:tab/>
        <w:t>АС-21</w:t>
        <w:tab/>
        <w:tab/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 xml:space="preserve">Руководитель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 xml:space="preserve">Доцент, к.т.н.                         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                                         </w:t>
      </w:r>
      <w:r>
        <w:rPr>
          <w:rFonts w:cs="Times New Roman" w:ascii="Times New Roman" w:hAnsi="Times New Roman"/>
          <w:bCs/>
          <w:sz w:val="28"/>
          <w:szCs w:val="28"/>
          <w:lang w:eastAsia="ru-RU"/>
        </w:rPr>
        <w:t xml:space="preserve">              </w:t>
      </w:r>
      <w:r>
        <w:rPr>
          <w:sz w:val="28"/>
          <w:szCs w:val="28"/>
        </w:rPr>
        <w:t>Музылёва И.В.</w:t>
      </w:r>
    </w:p>
    <w:p>
      <w:pPr>
        <w:pStyle w:val="Normal"/>
        <w:ind w:firstLine="571" w:left="3540"/>
        <w:jc w:val="both"/>
        <w:rPr>
          <w:rFonts w:ascii="Times New Roman" w:hAnsi="Times New Roman" w:cs="Times New Roman"/>
          <w:bCs/>
          <w:lang w:eastAsia="ru-RU"/>
        </w:rPr>
      </w:pPr>
      <w:r>
        <w:rPr>
          <w:rFonts w:cs="Times New Roman" w:ascii="Times New Roman" w:hAnsi="Times New Roman"/>
          <w:bCs/>
          <w:lang w:eastAsia="ru-RU"/>
        </w:rPr>
        <w:t>подпись, ФИО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Липецк 2025 г.</w:t>
      </w:r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SimSun" w:cs="Mangal"/>
          <w:bCs/>
          <w:sz w:val="28"/>
          <w:szCs w:val="28"/>
        </w:rPr>
      </w:pPr>
      <w:r>
        <w:rPr>
          <w:rFonts w:eastAsia="SimSun" w:cs="Mangal" w:ascii="Times New Roman" w:hAnsi="Times New Roman"/>
          <w:bCs/>
          <w:sz w:val="28"/>
          <w:szCs w:val="28"/>
        </w:rPr>
        <w:t>Задание кафедры:</w:t>
      </w:r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SimSun" w:cs="Times New Roman"/>
          <w:sz w:val="28"/>
          <w:szCs w:val="28"/>
        </w:rPr>
      </w:pPr>
      <w:r>
        <w:rPr>
          <w:rFonts w:eastAsia="SimSun" w:cs="Times New Roman" w:ascii="Times New Roman" w:hAnsi="Times New Roman"/>
          <w:sz w:val="28"/>
          <w:szCs w:val="28"/>
        </w:rPr>
        <w:t xml:space="preserve">Разработать систему автоматизированного регулирования трафика дорожного движения. </w:t>
      </w:r>
    </w:p>
    <w:p>
      <w:pPr>
        <w:pStyle w:val="ListParagraph"/>
        <w:widowControl w:val="false"/>
        <w:numPr>
          <w:ilvl w:val="0"/>
          <w:numId w:val="1"/>
        </w:numPr>
        <w:spacing w:lineRule="auto" w:line="360"/>
        <w:ind w:firstLine="709" w:left="0"/>
        <w:rPr>
          <w:rFonts w:eastAsia="SimSun" w:cs="Times New Roman"/>
          <w:bCs/>
          <w:szCs w:val="28"/>
        </w:rPr>
      </w:pPr>
      <w:r>
        <w:rPr>
          <w:rFonts w:eastAsia="SimSun" w:cs="Times New Roman"/>
          <w:szCs w:val="28"/>
        </w:rPr>
        <w:t xml:space="preserve">Сделать описание объекта автоматизации в текстовой и графической форме. </w:t>
      </w:r>
    </w:p>
    <w:p>
      <w:pPr>
        <w:pStyle w:val="ListParagraph"/>
        <w:widowControl w:val="false"/>
        <w:numPr>
          <w:ilvl w:val="0"/>
          <w:numId w:val="1"/>
        </w:numPr>
        <w:spacing w:lineRule="auto" w:line="360"/>
        <w:ind w:firstLine="709" w:left="0"/>
        <w:rPr>
          <w:rFonts w:eastAsia="SimSun" w:cs="Times New Roman"/>
          <w:bCs/>
          <w:szCs w:val="28"/>
        </w:rPr>
      </w:pPr>
      <w:r>
        <w:rPr>
          <w:rFonts w:eastAsia="SimSun" w:cs="Times New Roman"/>
          <w:szCs w:val="28"/>
        </w:rPr>
        <w:t xml:space="preserve">Определить количество и тип датчиков и исполнительных механизмов. Составить таблицу входных и выходных сигналов с указанием их типа (битовый или многоразрядный). </w:t>
      </w:r>
    </w:p>
    <w:p>
      <w:pPr>
        <w:pStyle w:val="ListParagraph"/>
        <w:numPr>
          <w:ilvl w:val="0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Выбрать аппаратную часть на основе ПЛК S7-200 и S7-300/400. 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cs="Times New Roman"/>
          <w:szCs w:val="28"/>
        </w:rPr>
      </w:pPr>
      <w:r>
        <w:rPr>
          <w:rFonts w:cs="Times New Roman"/>
          <w:szCs w:val="28"/>
        </w:rPr>
        <w:t>Для обоих вариантов аппаратной части. Составить таблицу входных и выходных сигналов с указанием соответствующих адресов.</w:t>
      </w:r>
    </w:p>
    <w:p>
      <w:pPr>
        <w:pStyle w:val="Style21"/>
        <w:numPr>
          <w:ilvl w:val="0"/>
          <w:numId w:val="1"/>
        </w:numPr>
        <w:rPr/>
      </w:pPr>
      <w:r>
        <w:rPr/>
        <w:t xml:space="preserve">Составить блок-схему алгоритма работы системы. </w:t>
      </w:r>
    </w:p>
    <w:p>
      <w:pPr>
        <w:pStyle w:val="Style21"/>
        <w:numPr>
          <w:ilvl w:val="0"/>
          <w:numId w:val="1"/>
        </w:numPr>
        <w:rPr/>
      </w:pPr>
      <w:r>
        <w:rPr/>
        <w:t>Написать программу автоматизации.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SimSun" w:cs="Mangal"/>
          <w:bCs/>
          <w:sz w:val="28"/>
          <w:szCs w:val="28"/>
        </w:rPr>
      </w:pPr>
      <w:r>
        <w:rPr>
          <w:rFonts w:eastAsia="SimSun" w:cs="Mangal" w:ascii="Times New Roman" w:hAnsi="Times New Roman"/>
          <w:bCs/>
          <w:sz w:val="28"/>
          <w:szCs w:val="28"/>
        </w:rPr>
        <w:t>Аннотация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SimSun" w:cs="Mangal"/>
          <w:bCs/>
          <w:sz w:val="28"/>
          <w:szCs w:val="28"/>
        </w:rPr>
      </w:pPr>
      <w:r>
        <w:rPr>
          <w:rFonts w:eastAsia="SimSun" w:cs="Mangal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SimSun" w:cs="Mangal"/>
          <w:bCs/>
          <w:sz w:val="28"/>
          <w:szCs w:val="28"/>
        </w:rPr>
      </w:pPr>
      <w:r>
        <w:rPr>
          <w:rFonts w:eastAsia="SimSun" w:cs="Mangal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SimSun" w:cs="Mangal"/>
          <w:bCs/>
          <w:sz w:val="28"/>
          <w:szCs w:val="28"/>
        </w:rPr>
      </w:pPr>
      <w:r>
        <w:rPr>
          <w:rFonts w:eastAsia="SimSun" w:cs="Mangal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SimSun" w:cs="Mangal"/>
          <w:bCs/>
          <w:sz w:val="28"/>
          <w:szCs w:val="28"/>
        </w:rPr>
      </w:pPr>
      <w:r>
        <w:rPr>
          <w:rFonts w:eastAsia="SimSun" w:cs="Mangal" w:ascii="Times New Roman" w:hAnsi="Times New Roman"/>
          <w:bCs/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cs="Times New Roman" w:ascii="Times New Roman" w:hAnsi="Times New Roman"/>
              <w:color w:val="auto"/>
              <w:sz w:val="28"/>
              <w:szCs w:val="28"/>
            </w:rPr>
            <w:t>Оглавление</w:t>
          </w:r>
        </w:p>
        <w:p>
          <w:pPr>
            <w:pStyle w:val="TOC1"/>
            <w:tabs>
              <w:tab w:val="clear" w:pos="708"/>
              <w:tab w:val="right" w:pos="9060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r>
            <w:fldChar w:fldCharType="begin"/>
          </w:r>
          <w:r>
            <w:rPr>
              <w:webHidden/>
              <w:rStyle w:val="IndexLink"/>
              <w:sz w:val="28"/>
              <w:szCs w:val="28"/>
              <w:vanish w:val="false"/>
            </w:rPr>
            <w:instrText xml:space="preserve"> TOC \z \o "1-3" \u \h</w:instrText>
          </w:r>
          <w:r>
            <w:rPr>
              <w:webHidden/>
              <w:rStyle w:val="IndexLink"/>
              <w:sz w:val="28"/>
              <w:szCs w:val="28"/>
              <w:vanish w:val="false"/>
            </w:rPr>
            <w:fldChar w:fldCharType="separate"/>
          </w:r>
          <w:hyperlink w:anchor="_Toc160888805">
            <w:r>
              <w:rPr>
                <w:webHidden/>
                <w:rStyle w:val="IndexLink"/>
                <w:vanish w:val="false"/>
                <w:sz w:val="28"/>
                <w:szCs w:val="28"/>
              </w:rPr>
              <w:t>Введение: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_Toc160888805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9060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16088880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_Toc160888806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660" w:leader="none"/>
              <w:tab w:val="right" w:pos="9060" w:leader="dot"/>
            </w:tabs>
            <w:ind w:left="0"/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160888807">
            <w:r>
              <w:rPr>
                <w:webHidden/>
                <w:rStyle w:val="IndexLink"/>
                <w:rFonts w:ascii="Times New Roman" w:hAnsi="Times New Roman"/>
                <w:vanish w:val="false"/>
                <w:sz w:val="28"/>
                <w:szCs w:val="28"/>
              </w:rPr>
              <w:t>2Спецификации входных и выходных сигналов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_Toc160888807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0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16088880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_Toc160888808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0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16088880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_Toc160888809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0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16088881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_Toc160888810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0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16088881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_Toc160888811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0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16088881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_Toc160888812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0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160888813">
            <w:r>
              <w:rPr>
                <w:webHidden/>
                <w:rStyle w:val="IndexLink"/>
                <w:vanish w:val="false"/>
                <w:sz w:val="28"/>
                <w:szCs w:val="28"/>
              </w:rPr>
              <w:t xml:space="preserve">8 Программа автоматизации для ПЛК </w:t>
            </w:r>
            <w:r>
              <w:rPr>
                <w:rStyle w:val="IndexLink"/>
                <w:sz w:val="28"/>
                <w:szCs w:val="28"/>
                <w:lang w:val="en-US"/>
              </w:rPr>
              <w:t>S</w:t>
            </w:r>
            <w:r>
              <w:rPr>
                <w:rStyle w:val="IndexLink"/>
                <w:sz w:val="28"/>
                <w:szCs w:val="28"/>
              </w:rPr>
              <w:t>7-200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_Toc160888813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0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16088881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_Toc160888814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0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16088881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_Toc160888815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0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16088881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_Toc160888816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0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16088881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_Toc160888817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0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16088881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_Toc160888818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0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16088881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_Toc160888819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0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16088882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_Toc160888820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0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16088882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_Toc160888821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19"/>
        <w:ind w:hanging="0"/>
        <w:rPr/>
      </w:pPr>
      <w:r>
        <w:rPr/>
      </w:r>
    </w:p>
    <w:p>
      <w:pPr>
        <w:pStyle w:val="Style19"/>
        <w:rPr>
          <w:rFonts w:cs="Lohit Devanagari"/>
          <w:bCs/>
          <w:color w:val="000000"/>
          <w:szCs w:val="28"/>
        </w:rPr>
      </w:pPr>
      <w:bookmarkStart w:id="1" w:name="_Toc160888805"/>
      <w:bookmarkStart w:id="2" w:name="_Toc100705446"/>
      <w:r>
        <w:rPr/>
        <w:t>Введение</w:t>
      </w:r>
      <w:bookmarkEnd w:id="2"/>
      <w:r>
        <w:rPr/>
        <w:t>:</w:t>
      </w:r>
      <w:bookmarkEnd w:id="1"/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SimSun" w:cs="Mangal"/>
          <w:sz w:val="28"/>
        </w:rPr>
      </w:pPr>
      <w:r>
        <w:rPr>
          <w:rFonts w:eastAsia="SimSun" w:cs="Mangal" w:ascii="Times New Roman" w:hAnsi="Times New Roman"/>
          <w:sz w:val="28"/>
        </w:rPr>
        <w:t>В настоящее время автоматизация производственных процессов является одним из основных направлений, по которому в настоящее время идет развитие производства во всем мире.</w:t>
      </w:r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SimSun" w:cs="Mangal"/>
          <w:sz w:val="28"/>
        </w:rPr>
      </w:pPr>
      <w:r>
        <w:rPr>
          <w:rFonts w:eastAsia="SimSun" w:cs="Mangal" w:ascii="Times New Roman" w:hAnsi="Times New Roman"/>
          <w:sz w:val="28"/>
        </w:rPr>
        <w:t>Автоматизация технологических процессов создаётся с помощью АСУТП. Система автоматизированного управления технологическими процессами (АСТУТП) – это комплекс программных и технических средств, предназначенных для автоматизации управления технологическим оборудованием.</w:t>
      </w:r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SimSun" w:cs="Mangal"/>
          <w:sz w:val="28"/>
        </w:rPr>
      </w:pPr>
      <w:r>
        <w:rPr>
          <w:rFonts w:eastAsia="SimSun" w:cs="Mangal" w:ascii="Times New Roman" w:hAnsi="Times New Roman"/>
          <w:sz w:val="28"/>
        </w:rPr>
        <w:t>Для реализации автоматизированной системы можно использовать программируемый логический контроллер (ПЛК). Контроллеры выполняют функции управления технологическими процессами в рамках заданного алгоритма в реальном масштабе времени.</w:t>
      </w:r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SimSun" w:cs="Mangal"/>
          <w:sz w:val="28"/>
        </w:rPr>
      </w:pPr>
      <w:r>
        <w:rPr>
          <w:rFonts w:eastAsia="SimSun" w:cs="Mangal" w:ascii="Times New Roman" w:hAnsi="Times New Roman"/>
          <w:sz w:val="28"/>
        </w:rPr>
        <w:t>Основной режим работы ПЛК – это его длительное автономное использование, нередко в неблагоприятных условиях окружающей среды, с минимальным обслуживанием и без вмешательства человека [1]. ПЛК часто используются для управления последовательными процессами, с помощью входов и выходов для определения состояния объекта и выдачи управляющих воздействия.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19"/>
        <w:numPr>
          <w:ilvl w:val="0"/>
          <w:numId w:val="6"/>
        </w:numPr>
        <w:rPr>
          <w:rFonts w:ascii="Times New Roman CYR" w:hAnsi="Times New Roman CYR"/>
        </w:rPr>
      </w:pPr>
      <w:bookmarkStart w:id="3" w:name="_Toc160888806"/>
      <w:bookmarkStart w:id="4" w:name="_Toc100705447"/>
      <w:r>
        <w:rPr/>
        <w:t>Описание объекта автоматизации</w:t>
      </w:r>
      <w:bookmarkEnd w:id="3"/>
      <w:bookmarkEnd w:id="4"/>
    </w:p>
    <w:p>
      <w:pPr>
        <w:pStyle w:val="Style20"/>
        <w:rPr/>
      </w:pPr>
      <w:r>
        <w:rPr/>
        <w:t xml:space="preserve">Объект управления представляет систему автоматизированного контроля трафика дорожного движения. </w:t>
      </w:r>
    </w:p>
    <w:p>
      <w:pPr>
        <w:pStyle w:val="Style20"/>
        <w:rPr/>
      </w:pPr>
      <w:r>
        <w:rPr/>
        <w:t>Задача данной системы заключается в том, чтобы выполнять переход между состояниями (режимами лампочек), таким образом регулируя трафик дорожного движения.</w:t>
      </w:r>
    </w:p>
    <w:p>
      <w:pPr>
        <w:pStyle w:val="Style20"/>
        <w:rPr/>
      </w:pPr>
      <w:r>
        <w:rPr/>
        <w:t xml:space="preserve">Контроль системы осуществляется датчиками нажатия кнопки и освещенности ламп светофора. </w:t>
      </w:r>
    </w:p>
    <w:p>
      <w:pPr>
        <w:pStyle w:val="Style20"/>
        <w:rPr/>
      </w:pPr>
      <w:r>
        <w:rPr/>
        <w:t>Датчик нажатия кнопки пешеходного перехода служит для контроля входящего сигнала со стороны пешеходов. Он дискретный, то есть имеет лишь 2 состояния: 0 или 1. Датчик освещенности ламп светофора показывает с какой интенсивность светятся лампы светофоров. В случае неисправности лампочек, система, по показаниям датчиков, поймет, что лампочки неисправны и войдет в режим аварийной работы  [2].</w:t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  <w:t>Структура системы автоматизации представлена на рисунке 1.</w:t>
      </w:r>
    </w:p>
    <w:p>
      <w:pPr>
        <w:pStyle w:val="ListParagraph"/>
        <w:ind w:hanging="0"/>
        <w:jc w:val="center"/>
        <w:rPr/>
      </w:pPr>
      <w:r>
        <w:rPr/>
        <w:t xml:space="preserve"> </w:t>
      </w:r>
      <w:r>
        <w:rPr/>
        <w:t>Рисунок 1 — Структура системы автоматизированного контроля и регулирулирования сигналов светофора</w:t>
      </w:r>
    </w:p>
    <w:p>
      <w:pPr>
        <w:pStyle w:val="Style20"/>
        <w:ind w:hanging="0"/>
        <w:jc w:val="left"/>
        <w:rPr>
          <w:lang w:val="en-US"/>
        </w:rPr>
      </w:pPr>
      <w:r>
        <w:rPr/>
        <w:t>Датчики, представленные на рисунке</w:t>
      </w:r>
      <w:r>
        <w:rPr>
          <w:lang w:val="en-US"/>
        </w:rPr>
        <w:t>:</w:t>
      </w:r>
    </w:p>
    <w:p>
      <w:pPr>
        <w:pStyle w:val="Style20"/>
        <w:numPr>
          <w:ilvl w:val="0"/>
          <w:numId w:val="3"/>
        </w:numPr>
        <w:jc w:val="left"/>
        <w:rPr/>
      </w:pPr>
      <w:r>
        <w:rPr/>
        <w:t>ДКП – датчик нажатия кнопки пешеходного перехода;</w:t>
      </w:r>
    </w:p>
    <w:p>
      <w:pPr>
        <w:pStyle w:val="Style20"/>
        <w:numPr>
          <w:ilvl w:val="0"/>
          <w:numId w:val="3"/>
        </w:numPr>
        <w:jc w:val="left"/>
        <w:rPr/>
      </w:pPr>
      <w:r>
        <w:rPr/>
        <w:t>ДОЛС1-6 – датчик освещенности лампы светофора;</w:t>
      </w:r>
    </w:p>
    <w:p>
      <w:pPr>
        <w:pStyle w:val="Style20"/>
        <w:ind w:hanging="0"/>
        <w:jc w:val="left"/>
        <w:rPr/>
      </w:pPr>
      <w:r>
        <w:rPr/>
        <w:t>Управляющие устройства, представленные на рисунке:</w:t>
      </w:r>
    </w:p>
    <w:p>
      <w:pPr>
        <w:pStyle w:val="Style20"/>
        <w:numPr>
          <w:ilvl w:val="0"/>
          <w:numId w:val="4"/>
        </w:numPr>
        <w:jc w:val="left"/>
        <w:rPr/>
      </w:pPr>
      <w:r>
        <w:rPr/>
        <w:t>КА – красный свет для автомобилей;</w:t>
      </w:r>
    </w:p>
    <w:p>
      <w:pPr>
        <w:pStyle w:val="Style20"/>
        <w:numPr>
          <w:ilvl w:val="0"/>
          <w:numId w:val="4"/>
        </w:numPr>
        <w:jc w:val="left"/>
        <w:rPr/>
      </w:pPr>
      <w:r>
        <w:rPr/>
        <w:t>ЖА – желтый свет для автомобилей;</w:t>
      </w:r>
    </w:p>
    <w:p>
      <w:pPr>
        <w:pStyle w:val="Style20"/>
        <w:numPr>
          <w:ilvl w:val="0"/>
          <w:numId w:val="4"/>
        </w:numPr>
        <w:jc w:val="left"/>
        <w:rPr/>
      </w:pPr>
      <w:r>
        <w:rPr/>
        <w:t>ЗА – зеленый свет для автомобилей;</w:t>
      </w:r>
    </w:p>
    <w:p>
      <w:pPr>
        <w:pStyle w:val="Style20"/>
        <w:numPr>
          <w:ilvl w:val="0"/>
          <w:numId w:val="4"/>
        </w:numPr>
        <w:jc w:val="left"/>
        <w:rPr/>
      </w:pPr>
      <w:r>
        <w:rPr/>
        <w:t>ЖП – надпись «Ждите» для пешеходов;</w:t>
      </w:r>
    </w:p>
    <w:p>
      <w:pPr>
        <w:pStyle w:val="Style20"/>
        <w:numPr>
          <w:ilvl w:val="0"/>
          <w:numId w:val="4"/>
        </w:numPr>
        <w:jc w:val="left"/>
        <w:rPr/>
      </w:pPr>
      <w:r>
        <w:rPr/>
        <w:t>КП  - красный свет для пешеходов;</w:t>
      </w:r>
    </w:p>
    <w:p>
      <w:pPr>
        <w:pStyle w:val="Style20"/>
        <w:numPr>
          <w:ilvl w:val="0"/>
          <w:numId w:val="4"/>
        </w:numPr>
        <w:jc w:val="left"/>
        <w:rPr/>
      </w:pPr>
      <w:r>
        <w:rPr/>
        <w:t>ЗП – зеленый свет для пешеходов.</w:t>
      </w:r>
    </w:p>
    <w:p>
      <w:pPr>
        <w:pStyle w:val="Style20"/>
        <w:jc w:val="left"/>
        <w:rPr/>
      </w:pPr>
      <w:r>
        <w:rPr/>
      </w:r>
    </w:p>
    <w:p>
      <w:pPr>
        <w:pStyle w:val="Heading2"/>
        <w:numPr>
          <w:ilvl w:val="0"/>
          <w:numId w:val="6"/>
        </w:numPr>
        <w:tabs>
          <w:tab w:val="clear" w:pos="708"/>
          <w:tab w:val="left" w:pos="900" w:leader="none"/>
        </w:tabs>
        <w:spacing w:lineRule="auto" w:line="360" w:before="57" w:after="57"/>
        <w:jc w:val="both"/>
        <w:rPr/>
      </w:pPr>
      <w:bookmarkStart w:id="5" w:name="_Toc160888807"/>
      <w:bookmarkStart w:id="6" w:name="_Toc100705448"/>
      <w:r>
        <w:rPr>
          <w:rFonts w:ascii="Times New Roman" w:hAnsi="Times New Roman"/>
          <w:b w:val="false"/>
          <w:color w:val="000000"/>
          <w:sz w:val="28"/>
          <w:szCs w:val="28"/>
        </w:rPr>
        <w:t>Спецификации входных и выходных сигналов</w:t>
      </w:r>
      <w:bookmarkEnd w:id="5"/>
      <w:bookmarkEnd w:id="6"/>
    </w:p>
    <w:p>
      <w:pPr>
        <w:pStyle w:val="BodyText"/>
        <w:spacing w:lineRule="auto" w:line="427" w:before="0" w:after="0"/>
        <w:ind w:firstLine="36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Все используемые в системе датчики перечислены в таблице 1.</w:t>
      </w:r>
    </w:p>
    <w:p>
      <w:pPr>
        <w:pStyle w:val="BodyText"/>
        <w:ind w:firstLine="360"/>
        <w:jc w:val="right"/>
        <w:rPr/>
      </w:pPr>
      <w:r>
        <w:rPr>
          <w:rFonts w:ascii="Times New Roman" w:hAnsi="Times New Roman"/>
          <w:color w:val="000000"/>
          <w:sz w:val="28"/>
        </w:rPr>
        <w:t xml:space="preserve">              </w:t>
      </w:r>
      <w:r>
        <w:rPr>
          <w:rFonts w:ascii="Times New Roman" w:hAnsi="Times New Roman"/>
          <w:color w:val="000000"/>
          <w:sz w:val="28"/>
        </w:rPr>
        <w:t>Таблица 1</w:t>
      </w:r>
      <w:r>
        <w:rPr>
          <w:color w:val="000000"/>
        </w:rPr>
        <w:t xml:space="preserve"> — НЕ</w:t>
      </w:r>
      <w:r>
        <w:rPr>
          <w:rFonts w:ascii="Times New Roman" w:hAnsi="Times New Roman"/>
          <w:color w:val="000000"/>
          <w:sz w:val="28"/>
        </w:rPr>
        <w:t>Спецификация используемых датчиков</w:t>
      </w:r>
    </w:p>
    <w:tbl>
      <w:tblPr>
        <w:tblW w:w="9644" w:type="dxa"/>
        <w:jc w:val="center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HBand="0" w:noVBand="0" w:firstColumn="1" w:lastRow="1" w:lastColumn="1" w:firstRow="1"/>
      </w:tblPr>
      <w:tblGrid>
        <w:gridCol w:w="464"/>
        <w:gridCol w:w="2415"/>
        <w:gridCol w:w="1097"/>
        <w:gridCol w:w="810"/>
        <w:gridCol w:w="810"/>
        <w:gridCol w:w="4047"/>
      </w:tblGrid>
      <w:tr>
        <w:trPr>
          <w:trHeight w:val="683" w:hRule="atLeast"/>
        </w:trPr>
        <w:tc>
          <w:tcPr>
            <w:tcW w:w="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93" w:after="0"/>
              <w:ind w:left="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93" w:after="0"/>
              <w:ind w:left="62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93" w:after="0"/>
              <w:ind w:left="86" w:right="6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Код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Rule="auto" w:line="360" w:before="93" w:after="0"/>
              <w:ind w:left="112" w:right="9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93" w:after="0"/>
              <w:ind w:left="112" w:right="9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Кол.</w:t>
            </w:r>
          </w:p>
        </w:tc>
        <w:tc>
          <w:tcPr>
            <w:tcW w:w="4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93" w:after="0"/>
              <w:ind w:left="144" w:right="13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выходных</w:t>
            </w:r>
            <w:r>
              <w:rPr>
                <w:spacing w:val="-3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значений</w:t>
            </w:r>
          </w:p>
        </w:tc>
      </w:tr>
      <w:tr>
        <w:trPr>
          <w:trHeight w:val="1163" w:hRule="atLeast"/>
        </w:trPr>
        <w:tc>
          <w:tcPr>
            <w:tcW w:w="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11" w:after="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spacing w:lineRule="auto" w:line="360" w:before="0" w:after="0"/>
              <w:ind w:left="1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172" w:after="0"/>
              <w:ind w:left="381" w:right="56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Датчик нажатия кнопки пешеходного перехода</w:t>
            </w:r>
          </w:p>
        </w:tc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11" w:after="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spacing w:lineRule="auto" w:line="360" w:before="0" w:after="0"/>
              <w:ind w:left="86" w:right="6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ДКП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Rule="auto" w:line="360" w:before="11" w:after="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spacing w:lineRule="auto" w:line="360" w:before="0" w:after="0"/>
              <w:ind w:left="1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11" w:after="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spacing w:lineRule="auto" w:line="360" w:before="11" w:after="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93" w:after="0"/>
              <w:ind w:hanging="173" w:left="583" w:right="1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 — Кнопка не нажата</w:t>
            </w:r>
          </w:p>
          <w:p>
            <w:pPr>
              <w:pStyle w:val="TableParagraph"/>
              <w:spacing w:lineRule="auto" w:line="360"/>
              <w:ind w:hanging="173" w:left="583" w:right="37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—</w:t>
            </w:r>
            <w:r>
              <w:rPr>
                <w:spacing w:val="-3"/>
                <w:sz w:val="28"/>
                <w:szCs w:val="28"/>
              </w:rPr>
              <w:t xml:space="preserve"> Кнопка нажата</w:t>
            </w:r>
          </w:p>
        </w:tc>
      </w:tr>
      <w:tr>
        <w:trPr>
          <w:trHeight w:val="1326" w:hRule="atLeast"/>
        </w:trPr>
        <w:tc>
          <w:tcPr>
            <w:tcW w:w="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1" w:after="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spacing w:lineRule="auto" w:line="360" w:before="0" w:after="0"/>
              <w:ind w:left="1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93" w:after="0"/>
              <w:ind w:left="390" w:right="3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Датчик</w:t>
            </w:r>
            <w:r>
              <w:rPr>
                <w:spacing w:val="1"/>
                <w:sz w:val="28"/>
                <w:szCs w:val="28"/>
              </w:rPr>
              <w:t xml:space="preserve"> освещенности лампы светофора</w:t>
            </w:r>
          </w:p>
        </w:tc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1" w:after="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spacing w:lineRule="auto" w:line="360" w:before="0" w:after="0"/>
              <w:ind w:left="86" w:right="6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ДОЛС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Rule="auto" w:line="360" w:before="1" w:after="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spacing w:lineRule="auto" w:line="360" w:before="0" w:after="0"/>
              <w:ind w:left="1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1" w:after="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spacing w:lineRule="auto" w:line="360" w:before="1" w:after="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175" w:after="0"/>
              <w:ind w:hanging="168" w:left="543" w:right="33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Освещенность [0; 10000] люкс</w:t>
            </w:r>
          </w:p>
        </w:tc>
      </w:tr>
    </w:tbl>
    <w:p>
      <w:pPr>
        <w:pStyle w:val="12"/>
        <w:rPr/>
      </w:pPr>
      <w:bookmarkStart w:id="7" w:name="_Toc160888808"/>
      <w:r>
        <w:rPr/>
        <w:t>3 Перечень исполнительных механизмов</w:t>
      </w:r>
      <w:bookmarkEnd w:id="7"/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В таблице 2 представлен перечень исполнительных механизмов.</w:t>
      </w:r>
    </w:p>
    <w:p>
      <w:pPr>
        <w:pStyle w:val="Normal"/>
        <w:spacing w:lineRule="auto" w:line="360"/>
        <w:jc w:val="righ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Таблица 2 — Спецификация исполнительных механизмов</w:t>
      </w:r>
    </w:p>
    <w:tbl>
      <w:tblPr>
        <w:tblStyle w:val="af9"/>
        <w:tblW w:w="90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78"/>
        <w:gridCol w:w="2194"/>
        <w:gridCol w:w="1686"/>
        <w:gridCol w:w="3989"/>
      </w:tblGrid>
      <w:tr>
        <w:trPr>
          <w:trHeight w:val="492" w:hRule="atLeast"/>
        </w:trPr>
        <w:tc>
          <w:tcPr>
            <w:tcW w:w="117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№</w:t>
            </w:r>
          </w:p>
        </w:tc>
        <w:tc>
          <w:tcPr>
            <w:tcW w:w="219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Название</w:t>
            </w:r>
          </w:p>
        </w:tc>
        <w:tc>
          <w:tcPr>
            <w:tcW w:w="168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Количество</w:t>
            </w:r>
          </w:p>
        </w:tc>
        <w:tc>
          <w:tcPr>
            <w:tcW w:w="398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Описание выходных значений</w:t>
            </w:r>
          </w:p>
        </w:tc>
      </w:tr>
      <w:tr>
        <w:trPr>
          <w:trHeight w:val="1477" w:hRule="atLeast"/>
        </w:trPr>
        <w:tc>
          <w:tcPr>
            <w:tcW w:w="117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</w:t>
            </w:r>
          </w:p>
        </w:tc>
        <w:tc>
          <w:tcPr>
            <w:tcW w:w="219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Красный свет для автомобилей</w:t>
            </w:r>
          </w:p>
        </w:tc>
        <w:tc>
          <w:tcPr>
            <w:tcW w:w="168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</w:t>
            </w:r>
          </w:p>
        </w:tc>
        <w:tc>
          <w:tcPr>
            <w:tcW w:w="398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0 – выключен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 – включен</w:t>
            </w:r>
          </w:p>
        </w:tc>
      </w:tr>
      <w:tr>
        <w:trPr>
          <w:trHeight w:val="984" w:hRule="atLeast"/>
        </w:trPr>
        <w:tc>
          <w:tcPr>
            <w:tcW w:w="117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2</w:t>
            </w:r>
          </w:p>
        </w:tc>
        <w:tc>
          <w:tcPr>
            <w:tcW w:w="219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Желтый свет для автомобилей</w:t>
            </w:r>
          </w:p>
        </w:tc>
        <w:tc>
          <w:tcPr>
            <w:tcW w:w="168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</w:t>
            </w:r>
          </w:p>
        </w:tc>
        <w:tc>
          <w:tcPr>
            <w:tcW w:w="398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0 – выключен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 – включен</w:t>
            </w:r>
          </w:p>
        </w:tc>
      </w:tr>
      <w:tr>
        <w:trPr>
          <w:trHeight w:val="984" w:hRule="atLeast"/>
        </w:trPr>
        <w:tc>
          <w:tcPr>
            <w:tcW w:w="117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3</w:t>
            </w:r>
          </w:p>
        </w:tc>
        <w:tc>
          <w:tcPr>
            <w:tcW w:w="219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Зеленый свет для автомобилей</w:t>
            </w:r>
          </w:p>
        </w:tc>
        <w:tc>
          <w:tcPr>
            <w:tcW w:w="168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</w:t>
            </w:r>
          </w:p>
        </w:tc>
        <w:tc>
          <w:tcPr>
            <w:tcW w:w="398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0 – выключен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 – включен</w:t>
            </w:r>
          </w:p>
        </w:tc>
      </w:tr>
      <w:tr>
        <w:trPr>
          <w:trHeight w:val="984" w:hRule="atLeast"/>
        </w:trPr>
        <w:tc>
          <w:tcPr>
            <w:tcW w:w="117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4</w:t>
            </w:r>
          </w:p>
        </w:tc>
        <w:tc>
          <w:tcPr>
            <w:tcW w:w="219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Надпись «Ждите» для пешеходов</w:t>
            </w:r>
          </w:p>
        </w:tc>
        <w:tc>
          <w:tcPr>
            <w:tcW w:w="168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</w:t>
            </w:r>
          </w:p>
        </w:tc>
        <w:tc>
          <w:tcPr>
            <w:tcW w:w="398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0 – выключен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 – включен</w:t>
            </w:r>
          </w:p>
        </w:tc>
      </w:tr>
      <w:tr>
        <w:trPr>
          <w:trHeight w:val="984" w:hRule="atLeast"/>
        </w:trPr>
        <w:tc>
          <w:tcPr>
            <w:tcW w:w="117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5</w:t>
            </w:r>
          </w:p>
        </w:tc>
        <w:tc>
          <w:tcPr>
            <w:tcW w:w="219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Красный свет для пешеходов</w:t>
            </w:r>
          </w:p>
        </w:tc>
        <w:tc>
          <w:tcPr>
            <w:tcW w:w="168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</w:t>
            </w:r>
          </w:p>
        </w:tc>
        <w:tc>
          <w:tcPr>
            <w:tcW w:w="398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0 – выключен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 – включен</w:t>
            </w:r>
          </w:p>
        </w:tc>
      </w:tr>
      <w:tr>
        <w:trPr>
          <w:trHeight w:val="984" w:hRule="atLeast"/>
        </w:trPr>
        <w:tc>
          <w:tcPr>
            <w:tcW w:w="117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6</w:t>
            </w:r>
          </w:p>
        </w:tc>
        <w:tc>
          <w:tcPr>
            <w:tcW w:w="219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Зеленый свет для пешеходов</w:t>
            </w:r>
          </w:p>
        </w:tc>
        <w:tc>
          <w:tcPr>
            <w:tcW w:w="168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</w:t>
            </w:r>
          </w:p>
        </w:tc>
        <w:tc>
          <w:tcPr>
            <w:tcW w:w="398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0 – выключен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 – включен</w:t>
            </w:r>
          </w:p>
        </w:tc>
      </w:tr>
    </w:tbl>
    <w:p>
      <w:pPr>
        <w:pStyle w:val="BodyText"/>
        <w:spacing w:before="69" w:after="0"/>
        <w:rPr>
          <w:rFonts w:ascii="Times New Roman CYR" w:hAnsi="Times New Roman CYR"/>
          <w:sz w:val="28"/>
          <w:szCs w:val="28"/>
        </w:rPr>
      </w:pPr>
      <w:r>
        <w:rPr>
          <w:rFonts w:ascii="Times New Roman CYR" w:hAnsi="Times New Roman CYR"/>
          <w:sz w:val="28"/>
          <w:szCs w:val="28"/>
        </w:rPr>
      </w:r>
    </w:p>
    <w:p>
      <w:pPr>
        <w:pStyle w:val="Style19"/>
        <w:rPr>
          <w:szCs w:val="28"/>
        </w:rPr>
      </w:pPr>
      <w:bookmarkStart w:id="8" w:name="_Toc160888809"/>
      <w:bookmarkStart w:id="9" w:name="_Toc129648793"/>
      <w:r>
        <w:rPr/>
        <w:t>4 Спецификация входных и выходных сигналов системы</w:t>
      </w:r>
      <w:bookmarkEnd w:id="8"/>
      <w:bookmarkEnd w:id="9"/>
    </w:p>
    <w:p>
      <w:pPr>
        <w:pStyle w:val="BodyText"/>
        <w:ind w:firstLine="708"/>
        <w:rPr>
          <w:sz w:val="28"/>
        </w:rPr>
      </w:pPr>
      <w:r>
        <w:rPr>
          <w:rFonts w:ascii="Times New Roman CYR" w:hAnsi="Times New Roman CYR"/>
          <w:sz w:val="28"/>
          <w:szCs w:val="28"/>
        </w:rPr>
        <w:t xml:space="preserve">В таблице 3 представлена спецификация входных сигналов системы. </w:t>
      </w:r>
      <w:r>
        <w:rPr>
          <w:sz w:val="28"/>
        </w:rPr>
        <w:t>В таблице 4 представлена спецификация выходных сигналов системы.</w:t>
      </w:r>
    </w:p>
    <w:p>
      <w:pPr>
        <w:pStyle w:val="BodyText"/>
        <w:spacing w:lineRule="auto" w:line="360" w:before="69" w:after="0"/>
        <w:ind w:firstLine="590" w:left="118"/>
        <w:jc w:val="right"/>
        <w:rPr>
          <w:rFonts w:ascii="Times New Roman CYR" w:hAnsi="Times New Roman CYR"/>
          <w:sz w:val="28"/>
          <w:szCs w:val="28"/>
        </w:rPr>
      </w:pPr>
      <w:r>
        <w:rPr>
          <w:rFonts w:ascii="Times New Roman CYR" w:hAnsi="Times New Roman CYR"/>
          <w:sz w:val="28"/>
          <w:szCs w:val="28"/>
        </w:rPr>
      </w:r>
    </w:p>
    <w:p>
      <w:pPr>
        <w:pStyle w:val="BodyText"/>
        <w:spacing w:lineRule="auto" w:line="360" w:before="69" w:after="0"/>
        <w:ind w:firstLine="590" w:left="118"/>
        <w:jc w:val="right"/>
        <w:rPr>
          <w:rFonts w:ascii="Times New Roman CYR" w:hAnsi="Times New Roman CYR"/>
          <w:sz w:val="28"/>
          <w:szCs w:val="28"/>
        </w:rPr>
      </w:pPr>
      <w:r>
        <w:rPr>
          <w:rFonts w:ascii="Times New Roman CYR" w:hAnsi="Times New Roman CYR"/>
          <w:sz w:val="28"/>
          <w:szCs w:val="28"/>
        </w:rPr>
      </w:r>
    </w:p>
    <w:p>
      <w:pPr>
        <w:pStyle w:val="BodyText"/>
        <w:spacing w:lineRule="auto" w:line="360" w:before="69" w:after="0"/>
        <w:ind w:firstLine="590" w:left="118"/>
        <w:jc w:val="right"/>
        <w:rPr>
          <w:rFonts w:ascii="Times New Roman CYR" w:hAnsi="Times New Roman CYR"/>
          <w:sz w:val="28"/>
          <w:szCs w:val="28"/>
        </w:rPr>
      </w:pPr>
      <w:r>
        <w:rPr>
          <w:rFonts w:ascii="Times New Roman CYR" w:hAnsi="Times New Roman CYR"/>
          <w:sz w:val="28"/>
          <w:szCs w:val="28"/>
        </w:rPr>
      </w:r>
    </w:p>
    <w:p>
      <w:pPr>
        <w:pStyle w:val="BodyText"/>
        <w:spacing w:lineRule="auto" w:line="360" w:before="69" w:after="0"/>
        <w:ind w:firstLine="590" w:left="118"/>
        <w:jc w:val="right"/>
        <w:rPr>
          <w:rFonts w:ascii="Times New Roman CYR" w:hAnsi="Times New Roman CYR"/>
          <w:sz w:val="28"/>
          <w:szCs w:val="28"/>
        </w:rPr>
      </w:pPr>
      <w:r>
        <w:rPr>
          <w:rFonts w:ascii="Times New Roman CYR" w:hAnsi="Times New Roman CYR"/>
          <w:sz w:val="28"/>
          <w:szCs w:val="28"/>
        </w:rPr>
      </w:r>
    </w:p>
    <w:p>
      <w:pPr>
        <w:pStyle w:val="BodyText"/>
        <w:spacing w:lineRule="auto" w:line="360" w:before="69" w:after="0"/>
        <w:ind w:firstLine="590" w:left="118"/>
        <w:jc w:val="right"/>
        <w:rPr>
          <w:rFonts w:ascii="Times New Roman CYR" w:hAnsi="Times New Roman CYR"/>
          <w:sz w:val="28"/>
          <w:szCs w:val="28"/>
        </w:rPr>
      </w:pPr>
      <w:r>
        <w:rPr>
          <w:rFonts w:ascii="Times New Roman CYR" w:hAnsi="Times New Roman CYR"/>
          <w:sz w:val="28"/>
          <w:szCs w:val="28"/>
        </w:rPr>
      </w:r>
    </w:p>
    <w:p>
      <w:pPr>
        <w:pStyle w:val="BodyText"/>
        <w:spacing w:lineRule="auto" w:line="360" w:before="69" w:after="0"/>
        <w:ind w:firstLine="590" w:left="118"/>
        <w:jc w:val="right"/>
        <w:rPr>
          <w:rFonts w:ascii="Times New Roman CYR" w:hAnsi="Times New Roman CYR"/>
          <w:sz w:val="28"/>
          <w:szCs w:val="28"/>
        </w:rPr>
      </w:pPr>
      <w:r>
        <w:rPr>
          <w:rFonts w:ascii="Times New Roman CYR" w:hAnsi="Times New Roman CYR"/>
          <w:sz w:val="28"/>
          <w:szCs w:val="28"/>
        </w:rPr>
      </w:r>
    </w:p>
    <w:p>
      <w:pPr>
        <w:pStyle w:val="BodyText"/>
        <w:spacing w:lineRule="auto" w:line="360" w:before="69" w:after="0"/>
        <w:ind w:firstLine="590" w:left="118"/>
        <w:jc w:val="right"/>
        <w:rPr>
          <w:sz w:val="28"/>
        </w:rPr>
      </w:pPr>
      <w:r>
        <w:rPr>
          <w:rFonts w:ascii="Times New Roman CYR" w:hAnsi="Times New Roman CYR"/>
          <w:sz w:val="28"/>
          <w:szCs w:val="28"/>
        </w:rPr>
        <w:t>Таблица</w:t>
      </w:r>
      <w:r>
        <w:rPr>
          <w:rFonts w:ascii="Times New Roman CYR" w:hAnsi="Times New Roman CYR"/>
          <w:spacing w:val="-3"/>
          <w:sz w:val="28"/>
          <w:szCs w:val="28"/>
        </w:rPr>
        <w:t xml:space="preserve"> 3 </w:t>
      </w:r>
      <w:r>
        <w:rPr>
          <w:rFonts w:ascii="Times New Roman CYR" w:hAnsi="Times New Roman CYR"/>
          <w:sz w:val="28"/>
          <w:szCs w:val="28"/>
        </w:rPr>
        <w:t>—</w:t>
      </w:r>
      <w:r>
        <w:rPr>
          <w:rFonts w:ascii="Times New Roman CYR" w:hAnsi="Times New Roman CYR"/>
          <w:spacing w:val="-3"/>
          <w:sz w:val="28"/>
          <w:szCs w:val="28"/>
        </w:rPr>
        <w:t xml:space="preserve"> </w:t>
      </w:r>
      <w:r>
        <w:rPr>
          <w:rFonts w:ascii="Times New Roman CYR" w:hAnsi="Times New Roman CYR"/>
          <w:sz w:val="28"/>
          <w:szCs w:val="28"/>
        </w:rPr>
        <w:t>Спецификация</w:t>
      </w:r>
      <w:r>
        <w:rPr>
          <w:rFonts w:ascii="Times New Roman CYR" w:hAnsi="Times New Roman CYR"/>
          <w:spacing w:val="-3"/>
          <w:sz w:val="28"/>
          <w:szCs w:val="28"/>
        </w:rPr>
        <w:t xml:space="preserve"> </w:t>
      </w:r>
      <w:r>
        <w:rPr>
          <w:rFonts w:ascii="Times New Roman CYR" w:hAnsi="Times New Roman CYR"/>
          <w:sz w:val="28"/>
          <w:szCs w:val="28"/>
        </w:rPr>
        <w:t>входных</w:t>
      </w:r>
      <w:r>
        <w:rPr>
          <w:rFonts w:ascii="Times New Roman CYR" w:hAnsi="Times New Roman CYR"/>
          <w:spacing w:val="-6"/>
          <w:sz w:val="28"/>
          <w:szCs w:val="28"/>
        </w:rPr>
        <w:t xml:space="preserve"> </w:t>
      </w:r>
      <w:r>
        <w:rPr>
          <w:rFonts w:ascii="Times New Roman CYR" w:hAnsi="Times New Roman CYR"/>
          <w:sz w:val="28"/>
          <w:szCs w:val="28"/>
        </w:rPr>
        <w:t>сигналов</w:t>
      </w:r>
    </w:p>
    <w:tbl>
      <w:tblPr>
        <w:tblStyle w:val="af9"/>
        <w:tblW w:w="90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5"/>
        <w:gridCol w:w="2265"/>
        <w:gridCol w:w="2265"/>
        <w:gridCol w:w="2264"/>
      </w:tblGrid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Обозначение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Параметр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Тип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Переменная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TableParagraph"/>
              <w:widowControl/>
              <w:suppressAutoHyphens w:val="true"/>
              <w:spacing w:lineRule="auto" w:line="360" w:before="0" w:after="0"/>
              <w:ind w:left="86" w:right="61"/>
              <w:rPr>
                <w:sz w:val="28"/>
              </w:rPr>
            </w:pPr>
            <w:r>
              <w:rPr>
                <w:sz w:val="28"/>
                <w:lang w:val="ru-RU"/>
              </w:rPr>
              <w:t>ПИТ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Питание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I0.0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ДКП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Кнопка пешехода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I0.1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ВПС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Время (длительность) задержки перед сигналом пешеходного перехода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Аналоговый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AIW0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ВПП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Время (длительность) сигнала пешеходного перехода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Аналоговый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AIW2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ВЖС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Время желтого сигнала перед сменой цикла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Аналоговый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AIW4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ВС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Время суток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Аналоговый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AIW6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BodyText"/>
        <w:jc w:val="right"/>
        <w:rPr>
          <w:rFonts w:ascii="Times New Roman CYR" w:hAnsi="Times New Roman CYR"/>
          <w:sz w:val="28"/>
          <w:szCs w:val="28"/>
        </w:rPr>
      </w:pPr>
      <w:r>
        <w:rPr>
          <w:rFonts w:ascii="Times New Roman CYR" w:hAnsi="Times New Roman CYR"/>
          <w:sz w:val="28"/>
          <w:szCs w:val="28"/>
        </w:rPr>
      </w:r>
    </w:p>
    <w:p>
      <w:pPr>
        <w:pStyle w:val="BodyText"/>
        <w:jc w:val="right"/>
        <w:rPr>
          <w:rFonts w:ascii="Times New Roman CYR" w:hAnsi="Times New Roman CYR"/>
          <w:sz w:val="28"/>
          <w:szCs w:val="28"/>
        </w:rPr>
      </w:pPr>
      <w:r>
        <w:rPr>
          <w:rFonts w:ascii="Times New Roman CYR" w:hAnsi="Times New Roman CYR"/>
          <w:sz w:val="28"/>
          <w:szCs w:val="28"/>
        </w:rPr>
      </w:r>
    </w:p>
    <w:p>
      <w:pPr>
        <w:pStyle w:val="BodyText"/>
        <w:jc w:val="right"/>
        <w:rPr>
          <w:rFonts w:ascii="Times New Roman CYR" w:hAnsi="Times New Roman CYR"/>
          <w:sz w:val="28"/>
          <w:szCs w:val="28"/>
        </w:rPr>
      </w:pPr>
      <w:r>
        <w:rPr>
          <w:rFonts w:ascii="Times New Roman CYR" w:hAnsi="Times New Roman CYR"/>
          <w:sz w:val="28"/>
          <w:szCs w:val="28"/>
        </w:rPr>
      </w:r>
    </w:p>
    <w:p>
      <w:pPr>
        <w:pStyle w:val="BodyText"/>
        <w:jc w:val="right"/>
        <w:rPr>
          <w:rFonts w:ascii="Times New Roman CYR" w:hAnsi="Times New Roman CYR"/>
          <w:sz w:val="28"/>
          <w:szCs w:val="28"/>
        </w:rPr>
      </w:pPr>
      <w:r>
        <w:rPr>
          <w:rFonts w:ascii="Times New Roman CYR" w:hAnsi="Times New Roman CYR"/>
          <w:sz w:val="28"/>
          <w:szCs w:val="28"/>
        </w:rPr>
      </w:r>
    </w:p>
    <w:p>
      <w:pPr>
        <w:pStyle w:val="BodyText"/>
        <w:jc w:val="right"/>
        <w:rPr>
          <w:rFonts w:ascii="Times New Roman CYR" w:hAnsi="Times New Roman CYR"/>
          <w:sz w:val="28"/>
          <w:szCs w:val="28"/>
        </w:rPr>
      </w:pPr>
      <w:r>
        <w:rPr>
          <w:rFonts w:ascii="Times New Roman CYR" w:hAnsi="Times New Roman CYR"/>
          <w:sz w:val="28"/>
          <w:szCs w:val="28"/>
        </w:rPr>
      </w:r>
    </w:p>
    <w:p>
      <w:pPr>
        <w:pStyle w:val="BodyText"/>
        <w:jc w:val="right"/>
        <w:rPr>
          <w:rFonts w:ascii="Times New Roman CYR" w:hAnsi="Times New Roman CYR"/>
          <w:sz w:val="28"/>
          <w:szCs w:val="28"/>
        </w:rPr>
      </w:pPr>
      <w:r>
        <w:rPr>
          <w:rFonts w:ascii="Times New Roman CYR" w:hAnsi="Times New Roman CYR"/>
          <w:sz w:val="28"/>
          <w:szCs w:val="28"/>
        </w:rPr>
      </w:r>
    </w:p>
    <w:p>
      <w:pPr>
        <w:pStyle w:val="BodyText"/>
        <w:jc w:val="right"/>
        <w:rPr>
          <w:rFonts w:ascii="Times New Roman CYR" w:hAnsi="Times New Roman CYR"/>
          <w:sz w:val="28"/>
          <w:szCs w:val="28"/>
        </w:rPr>
      </w:pPr>
      <w:r>
        <w:rPr>
          <w:rFonts w:ascii="Times New Roman CYR" w:hAnsi="Times New Roman CYR"/>
          <w:sz w:val="28"/>
          <w:szCs w:val="28"/>
        </w:rPr>
      </w:r>
    </w:p>
    <w:p>
      <w:pPr>
        <w:pStyle w:val="BodyText"/>
        <w:jc w:val="right"/>
        <w:rPr>
          <w:rFonts w:ascii="Times New Roman CYR" w:hAnsi="Times New Roman CYR"/>
          <w:sz w:val="28"/>
          <w:szCs w:val="28"/>
        </w:rPr>
      </w:pPr>
      <w:r>
        <w:rPr>
          <w:rFonts w:ascii="Times New Roman CYR" w:hAnsi="Times New Roman CYR"/>
          <w:sz w:val="28"/>
          <w:szCs w:val="28"/>
        </w:rPr>
      </w:r>
    </w:p>
    <w:p>
      <w:pPr>
        <w:pStyle w:val="BodyText"/>
        <w:jc w:val="right"/>
        <w:rPr>
          <w:rFonts w:ascii="Times New Roman CYR" w:hAnsi="Times New Roman CYR"/>
          <w:sz w:val="28"/>
          <w:szCs w:val="28"/>
        </w:rPr>
      </w:pPr>
      <w:r>
        <w:rPr>
          <w:rFonts w:ascii="Times New Roman CYR" w:hAnsi="Times New Roman CYR"/>
          <w:sz w:val="28"/>
          <w:szCs w:val="28"/>
        </w:rPr>
      </w:r>
    </w:p>
    <w:p>
      <w:pPr>
        <w:pStyle w:val="BodyText"/>
        <w:jc w:val="right"/>
        <w:rPr>
          <w:rFonts w:ascii="Times New Roman CYR" w:hAnsi="Times New Roman CYR"/>
          <w:sz w:val="28"/>
          <w:szCs w:val="28"/>
        </w:rPr>
      </w:pPr>
      <w:r>
        <w:rPr>
          <w:rFonts w:ascii="Times New Roman CYR" w:hAnsi="Times New Roman CYR"/>
          <w:sz w:val="28"/>
          <w:szCs w:val="28"/>
        </w:rPr>
      </w:r>
    </w:p>
    <w:p>
      <w:pPr>
        <w:pStyle w:val="BodyText"/>
        <w:jc w:val="right"/>
        <w:rPr>
          <w:sz w:val="28"/>
        </w:rPr>
      </w:pPr>
      <w:r>
        <w:rPr>
          <w:rFonts w:ascii="Times New Roman CYR" w:hAnsi="Times New Roman CYR"/>
          <w:sz w:val="28"/>
          <w:szCs w:val="28"/>
        </w:rPr>
        <w:t>Таблица</w:t>
      </w:r>
      <w:r>
        <w:rPr>
          <w:rFonts w:ascii="Times New Roman CYR" w:hAnsi="Times New Roman CYR"/>
          <w:spacing w:val="-3"/>
          <w:sz w:val="28"/>
          <w:szCs w:val="28"/>
        </w:rPr>
        <w:t xml:space="preserve"> 4</w:t>
      </w:r>
      <w:r>
        <w:rPr>
          <w:rFonts w:ascii="Times New Roman CYR" w:hAnsi="Times New Roman CYR"/>
          <w:spacing w:val="-2"/>
          <w:sz w:val="28"/>
          <w:szCs w:val="28"/>
        </w:rPr>
        <w:t xml:space="preserve"> </w:t>
      </w:r>
      <w:r>
        <w:rPr>
          <w:rFonts w:ascii="Times New Roman CYR" w:hAnsi="Times New Roman CYR"/>
          <w:sz w:val="28"/>
          <w:szCs w:val="28"/>
        </w:rPr>
        <w:t>—</w:t>
      </w:r>
      <w:r>
        <w:rPr>
          <w:rFonts w:ascii="Times New Roman CYR" w:hAnsi="Times New Roman CYR"/>
          <w:spacing w:val="-3"/>
          <w:sz w:val="28"/>
          <w:szCs w:val="28"/>
        </w:rPr>
        <w:t xml:space="preserve"> </w:t>
      </w:r>
      <w:r>
        <w:rPr>
          <w:rFonts w:ascii="Times New Roman CYR" w:hAnsi="Times New Roman CYR"/>
          <w:sz w:val="28"/>
          <w:szCs w:val="28"/>
        </w:rPr>
        <w:t>Спецификация</w:t>
      </w:r>
      <w:r>
        <w:rPr>
          <w:rFonts w:ascii="Times New Roman CYR" w:hAnsi="Times New Roman CYR"/>
          <w:spacing w:val="-2"/>
          <w:sz w:val="28"/>
          <w:szCs w:val="28"/>
        </w:rPr>
        <w:t xml:space="preserve"> </w:t>
      </w:r>
      <w:r>
        <w:rPr>
          <w:rFonts w:ascii="Times New Roman CYR" w:hAnsi="Times New Roman CYR"/>
          <w:sz w:val="28"/>
          <w:szCs w:val="28"/>
        </w:rPr>
        <w:t>выходных</w:t>
      </w:r>
      <w:r>
        <w:rPr>
          <w:rFonts w:ascii="Times New Roman CYR" w:hAnsi="Times New Roman CYR"/>
          <w:spacing w:val="-5"/>
          <w:sz w:val="28"/>
          <w:szCs w:val="28"/>
        </w:rPr>
        <w:t xml:space="preserve"> </w:t>
      </w:r>
      <w:r>
        <w:rPr>
          <w:rFonts w:ascii="Times New Roman CYR" w:hAnsi="Times New Roman CYR"/>
          <w:sz w:val="28"/>
          <w:szCs w:val="28"/>
        </w:rPr>
        <w:t>сигналов</w:t>
      </w:r>
    </w:p>
    <w:tbl>
      <w:tblPr>
        <w:tblStyle w:val="af9"/>
        <w:tblW w:w="90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5"/>
        <w:gridCol w:w="2265"/>
        <w:gridCol w:w="2265"/>
        <w:gridCol w:w="2264"/>
      </w:tblGrid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Обозначение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Параметр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Тип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Переменная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КА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Красный свет для автомобилей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Q0.0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КЖ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Желтый свет для автомобилей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Q0.1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КЗ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Зеленый свет для автомобилей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Q0.2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ЖП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Надпись «Ждите» для пешеходов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Q0.3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КП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Красный свет для пешеходов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Q0.4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ЗП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Зеленый свет для пешеходов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Q0.5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ВС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Время суток (светлое ли время суток в данный момент)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Q0.6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12"/>
        <w:rPr/>
      </w:pPr>
      <w:bookmarkStart w:id="10" w:name="_Toc160888810"/>
      <w:bookmarkStart w:id="11" w:name="_Toc129648794"/>
      <w:r>
        <w:rPr/>
        <w:t>5 Аппаратная часть на основе ПЛК S7</w:t>
      </w:r>
      <w:bookmarkEnd w:id="10"/>
      <w:bookmarkEnd w:id="11"/>
    </w:p>
    <w:p>
      <w:pPr>
        <w:pStyle w:val="Style21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 таблице 5 представлены компоненты для ПЛК S7-200, необходимые для реализации проекта [3-4].</w:t>
      </w:r>
    </w:p>
    <w:p>
      <w:pPr>
        <w:pStyle w:val="Style21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                                                 </w:t>
      </w:r>
      <w:r>
        <w:rPr>
          <w:rFonts w:eastAsia="Times New Roman" w:cs="Times New Roman"/>
          <w:szCs w:val="28"/>
          <w:lang w:eastAsia="ru-RU"/>
        </w:rPr>
        <w:t>Таблица 5 – Конфигурация ПЛК S7-200</w:t>
      </w:r>
    </w:p>
    <w:tbl>
      <w:tblPr>
        <w:tblW w:w="892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035"/>
        <w:gridCol w:w="1697"/>
        <w:gridCol w:w="1789"/>
        <w:gridCol w:w="1154"/>
        <w:gridCol w:w="2250"/>
      </w:tblGrid>
      <w:tr>
        <w:trPr>
          <w:trHeight w:val="57" w:hRule="atLeast"/>
        </w:trPr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Компоненты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Название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Количеств</w:t>
            </w:r>
            <w:r>
              <w:rPr>
                <w:rFonts w:eastAsia="Calibri" w:cs="Times New Roman" w:ascii="Times New Roman" w:hAnsi="Times New Roman"/>
                <w:sz w:val="28"/>
              </w:rPr>
              <w:t>о блоков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Адреса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Предназначение</w:t>
            </w:r>
          </w:p>
        </w:tc>
      </w:tr>
      <w:tr>
        <w:trPr>
          <w:trHeight w:val="57" w:hRule="atLeast"/>
        </w:trPr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Блок питания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SITOP smart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10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1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-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Питание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системы</w:t>
            </w:r>
          </w:p>
        </w:tc>
      </w:tr>
      <w:tr>
        <w:trPr>
          <w:trHeight w:val="57" w:hRule="atLeast"/>
        </w:trPr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CPU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CPU 216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1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-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Управление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системой</w:t>
            </w:r>
          </w:p>
        </w:tc>
      </w:tr>
      <w:tr>
        <w:trPr>
          <w:trHeight w:val="57" w:hRule="atLeast"/>
        </w:trPr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Входы цифровые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Встроенный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1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I0.0</w:t>
            </w:r>
            <w:r>
              <w:rPr>
                <w:rFonts w:eastAsia="Calibri" w:cs="Times New Roman" w:ascii="Times New Roman" w:hAnsi="Times New Roman"/>
                <w:sz w:val="28"/>
              </w:rPr>
              <w:t xml:space="preserve"> </w:t>
            </w: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–</w:t>
            </w:r>
            <w:r>
              <w:rPr>
                <w:rFonts w:eastAsia="Calibri" w:cs="Times New Roman" w:ascii="Times New Roman" w:hAnsi="Times New Roman"/>
                <w:sz w:val="28"/>
              </w:rPr>
              <w:t xml:space="preserve"> </w:t>
            </w: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I0.4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Чтение цифровых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управляющих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сигналов</w:t>
            </w:r>
          </w:p>
        </w:tc>
      </w:tr>
      <w:tr>
        <w:trPr>
          <w:trHeight w:val="57" w:hRule="atLeast"/>
        </w:trPr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Выходы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цифровые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Встроенный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1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Q0.0-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Q0.7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Исполнительные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устройства</w:t>
            </w:r>
          </w:p>
        </w:tc>
      </w:tr>
      <w:tr>
        <w:trPr>
          <w:trHeight w:val="57" w:hRule="atLeast"/>
        </w:trPr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Выходы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цифровые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EM 22</w:t>
            </w:r>
            <w:r>
              <w:rPr>
                <w:rFonts w:eastAsia="Calibri" w:cs="Times New Roman" w:ascii="Times New Roman" w:hAnsi="Times New Roman"/>
                <w:sz w:val="28"/>
              </w:rPr>
              <w:t>3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1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Q1.0 -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Q1.7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Исполнительные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устройства</w:t>
            </w:r>
          </w:p>
        </w:tc>
      </w:tr>
      <w:tr>
        <w:trPr>
          <w:trHeight w:val="57" w:hRule="atLeast"/>
        </w:trPr>
        <w:tc>
          <w:tcPr>
            <w:tcW w:w="20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Входы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аналоговые</w:t>
            </w:r>
          </w:p>
        </w:tc>
        <w:tc>
          <w:tcPr>
            <w:tcW w:w="16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EM 231</w:t>
            </w:r>
          </w:p>
        </w:tc>
        <w:tc>
          <w:tcPr>
            <w:tcW w:w="17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1</w:t>
            </w:r>
          </w:p>
        </w:tc>
        <w:tc>
          <w:tcPr>
            <w:tcW w:w="1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AIW0-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AIW</w:t>
            </w:r>
            <w:r>
              <w:rPr>
                <w:rFonts w:eastAsia="Calibri" w:cs="Times New Roman" w:ascii="Times New Roman" w:hAnsi="Times New Roman"/>
                <w:sz w:val="28"/>
              </w:rPr>
              <w:t>6</w:t>
            </w:r>
          </w:p>
        </w:tc>
        <w:tc>
          <w:tcPr>
            <w:tcW w:w="22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Чтение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аналоговых управляющих сигналов</w:t>
            </w:r>
          </w:p>
        </w:tc>
      </w:tr>
      <w:tr>
        <w:trPr>
          <w:trHeight w:val="57" w:hRule="atLeast"/>
        </w:trPr>
        <w:tc>
          <w:tcPr>
            <w:tcW w:w="20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Входы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аналоговые</w:t>
            </w:r>
          </w:p>
        </w:tc>
        <w:tc>
          <w:tcPr>
            <w:tcW w:w="16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EM 231</w:t>
            </w:r>
          </w:p>
        </w:tc>
        <w:tc>
          <w:tcPr>
            <w:tcW w:w="17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1</w:t>
            </w:r>
          </w:p>
        </w:tc>
        <w:tc>
          <w:tcPr>
            <w:tcW w:w="1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AIW8-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AIW</w:t>
            </w:r>
            <w:r>
              <w:rPr>
                <w:rFonts w:eastAsia="Calibri" w:cs="Times New Roman" w:ascii="Times New Roman" w:hAnsi="Times New Roman"/>
                <w:sz w:val="28"/>
              </w:rPr>
              <w:t>14</w:t>
            </w:r>
          </w:p>
        </w:tc>
        <w:tc>
          <w:tcPr>
            <w:tcW w:w="22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Чтение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аналоговых управляющих сигналов</w:t>
            </w:r>
          </w:p>
        </w:tc>
      </w:tr>
      <w:tr>
        <w:trPr>
          <w:trHeight w:val="57" w:hRule="atLeast"/>
        </w:trPr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Входы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аналоговые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EM 231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</w:rPr>
            </w:pPr>
            <w:r>
              <w:rPr>
                <w:rFonts w:eastAsia="Calibri" w:cs="Times New Roman" w:ascii="Times New Roman" w:hAnsi="Times New Roman"/>
                <w:sz w:val="28"/>
              </w:rPr>
              <w:t>1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AIW16-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AIW</w:t>
            </w:r>
            <w:r>
              <w:rPr>
                <w:rFonts w:eastAsia="Calibri" w:cs="Times New Roman" w:ascii="Times New Roman" w:hAnsi="Times New Roman"/>
                <w:sz w:val="28"/>
              </w:rPr>
              <w:t>18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Чтение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аналоговых управляющих сигналов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19"/>
        <w:rPr/>
      </w:pPr>
      <w:bookmarkStart w:id="12" w:name="_Toc160888811"/>
      <w:r>
        <w:rPr>
          <w:lang w:val="en-US"/>
        </w:rPr>
        <w:t>6</w:t>
      </w:r>
      <w:r>
        <w:rPr/>
        <w:t xml:space="preserve"> Масштабирование</w:t>
      </w:r>
      <w:bookmarkEnd w:id="12"/>
    </w:p>
    <w:p>
      <w:pPr>
        <w:pStyle w:val="Style21"/>
        <w:rPr>
          <w:rFonts w:eastAsia="Calibri" w:cs="Times New Roman"/>
        </w:rPr>
      </w:pPr>
      <w:r>
        <w:rPr>
          <w:rFonts w:eastAsia="Calibri" w:cs="Times New Roman"/>
        </w:rPr>
        <w:t>Для реализации операций сравнения фактической влажности для датчиков почвы и воздуха с константами необходимо выполнить масштабирование [5]. В таблице 6 представлено максимальное масштабирование с шагом дискретизации равным 0.0244.</w:t>
      </w:r>
    </w:p>
    <w:p>
      <w:pPr>
        <w:pStyle w:val="Style21"/>
        <w:ind w:firstLine="708"/>
        <w:rPr>
          <w:rFonts w:eastAsia="Calibri" w:cs="Times New Roman"/>
        </w:rPr>
      </w:pPr>
      <w:r>
        <w:rPr>
          <w:rFonts w:eastAsia="Times New Roman" w:cs="Times New Roman"/>
          <w:lang w:eastAsia="ru-RU"/>
        </w:rPr>
        <w:t>Таблица 6 – Максимальное масштабирование сигнала от датчика влажности</w:t>
      </w:r>
    </w:p>
    <w:tbl>
      <w:tblPr>
        <w:tblStyle w:val="14"/>
        <w:tblW w:w="934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84"/>
        <w:gridCol w:w="3064"/>
        <w:gridCol w:w="3096"/>
      </w:tblGrid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 xml:space="preserve">Влажность, </w:t>
            </w:r>
            <w:r>
              <w:rPr>
                <w:rFonts w:cs="Times New Roman" w:ascii="Times New Roman" w:hAnsi="Times New Roman"/>
                <w:sz w:val="28"/>
                <w:lang w:val="en-US"/>
              </w:rPr>
              <w:t>%</w:t>
            </w:r>
          </w:p>
        </w:tc>
        <w:tc>
          <w:tcPr>
            <w:tcW w:w="306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Импульсы для быстрого счета</w:t>
            </w:r>
          </w:p>
        </w:tc>
        <w:tc>
          <w:tcPr>
            <w:tcW w:w="30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Код для аналогового масштабирования</w:t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30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309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0000 0000 0000</w:t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0.0244</w:t>
            </w:r>
          </w:p>
        </w:tc>
        <w:tc>
          <w:tcPr>
            <w:tcW w:w="30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309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0000 0000 0001</w:t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0.00098</w:t>
            </w:r>
          </w:p>
        </w:tc>
        <w:tc>
          <w:tcPr>
            <w:tcW w:w="30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309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0000 0000 0010</w:t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30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309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...</w:t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60</w:t>
            </w:r>
          </w:p>
        </w:tc>
        <w:tc>
          <w:tcPr>
            <w:tcW w:w="30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2459</w:t>
            </w:r>
          </w:p>
        </w:tc>
        <w:tc>
          <w:tcPr>
            <w:tcW w:w="309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1001 1001 1011</w:t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90</w:t>
            </w:r>
          </w:p>
        </w:tc>
        <w:tc>
          <w:tcPr>
            <w:tcW w:w="30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3689</w:t>
            </w:r>
          </w:p>
        </w:tc>
        <w:tc>
          <w:tcPr>
            <w:tcW w:w="309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1110 0110 1001</w:t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30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309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...</w:t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100</w:t>
            </w:r>
          </w:p>
        </w:tc>
        <w:tc>
          <w:tcPr>
            <w:tcW w:w="30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4095</w:t>
            </w:r>
          </w:p>
        </w:tc>
        <w:tc>
          <w:tcPr>
            <w:tcW w:w="309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1111 1111 1111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  <w:t>В таблице 7 представлено неполное масштабирование с шагом дискретизации равным 0,05.</w:t>
      </w:r>
    </w:p>
    <w:p>
      <w:pPr>
        <w:pStyle w:val="Normal"/>
        <w:widowControl w:val="false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lang w:eastAsia="ru-RU"/>
        </w:rPr>
        <w:t>Таблица 7 – Неполное масштабирование сигнала от датчика влажности</w:t>
      </w:r>
    </w:p>
    <w:tbl>
      <w:tblPr>
        <w:tblStyle w:val="14"/>
        <w:tblW w:w="970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35"/>
        <w:gridCol w:w="3235"/>
        <w:gridCol w:w="3236"/>
      </w:tblGrid>
      <w:tr>
        <w:trPr/>
        <w:tc>
          <w:tcPr>
            <w:tcW w:w="32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 xml:space="preserve">Влажность, 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left="-82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Десятичный код</w:t>
            </w:r>
          </w:p>
        </w:tc>
        <w:tc>
          <w:tcPr>
            <w:tcW w:w="32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Код</w:t>
            </w:r>
          </w:p>
        </w:tc>
      </w:tr>
      <w:tr>
        <w:trPr/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323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0000 0000 0000</w:t>
            </w:r>
          </w:p>
        </w:tc>
      </w:tr>
      <w:tr>
        <w:trPr/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0,0500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323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0000 0000 0001</w:t>
            </w:r>
          </w:p>
        </w:tc>
      </w:tr>
      <w:tr>
        <w:trPr/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0,1000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323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0000 0000 0010</w:t>
            </w:r>
          </w:p>
        </w:tc>
      </w:tr>
      <w:tr>
        <w:trPr/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323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...</w:t>
            </w:r>
          </w:p>
        </w:tc>
      </w:tr>
      <w:tr>
        <w:trPr/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50,0000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323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0011 1110 1000</w:t>
            </w:r>
          </w:p>
        </w:tc>
      </w:tr>
      <w:tr>
        <w:trPr/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60,0000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1200</w:t>
            </w:r>
          </w:p>
        </w:tc>
        <w:tc>
          <w:tcPr>
            <w:tcW w:w="323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0100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1011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</w:t>
            </w:r>
          </w:p>
        </w:tc>
      </w:tr>
      <w:tr>
        <w:trPr/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65,0000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1300</w:t>
            </w:r>
          </w:p>
        </w:tc>
        <w:tc>
          <w:tcPr>
            <w:tcW w:w="323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0101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0001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0100</w:t>
            </w:r>
          </w:p>
        </w:tc>
      </w:tr>
      <w:tr>
        <w:trPr/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80,0000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1600</w:t>
            </w:r>
          </w:p>
        </w:tc>
        <w:tc>
          <w:tcPr>
            <w:tcW w:w="3236" w:type="dxa"/>
            <w:tcBorders/>
          </w:tcPr>
          <w:p>
            <w:pPr>
              <w:pStyle w:val="Normal"/>
              <w:widowControl w:val="false"/>
              <w:suppressLineNumbers/>
              <w:tabs>
                <w:tab w:val="clear" w:pos="708"/>
                <w:tab w:val="left" w:pos="281" w:leader="none"/>
              </w:tabs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0110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0100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</w:t>
            </w:r>
          </w:p>
        </w:tc>
      </w:tr>
      <w:tr>
        <w:trPr/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323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...</w:t>
            </w:r>
          </w:p>
        </w:tc>
      </w:tr>
      <w:tr>
        <w:trPr/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100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2000</w:t>
            </w:r>
          </w:p>
        </w:tc>
        <w:tc>
          <w:tcPr>
            <w:tcW w:w="323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0111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1101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0000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  <w:t>Для реализации операций сравнения фактической температуры с константами необходимо выполнить ее масштабирование [5]. В таблице 8 представлено максимальное масштабирование с шагом дискретизации равным 0,0244.</w:t>
      </w:r>
    </w:p>
    <w:p>
      <w:pPr>
        <w:pStyle w:val="Normal"/>
        <w:widowControl w:val="false"/>
        <w:spacing w:lineRule="auto" w:line="360"/>
        <w:ind w:firstLine="709"/>
        <w:jc w:val="right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 CYR" w:hAnsi="Times New Roman CYR"/>
          <w:sz w:val="28"/>
        </w:rPr>
        <w:t>Таблица 8 – Масштабирование сигнала от датчика температуры</w:t>
      </w:r>
    </w:p>
    <w:tbl>
      <w:tblPr>
        <w:tblStyle w:val="14"/>
        <w:tblW w:w="93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091"/>
        <w:gridCol w:w="5264"/>
      </w:tblGrid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Температура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Код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-50,0000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0000 0000 0000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-49,9756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0000 0000 0001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-49,9512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0000 0000 0010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...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-34,2002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333333"/>
                <w:sz w:val="28"/>
                <w:shd w:fill="FFFFFF" w:val="clear"/>
                <w:lang w:val="ru-RU"/>
              </w:rPr>
              <w:t>0010 1000 0111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8,8278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1001 0110 1001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28,6813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1100 1001 0110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49,9756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1111 1111 1110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50,0000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1111 1111 1111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  <w:t>В таблице 9 представлено неполное масштабирование с шагом дискретизации равным 0,05.</w:t>
      </w:r>
    </w:p>
    <w:p>
      <w:pPr>
        <w:pStyle w:val="Normal"/>
        <w:widowControl w:val="false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lang w:eastAsia="ru-RU"/>
        </w:rPr>
        <w:t>Таблица 9 – Неполное масштабирование сигнала от датчика температуры</w:t>
      </w:r>
    </w:p>
    <w:tbl>
      <w:tblPr>
        <w:tblStyle w:val="14"/>
        <w:tblW w:w="970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35"/>
        <w:gridCol w:w="3235"/>
        <w:gridCol w:w="3236"/>
      </w:tblGrid>
      <w:tr>
        <w:trPr/>
        <w:tc>
          <w:tcPr>
            <w:tcW w:w="32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 xml:space="preserve">Влажность, 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left="-82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Десятичный код</w:t>
            </w:r>
          </w:p>
        </w:tc>
        <w:tc>
          <w:tcPr>
            <w:tcW w:w="32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Код</w:t>
            </w:r>
          </w:p>
        </w:tc>
      </w:tr>
      <w:tr>
        <w:trPr/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-50,0000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323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0000 0000 0000</w:t>
            </w:r>
          </w:p>
        </w:tc>
      </w:tr>
      <w:tr>
        <w:trPr/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-49,9500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323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0000 0000 0001</w:t>
            </w:r>
          </w:p>
        </w:tc>
      </w:tr>
      <w:tr>
        <w:trPr/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-49,9000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323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0000 0000 0010</w:t>
            </w:r>
          </w:p>
        </w:tc>
      </w:tr>
      <w:tr>
        <w:trPr/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323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...</w:t>
            </w:r>
          </w:p>
        </w:tc>
      </w:tr>
      <w:tr>
        <w:trPr/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15,0000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1300</w:t>
            </w:r>
          </w:p>
        </w:tc>
        <w:tc>
          <w:tcPr>
            <w:tcW w:w="323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0101 0001 0100</w:t>
            </w:r>
          </w:p>
        </w:tc>
      </w:tr>
      <w:tr>
        <w:trPr/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25,0000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1500</w:t>
            </w:r>
          </w:p>
        </w:tc>
        <w:tc>
          <w:tcPr>
            <w:tcW w:w="323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0101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1101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1100</w:t>
            </w:r>
          </w:p>
        </w:tc>
      </w:tr>
      <w:tr>
        <w:trPr/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323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...</w:t>
            </w:r>
          </w:p>
        </w:tc>
      </w:tr>
      <w:tr>
        <w:trPr/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50,0000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2000</w:t>
            </w:r>
          </w:p>
        </w:tc>
        <w:tc>
          <w:tcPr>
            <w:tcW w:w="323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0111 1101 0000</w:t>
            </w:r>
          </w:p>
        </w:tc>
      </w:tr>
    </w:tbl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  <w:t>Для реализации операций сравнения фактической степени освещённости в теплице с константами необходимо выполнить ее масштабирование [5]. В таблице 9 представлено максимальное масштабирование с шагом дискретизации равным 0,0733.</w:t>
      </w:r>
    </w:p>
    <w:p>
      <w:pPr>
        <w:pStyle w:val="Normal"/>
        <w:widowControl w:val="false"/>
        <w:spacing w:lineRule="auto" w:line="360"/>
        <w:ind w:firstLine="709"/>
        <w:jc w:val="right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 CYR" w:hAnsi="Times New Roman CYR"/>
          <w:sz w:val="28"/>
        </w:rPr>
        <w:t>Таблица 10 – Масштабирование сигнала от датчика освещённости</w:t>
      </w:r>
    </w:p>
    <w:tbl>
      <w:tblPr>
        <w:tblStyle w:val="14"/>
        <w:tblW w:w="93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091"/>
        <w:gridCol w:w="5264"/>
      </w:tblGrid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Освещённость(Люкс)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Код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0000 0000 0000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sz w:val="28"/>
                <w:lang w:val="ru-RU"/>
              </w:rPr>
              <w:t>0,0733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0000 0000 0001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0,1466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0000 0000 0010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...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  <w:shd w:fill="FFFFFF" w:val="clear"/>
                <w:lang w:val="ru-RU"/>
              </w:rPr>
              <w:t>0,2932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  <w:shd w:fill="FFFFFF" w:val="clear"/>
                <w:lang w:val="ru-RU"/>
              </w:rPr>
              <w:t>0000 0000 1011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  <w:shd w:fill="FFFFFF" w:val="clear"/>
                <w:lang w:val="ru-RU"/>
              </w:rPr>
              <w:t>0,7332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  <w:shd w:fill="FFFFFF" w:val="clear"/>
                <w:lang w:val="ru-RU"/>
              </w:rPr>
              <w:t>0000 0010 0111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  <w:shd w:fill="FFFFFF" w:val="clear"/>
                <w:lang w:val="ru-RU"/>
              </w:rPr>
              <w:t>2,9332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  <w:shd w:fill="FFFFFF" w:val="clear"/>
                <w:lang w:val="ru-RU"/>
              </w:rPr>
              <w:t>0011 0011 0111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299,9267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1111 1111 1110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300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1111 1111 1111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  <w:t>В таблице 9 представлено неполное масштабирование с шагом дискретизации равным 0,1.</w:t>
      </w:r>
    </w:p>
    <w:p>
      <w:pPr>
        <w:pStyle w:val="Normal"/>
        <w:widowControl w:val="false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lang w:eastAsia="ru-RU"/>
        </w:rPr>
        <w:t>Таблица 11 – Неполное масштабирование сигнала от датчика температуры</w:t>
      </w:r>
    </w:p>
    <w:tbl>
      <w:tblPr>
        <w:tblStyle w:val="14"/>
        <w:tblW w:w="970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35"/>
        <w:gridCol w:w="3235"/>
        <w:gridCol w:w="3236"/>
      </w:tblGrid>
      <w:tr>
        <w:trPr/>
        <w:tc>
          <w:tcPr>
            <w:tcW w:w="32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 xml:space="preserve">Влажность, 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left="-82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Десятичный код</w:t>
            </w:r>
          </w:p>
        </w:tc>
        <w:tc>
          <w:tcPr>
            <w:tcW w:w="32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Код</w:t>
            </w:r>
          </w:p>
        </w:tc>
      </w:tr>
      <w:tr>
        <w:trPr/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323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0000 0000 0000</w:t>
            </w:r>
          </w:p>
        </w:tc>
      </w:tr>
      <w:tr>
        <w:trPr/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0,1000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323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0000 0000 0001</w:t>
            </w:r>
          </w:p>
        </w:tc>
      </w:tr>
      <w:tr>
        <w:trPr/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0,2000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323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0000 0000 0010</w:t>
            </w:r>
          </w:p>
        </w:tc>
      </w:tr>
      <w:tr>
        <w:trPr/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323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...</w:t>
            </w:r>
          </w:p>
        </w:tc>
      </w:tr>
      <w:tr>
        <w:trPr/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38,3000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383</w:t>
            </w:r>
          </w:p>
        </w:tc>
        <w:tc>
          <w:tcPr>
            <w:tcW w:w="323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0001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0111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1111</w:t>
            </w:r>
          </w:p>
        </w:tc>
      </w:tr>
      <w:tr>
        <w:trPr/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200,0000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2000</w:t>
            </w:r>
          </w:p>
        </w:tc>
        <w:tc>
          <w:tcPr>
            <w:tcW w:w="323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0111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1101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</w:t>
            </w:r>
          </w:p>
        </w:tc>
      </w:tr>
      <w:tr>
        <w:trPr/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323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...</w:t>
            </w:r>
          </w:p>
        </w:tc>
      </w:tr>
      <w:tr>
        <w:trPr/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300,0000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3000</w:t>
            </w:r>
          </w:p>
        </w:tc>
        <w:tc>
          <w:tcPr>
            <w:tcW w:w="323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1011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1011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1000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19"/>
        <w:rPr/>
      </w:pPr>
      <w:bookmarkStart w:id="13" w:name="_Toc160888812"/>
      <w:r>
        <w:rPr/>
        <w:t>7 Блок-схемы алгоритмов</w:t>
      </w:r>
      <w:bookmarkEnd w:id="13"/>
      <w:r>
        <w:rPr/>
        <w:tab/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На рисунках 2-7 представлены блок-схемы алгоритмов управления сигналами светофора, задание значений длительности света в зависимости от времени суток.</w:t>
      </w:r>
    </w:p>
    <w:p>
      <w:pPr>
        <w:pStyle w:val="Normal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1798955</wp:posOffset>
            </wp:positionH>
            <wp:positionV relativeFrom="paragraph">
              <wp:posOffset>9525</wp:posOffset>
            </wp:positionV>
            <wp:extent cx="2790825" cy="6181725"/>
            <wp:effectExtent l="0" t="0" r="0" b="0"/>
            <wp:wrapTopAndBottom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618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Рисунок 2 – Блок-схема включения/выключения ламп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cs="Times New Roman"/>
          <w:sz w:val="28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30850" cy="246761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2467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sz w:val="28"/>
        </w:rPr>
        <w:t xml:space="preserve">Рисунок 3 – </w:t>
      </w:r>
      <w:r>
        <w:rPr>
          <w:rFonts w:cs="Times New Roman" w:ascii="Times New Roman" w:hAnsi="Times New Roman"/>
          <w:sz w:val="28"/>
        </w:rPr>
        <w:t>Блок-схема алгоритма установки значения длительности света в зависимости от времени суток</w:t>
      </w:r>
    </w:p>
    <w:p>
      <w:pPr>
        <w:pStyle w:val="Normal"/>
        <w:spacing w:lineRule="auto" w:line="360"/>
        <w:ind w:left="36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jc w:val="center"/>
        <w:rPr>
          <w:rFonts w:cs="Times New Roman"/>
        </w:rPr>
      </w:pPr>
      <w:r>
        <w:rPr/>
        <w:drawing>
          <wp:inline distT="0" distB="0" distL="0" distR="0">
            <wp:extent cx="4486275" cy="6010275"/>
            <wp:effectExtent l="0" t="0" r="0" b="0"/>
            <wp:docPr id="4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601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/>
          <w:sz w:val="28"/>
        </w:rPr>
        <w:t xml:space="preserve">Рисунок 4 – </w:t>
      </w:r>
      <w:r>
        <w:rPr>
          <w:rFonts w:cs="Times New Roman" w:ascii="Times New Roman" w:hAnsi="Times New Roman"/>
          <w:sz w:val="28"/>
        </w:rPr>
        <w:t xml:space="preserve">Блок-схема алгоритма системы полива </w:t>
      </w:r>
    </w:p>
    <w:p>
      <w:pPr>
        <w:pStyle w:val="Normal"/>
        <w:suppressAutoHyphens w:val="false"/>
        <w:spacing w:lineRule="auto" w:line="259" w:before="0" w:after="16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rPr/>
      </w:pPr>
      <w:r>
        <w:rPr/>
        <w:drawing>
          <wp:inline distT="0" distB="0" distL="0" distR="0">
            <wp:extent cx="5248275" cy="6200775"/>
            <wp:effectExtent l="0" t="0" r="0" b="0"/>
            <wp:docPr id="5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620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Рисунок 5 – Блок-схема алгоритма работы теплогенератора и вентиляторов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/>
        <w:drawing>
          <wp:inline distT="0" distB="0" distL="0" distR="0">
            <wp:extent cx="3724275" cy="5438775"/>
            <wp:effectExtent l="0" t="0" r="0" b="0"/>
            <wp:docPr id="6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543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Рисунок 6 – Блок-схема алгоритма включения АПК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cs="Times New Roman"/>
        </w:rPr>
      </w:pPr>
      <w:r>
        <w:rPr/>
        <w:drawing>
          <wp:inline distT="0" distB="0" distL="0" distR="0">
            <wp:extent cx="4362450" cy="5676900"/>
            <wp:effectExtent l="0" t="0" r="0" b="0"/>
            <wp:docPr id="7" name="Рисунок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2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567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Рисунок 7 – Блок-схема алгоритма включения вентиля перекрытия воды</w:t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Style19"/>
        <w:rPr/>
      </w:pPr>
      <w:bookmarkStart w:id="14" w:name="_Toc160888813"/>
      <w:r>
        <w:rPr/>
        <w:t xml:space="preserve">8 Программа автоматизации для ПЛК </w:t>
      </w:r>
      <w:r>
        <w:rPr>
          <w:lang w:val="en-US"/>
        </w:rPr>
        <w:t>S</w:t>
      </w:r>
      <w:r>
        <w:rPr/>
        <w:t>7-200</w:t>
      </w:r>
      <w:bookmarkEnd w:id="14"/>
    </w:p>
    <w:p>
      <w:pPr>
        <w:pStyle w:val="Style19"/>
        <w:rPr/>
      </w:pPr>
      <w:bookmarkStart w:id="15" w:name="_Toc160888814"/>
      <w:r>
        <w:rPr/>
        <w:t>8.1 Включение автоматического пожарного крана</w:t>
      </w:r>
      <w:bookmarkEnd w:id="15"/>
    </w:p>
    <w:p>
      <w:pPr>
        <w:pStyle w:val="Style21"/>
        <w:ind w:firstLine="708"/>
        <w:rPr/>
      </w:pPr>
      <w:r>
        <w:rPr/>
        <w:t xml:space="preserve">На рисунке 9 представлена программа вызова прерывания для автоматического пожарного крана [6-8]. Блок-схема этого действия представлена на рисунке 6. На рисунках 10 и 11 представлены программы прерывания для включения и выключения одного из трёх. Обрабатывания сигналов, приходящий с адреса </w:t>
      </w:r>
      <w:r>
        <w:rPr>
          <w:lang w:val="en-US"/>
        </w:rPr>
        <w:t>I</w:t>
      </w:r>
      <w:r>
        <w:rPr/>
        <w:t xml:space="preserve">0.0. Для сигналов с </w:t>
      </w:r>
      <w:r>
        <w:rPr>
          <w:lang w:val="en-US"/>
        </w:rPr>
        <w:t>I</w:t>
      </w:r>
      <w:r>
        <w:rPr/>
        <w:t>0.1-</w:t>
      </w:r>
      <w:r>
        <w:rPr>
          <w:lang w:val="en-US"/>
        </w:rPr>
        <w:t>I</w:t>
      </w:r>
      <w:r>
        <w:rPr/>
        <w:t>0.2 алгоритм аналогичный. Спецификация выходных сигналов датчиков представлена в таблице 4.</w:t>
      </w:r>
    </w:p>
    <w:p>
      <w:pPr>
        <w:pStyle w:val="Normal"/>
        <w:spacing w:lineRule="auto" w:line="360"/>
        <w:jc w:val="center"/>
        <w:rPr>
          <w:rFonts w:cs="Times New Roman"/>
          <w:b/>
        </w:rPr>
      </w:pPr>
      <w:r>
        <w:rPr/>
        <w:drawing>
          <wp:inline distT="0" distB="0" distL="0" distR="0">
            <wp:extent cx="6130290" cy="1028700"/>
            <wp:effectExtent l="0" t="0" r="0" b="0"/>
            <wp:docPr id="8" name="Рисунок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29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9 – Назначение прерываний для АПК.</w:t>
      </w:r>
    </w:p>
    <w:p>
      <w:pPr>
        <w:pStyle w:val="Normal"/>
        <w:spacing w:lineRule="auto" w:line="360"/>
        <w:jc w:val="center"/>
        <w:rPr>
          <w:lang w:eastAsia="ru-RU" w:bidi="ar-SA"/>
        </w:rPr>
      </w:pPr>
      <w:r>
        <w:rPr/>
        <w:drawing>
          <wp:inline distT="0" distB="0" distL="0" distR="0">
            <wp:extent cx="2895600" cy="1200150"/>
            <wp:effectExtent l="0" t="0" r="0" b="0"/>
            <wp:docPr id="9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eastAsia="ru-RU" w:bidi="ar-SA"/>
        </w:rPr>
      </w:pPr>
      <w:r>
        <w:rPr>
          <w:rFonts w:cs="Times New Roman" w:ascii="Times New Roman" w:hAnsi="Times New Roman"/>
          <w:sz w:val="28"/>
          <w:szCs w:val="28"/>
          <w:lang w:eastAsia="ru-RU" w:bidi="ar-SA"/>
        </w:rPr>
        <w:t xml:space="preserve">Рисунок 10 – Программа обработки прерывания по включению АПК </w:t>
      </w:r>
    </w:p>
    <w:p>
      <w:pPr>
        <w:pStyle w:val="Normal"/>
        <w:spacing w:lineRule="auto" w:line="360"/>
        <w:jc w:val="center"/>
        <w:rPr>
          <w:lang w:eastAsia="ru-RU" w:bidi="ar-SA"/>
        </w:rPr>
      </w:pPr>
      <w:r>
        <w:rPr/>
        <w:drawing>
          <wp:inline distT="0" distB="0" distL="0" distR="0">
            <wp:extent cx="2981325" cy="1152525"/>
            <wp:effectExtent l="0" t="0" r="0" b="0"/>
            <wp:docPr id="10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eastAsia="ru-RU" w:bidi="ar-SA"/>
        </w:rPr>
        <w:t xml:space="preserve"> </w:t>
      </w:r>
    </w:p>
    <w:p>
      <w:pPr>
        <w:pStyle w:val="Normal"/>
        <w:spacing w:lineRule="auto" w:line="360"/>
        <w:jc w:val="center"/>
        <w:rPr>
          <w:rFonts w:cs="Times New Roman"/>
        </w:rPr>
      </w:pPr>
      <w:r>
        <w:rPr>
          <w:rFonts w:cs="Times New Roman" w:ascii="Times New Roman" w:hAnsi="Times New Roman"/>
          <w:sz w:val="28"/>
          <w:szCs w:val="28"/>
          <w:lang w:eastAsia="ru-RU" w:bidi="ar-SA"/>
        </w:rPr>
        <w:t>Рисунок 11 – Программа обработки прерывания по выключению АПК</w:t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Style19"/>
        <w:rPr/>
      </w:pPr>
      <w:bookmarkStart w:id="16" w:name="_Toc160888815"/>
      <w:r>
        <w:rPr/>
        <w:t>8.2 Включение вентиля перекрытия воды</w:t>
      </w:r>
      <w:bookmarkEnd w:id="16"/>
    </w:p>
    <w:p>
      <w:pPr>
        <w:pStyle w:val="Style21"/>
        <w:ind w:firstLine="708"/>
        <w:rPr/>
      </w:pPr>
      <w:r>
        <w:rPr>
          <w:rFonts w:cs="Times New Roman"/>
        </w:rPr>
        <w:t>На рисунке 12 представлен алгоритм программы для вентиля перекрытия подачи воды [6-8].</w:t>
      </w:r>
      <w:r>
        <w:rPr/>
        <w:t xml:space="preserve"> Блок-схема этого действия представлена на рисунке 7.</w:t>
      </w:r>
      <w:r>
        <w:rPr>
          <w:rFonts w:cs="Times New Roman"/>
        </w:rPr>
        <w:t xml:space="preserve"> Он обрабатывает сигнал с </w:t>
      </w:r>
      <w:r>
        <w:rPr>
          <w:rFonts w:cs="Times New Roman"/>
          <w:lang w:val="en-US"/>
        </w:rPr>
        <w:t>I</w:t>
      </w:r>
      <w:r>
        <w:rPr>
          <w:rFonts w:cs="Times New Roman"/>
        </w:rPr>
        <w:t xml:space="preserve">0.3. Для сигнала с </w:t>
      </w:r>
      <w:r>
        <w:rPr>
          <w:rFonts w:cs="Times New Roman"/>
          <w:lang w:val="en-US"/>
        </w:rPr>
        <w:t>I</w:t>
      </w:r>
      <w:r>
        <w:rPr>
          <w:rFonts w:cs="Times New Roman"/>
        </w:rPr>
        <w:t xml:space="preserve">0.4 программа аналогична, с тем же самым выходом. </w:t>
      </w:r>
      <w:r>
        <w:rPr/>
        <w:t>Спецификация выходных сигналов датчиков представлена в таблице 4.</w:t>
      </w:r>
    </w:p>
    <w:p>
      <w:pPr>
        <w:pStyle w:val="Normal"/>
        <w:spacing w:lineRule="auto" w:line="360"/>
        <w:jc w:val="center"/>
        <w:rPr>
          <w:rFonts w:cs="Times New Roman"/>
        </w:rPr>
      </w:pPr>
      <w:r>
        <w:rPr/>
        <w:drawing>
          <wp:inline distT="0" distB="0" distL="0" distR="0">
            <wp:extent cx="5533390" cy="2287905"/>
            <wp:effectExtent l="0" t="0" r="0" b="0"/>
            <wp:docPr id="1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390" cy="2287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12 – Перекрытие подачи воды при срабатывании датчика протечки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19"/>
        <w:rPr/>
      </w:pPr>
      <w:bookmarkStart w:id="17" w:name="_Toc160888816"/>
      <w:r>
        <w:rPr/>
        <w:t>8.3 Мониторинг влажности почвы</w:t>
      </w:r>
      <w:bookmarkEnd w:id="17"/>
    </w:p>
    <w:p>
      <w:pPr>
        <w:pStyle w:val="Style21"/>
        <w:ind w:firstLine="708"/>
        <w:rPr/>
      </w:pPr>
      <w:r>
        <w:rPr>
          <w:rFonts w:cs="Times New Roman"/>
        </w:rPr>
        <w:t xml:space="preserve">На рисунке 13 представлен алгоритм поддержания оптимальной влажности почвы для данных, приходящих с аналогового датчика </w:t>
      </w:r>
      <w:r>
        <w:rPr>
          <w:rFonts w:cs="Times New Roman"/>
          <w:lang w:val="en-US"/>
        </w:rPr>
        <w:t>AIW</w:t>
      </w:r>
      <w:r>
        <w:rPr>
          <w:rFonts w:cs="Times New Roman"/>
        </w:rPr>
        <w:t xml:space="preserve">8 [6-8]. </w:t>
      </w:r>
      <w:r>
        <w:rPr/>
        <w:t xml:space="preserve">Блок-схема этого действия представлена на рисунке 4. </w:t>
      </w:r>
      <w:r>
        <w:rPr>
          <w:rFonts w:cs="Times New Roman"/>
        </w:rPr>
        <w:t xml:space="preserve">Алгоритм аналогичен и для остальных датчиков </w:t>
      </w:r>
      <w:r>
        <w:rPr>
          <w:rFonts w:cs="Times New Roman"/>
          <w:lang w:val="en-US"/>
        </w:rPr>
        <w:t>AIW</w:t>
      </w:r>
      <w:r>
        <w:rPr>
          <w:rFonts w:cs="Times New Roman"/>
        </w:rPr>
        <w:t xml:space="preserve">10, </w:t>
      </w:r>
      <w:r>
        <w:rPr>
          <w:rFonts w:cs="Times New Roman"/>
          <w:lang w:val="en-US"/>
        </w:rPr>
        <w:t>AIW</w:t>
      </w:r>
      <w:r>
        <w:rPr>
          <w:rFonts w:cs="Times New Roman"/>
        </w:rPr>
        <w:t xml:space="preserve">12, </w:t>
      </w:r>
      <w:r>
        <w:rPr>
          <w:rFonts w:cs="Times New Roman"/>
          <w:lang w:val="en-US"/>
        </w:rPr>
        <w:t>AIW</w:t>
      </w:r>
      <w:r>
        <w:rPr>
          <w:rFonts w:cs="Times New Roman"/>
        </w:rPr>
        <w:t>14.</w:t>
      </w:r>
      <w:r>
        <w:rPr/>
        <w:t xml:space="preserve"> Спецификация выходных сигналов датчиков представлена в таблице 4.</w:t>
      </w:r>
    </w:p>
    <w:p>
      <w:pPr>
        <w:pStyle w:val="Normal"/>
        <w:spacing w:lineRule="auto" w:line="360"/>
        <w:jc w:val="center"/>
        <w:rPr>
          <w:rFonts w:cs="Times New Roman"/>
        </w:rPr>
      </w:pPr>
      <w:r>
        <w:rPr/>
        <w:drawing>
          <wp:inline distT="0" distB="0" distL="0" distR="0">
            <wp:extent cx="3876675" cy="5660390"/>
            <wp:effectExtent l="0" t="0" r="0" b="0"/>
            <wp:docPr id="12" name="Рисунок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7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5660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13 -  Алгоритм поддержания влажности почвы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9"/>
        <w:rPr/>
      </w:pPr>
      <w:bookmarkStart w:id="18" w:name="_Toc160888817"/>
      <w:r>
        <w:rPr/>
        <w:t>8.4 Мониторинг влажности воздуха</w:t>
      </w:r>
      <w:bookmarkEnd w:id="18"/>
    </w:p>
    <w:p>
      <w:pPr>
        <w:pStyle w:val="Style21"/>
        <w:ind w:firstLine="708"/>
        <w:rPr/>
      </w:pPr>
      <w:r>
        <w:rPr>
          <w:rFonts w:cs="Times New Roman"/>
        </w:rPr>
        <w:t xml:space="preserve">На рисунке 14 представлен алгоритм поддержания оптимальной влажности воздуха для данных, приходящих с аналогового датчика </w:t>
      </w:r>
      <w:r>
        <w:rPr>
          <w:rFonts w:cs="Times New Roman"/>
          <w:lang w:val="en-US"/>
        </w:rPr>
        <w:t>AIW</w:t>
      </w:r>
      <w:r>
        <w:rPr>
          <w:rFonts w:cs="Times New Roman"/>
        </w:rPr>
        <w:t xml:space="preserve">16 [6-8]. </w:t>
      </w:r>
      <w:r>
        <w:rPr/>
        <w:t>Блок-схема этого действия представлена на рисунке 3.</w:t>
      </w:r>
      <w:r>
        <w:rPr>
          <w:rFonts w:cs="Times New Roman"/>
        </w:rPr>
        <w:t xml:space="preserve"> Для датчика </w:t>
      </w:r>
      <w:r>
        <w:rPr>
          <w:rFonts w:cs="Times New Roman"/>
          <w:lang w:val="en-US"/>
        </w:rPr>
        <w:t>AIW</w:t>
      </w:r>
      <w:r>
        <w:rPr>
          <w:rFonts w:cs="Times New Roman"/>
        </w:rPr>
        <w:t>18 алгоритм аналогичен.</w:t>
      </w:r>
      <w:r>
        <w:rPr/>
        <w:t xml:space="preserve"> Спецификация выходных сигналов датчиков представлена в таблице 4.</w:t>
      </w:r>
    </w:p>
    <w:p>
      <w:pPr>
        <w:pStyle w:val="Normal"/>
        <w:spacing w:lineRule="auto" w:line="360"/>
        <w:jc w:val="center"/>
        <w:rPr>
          <w:rFonts w:cs="Times New Roman"/>
          <w:lang w:val="en-US"/>
        </w:rPr>
      </w:pPr>
      <w:r>
        <w:rPr/>
        <w:drawing>
          <wp:inline distT="0" distB="0" distL="0" distR="0">
            <wp:extent cx="5162550" cy="5011420"/>
            <wp:effectExtent l="0" t="0" r="0" b="0"/>
            <wp:docPr id="13" name="Рисунок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2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5011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Рисунок 14 -  Алгоритм поддержания влажности воздуха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Style19"/>
        <w:rPr/>
      </w:pPr>
      <w:bookmarkStart w:id="19" w:name="_Toc160888818"/>
      <w:r>
        <w:rPr/>
        <w:t>8.5 Включение и выключение света в теплице</w:t>
      </w:r>
      <w:bookmarkEnd w:id="19"/>
    </w:p>
    <w:p>
      <w:pPr>
        <w:pStyle w:val="Style21"/>
        <w:ind w:firstLine="708"/>
        <w:rPr/>
      </w:pPr>
      <w:r>
        <w:rPr>
          <w:rFonts w:cs="Times New Roman"/>
        </w:rPr>
        <w:t xml:space="preserve">На рисунке 14 представлен алгоритм включения и выключения света в теплице [6-8]. </w:t>
      </w:r>
      <w:r>
        <w:rPr/>
        <w:t>Блок-схема этого действия представлена на рисунке 2.</w:t>
      </w:r>
      <w:r>
        <w:rPr>
          <w:rFonts w:cs="Times New Roman"/>
        </w:rPr>
        <w:t xml:space="preserve"> Для проверки степени освещённости используются значения, приходящие с датчика </w:t>
      </w:r>
      <w:r>
        <w:rPr>
          <w:rFonts w:cs="Times New Roman"/>
          <w:lang w:val="en-US"/>
        </w:rPr>
        <w:t>AIW</w:t>
      </w:r>
      <w:r>
        <w:rPr>
          <w:rFonts w:cs="Times New Roman"/>
        </w:rPr>
        <w:t xml:space="preserve">4. Для датчика </w:t>
      </w:r>
      <w:r>
        <w:rPr>
          <w:rFonts w:cs="Times New Roman"/>
          <w:lang w:val="en-US"/>
        </w:rPr>
        <w:t>AIW</w:t>
      </w:r>
      <w:r>
        <w:rPr>
          <w:rFonts w:cs="Times New Roman"/>
        </w:rPr>
        <w:t>6 алгоритм аналогичен.</w:t>
      </w:r>
      <w:r>
        <w:rPr/>
        <w:t xml:space="preserve"> Спецификация выходных сигналов датчиков представлена в таблице 4.</w:t>
      </w:r>
    </w:p>
    <w:p>
      <w:pPr>
        <w:pStyle w:val="Normal"/>
        <w:spacing w:lineRule="auto" w:line="360"/>
        <w:jc w:val="center"/>
        <w:rPr>
          <w:rFonts w:cs="Times New Roman"/>
        </w:rPr>
      </w:pPr>
      <w:r>
        <w:rPr/>
        <w:drawing>
          <wp:inline distT="0" distB="0" distL="0" distR="0">
            <wp:extent cx="3067050" cy="3609975"/>
            <wp:effectExtent l="0" t="0" r="0" b="0"/>
            <wp:docPr id="14" name="Рисунок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2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3609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Рисунок 15 -  Включение\выключения ламп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ab/>
      </w:r>
    </w:p>
    <w:p>
      <w:pPr>
        <w:pStyle w:val="Style19"/>
        <w:rPr/>
      </w:pPr>
      <w:bookmarkStart w:id="20" w:name="_Toc160888819"/>
      <w:r>
        <w:rPr/>
        <w:t>8.6 Поддержание оптимальной температуры в теплице</w:t>
      </w:r>
      <w:bookmarkEnd w:id="20"/>
    </w:p>
    <w:p>
      <w:pPr>
        <w:pStyle w:val="Style21"/>
        <w:ind w:firstLine="708"/>
        <w:rPr/>
      </w:pPr>
      <w:r>
        <w:rPr>
          <w:rFonts w:cs="Times New Roman"/>
        </w:rPr>
        <w:t xml:space="preserve">На рисунке 14 представлен алгоритм поддержания оптимальной температуры в теплице [6-8]. </w:t>
      </w:r>
      <w:r>
        <w:rPr/>
        <w:t>Блок-схема этого действия представлена на рисунке 5.</w:t>
      </w:r>
      <w:r>
        <w:rPr>
          <w:rFonts w:cs="Times New Roman"/>
        </w:rPr>
        <w:t xml:space="preserve"> Для этого используются значения, приходящие с датчика </w:t>
      </w:r>
      <w:r>
        <w:rPr>
          <w:rFonts w:cs="Times New Roman"/>
          <w:lang w:val="en-US"/>
        </w:rPr>
        <w:t>AIW</w:t>
      </w:r>
      <w:r>
        <w:rPr>
          <w:rFonts w:cs="Times New Roman"/>
        </w:rPr>
        <w:t xml:space="preserve">0. Алгоритм аналогичен для датчика </w:t>
      </w:r>
      <w:r>
        <w:rPr>
          <w:rFonts w:cs="Times New Roman"/>
          <w:lang w:val="en-US"/>
        </w:rPr>
        <w:t>AIW</w:t>
      </w:r>
      <w:r>
        <w:rPr>
          <w:rFonts w:cs="Times New Roman"/>
        </w:rPr>
        <w:t xml:space="preserve">2. Для датчика </w:t>
      </w:r>
      <w:r>
        <w:rPr>
          <w:rFonts w:cs="Times New Roman"/>
          <w:lang w:val="en-US"/>
        </w:rPr>
        <w:t>AIW</w:t>
      </w:r>
      <w:r>
        <w:rPr>
          <w:rFonts w:cs="Times New Roman"/>
        </w:rPr>
        <w:t>6 алгоритм аналогичен.</w:t>
      </w:r>
      <w:r>
        <w:rPr/>
        <w:t xml:space="preserve"> Спецификация выходных сигналов датчиков представлена в таблице 4.</w:t>
      </w:r>
    </w:p>
    <w:tbl>
      <w:tblPr>
        <w:tblStyle w:val="af9"/>
        <w:tblW w:w="92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71"/>
        <w:gridCol w:w="814"/>
      </w:tblGrid>
      <w:tr>
        <w:trPr/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4695C856">
                      <wp:extent cx="5759450" cy="5197475"/>
                      <wp:effectExtent l="635" t="280670" r="8255" b="280670"/>
                      <wp:docPr id="15" name="Рисунок 14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" name="Рисунок 14" descr=""/>
                              <pic:cNvPicPr/>
                            </pic:nvPicPr>
                            <pic:blipFill>
                              <a:blip r:embed="rId16"/>
                              <a:stretch/>
                            </pic:blipFill>
                            <pic:spPr>
                              <a:xfrm rot="16200000">
                                <a:off x="0" y="0"/>
                                <a:ext cx="5759280" cy="51973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_0" ID="Рисунок 14" stroked="f" o:allowincell="f" style="position:absolute;margin-left:-22.1pt;margin-top:-431.45pt;width:453.45pt;height:409.2pt;mso-wrap-style:none;v-text-anchor:middle;rotation:270;mso-position-vertical:top" wp14:anchorId="4695C856" type="_x0000_t75">
                      <v:imagedata r:id="rId17" o:detectmouseclick="t"/>
                      <v:stroke color="#3465a4" joinstyle="round" endcap="flat"/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cs="Times New Roman"/>
              </w:rPr>
            </w:pPr>
            <w:r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7E54E150">
                      <wp:extent cx="5715000" cy="285750"/>
                      <wp:effectExtent l="635" t="2714625" r="8255" b="2715260"/>
                      <wp:docPr id="17" name="Рисунок 2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" name="Рисунок 2" descr=""/>
                              <pic:cNvPicPr/>
                            </pic:nvPicPr>
                            <pic:blipFill>
                              <a:blip r:embed="rId18"/>
                              <a:stretch/>
                            </pic:blipFill>
                            <pic:spPr>
                              <a:xfrm rot="16200000">
                                <a:off x="0" y="0"/>
                                <a:ext cx="5715000" cy="2858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ID="Рисунок 2" stroked="f" o:allowincell="f" style="position:absolute;margin-left:-213.75pt;margin-top:-236.35pt;width:449.95pt;height:22.45pt;mso-wrap-style:none;v-text-anchor:middle;rotation:270;mso-position-vertical:top" wp14:anchorId="7E54E150" type="_x0000_t75">
                      <v:imagedata r:id="rId19" o:detectmouseclick="t"/>
                      <v:stroke color="#3465a4" joinstyle="round" endcap="flat"/>
                      <w10:wrap type="square"/>
                    </v:shape>
                  </w:pict>
                </mc:Fallback>
              </mc:AlternateContent>
            </w:r>
          </w:p>
        </w:tc>
      </w:tr>
    </w:tbl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rPr>
          <w:rFonts w:cs="Times New Roman"/>
          <w:lang w:val="en-US"/>
        </w:rPr>
      </w:pPr>
      <w:r>
        <w:rPr>
          <w:rFonts w:cs="Times New Roman"/>
          <w:lang w:val="en-US"/>
        </w:rPr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12"/>
        <w:rPr/>
      </w:pPr>
      <w:bookmarkStart w:id="21" w:name="_Toc160888820"/>
      <w:bookmarkStart w:id="22" w:name="_Toc129648803"/>
      <w:r>
        <w:rPr/>
        <w:t>Вывод</w:t>
      </w:r>
      <w:bookmarkEnd w:id="21"/>
      <w:bookmarkEnd w:id="22"/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В рамках данного курсового проекта была разработана система автоматизированного контроля и поддержания оптимального микроклимата в теплице. Данная система позволяет наблюдать и регулировать значения не только температуры и влажности, но также контролировать включение и выключение света, а также обнаруживать и реагировать на задымленность. 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Система предоставляет возможность мониторинга и управления параметрами микроклимата с использованием датчиков, контроллеров и исполнительных устройств. Она обеспечивает автоматическое регулирование работы отопления, охлаждения, освещения и вентиляции в теплице, что позволяет оптимизировать условия для роста и развития растений.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Style19"/>
        <w:rPr/>
      </w:pPr>
      <w:bookmarkStart w:id="23" w:name="_Toc160888821"/>
      <w:r>
        <w:rPr/>
        <w:t>Список источников</w:t>
      </w:r>
      <w:bookmarkEnd w:id="23"/>
    </w:p>
    <w:p>
      <w:pPr>
        <w:pStyle w:val="Style21"/>
        <w:numPr>
          <w:ilvl w:val="0"/>
          <w:numId w:val="5"/>
        </w:numPr>
        <w:rPr>
          <w:rFonts w:eastAsia="SimSun" w:cs="Mangal"/>
          <w:kern w:val="2"/>
          <w:szCs w:val="32"/>
        </w:rPr>
      </w:pPr>
      <w:r>
        <w:rPr/>
        <w:t>Введение в ПЛК [Электронный ресурс] - Электронные данные – Режим доступа к данным: https://www.compel.ru/lib/95591, свободный – Дата доступа: 06.03.2024.</w:t>
      </w:r>
    </w:p>
    <w:p>
      <w:pPr>
        <w:pStyle w:val="Style21"/>
        <w:numPr>
          <w:ilvl w:val="0"/>
          <w:numId w:val="5"/>
        </w:numPr>
        <w:rPr>
          <w:color w:themeColor="text1" w:val="000000"/>
        </w:rPr>
      </w:pPr>
      <w:r>
        <w:rPr/>
        <w:t xml:space="preserve">Автоматизированная система управления тепличным хозяйством на базе микроконтроллеров [Электронный ресурс] - Электронные данные – Режим доступа к  данным: </w:t>
      </w:r>
      <w:hyperlink r:id="rId20">
        <w:r>
          <w:rPr>
            <w:rStyle w:val="Hyperlink"/>
            <w:color w:val="auto"/>
          </w:rPr>
          <w:t>http://elar.uspu.ru/bitstream/uspu/15860/2/Kelsin2.pdf</w:t>
        </w:r>
      </w:hyperlink>
      <w:r>
        <w:rPr/>
        <w:t xml:space="preserve"> </w:t>
      </w:r>
      <w:r>
        <w:rPr>
          <w:color w:themeColor="text1" w:val="000000"/>
        </w:rPr>
        <w:t xml:space="preserve">свободный – Дата доступа: </w:t>
      </w:r>
      <w:r>
        <w:rPr/>
        <w:t>06.03.2024</w:t>
      </w:r>
      <w:r>
        <w:rPr>
          <w:color w:themeColor="text1" w:val="000000"/>
        </w:rPr>
        <w:t>.</w:t>
      </w:r>
    </w:p>
    <w:p>
      <w:pPr>
        <w:pStyle w:val="Style21"/>
        <w:numPr>
          <w:ilvl w:val="0"/>
          <w:numId w:val="5"/>
        </w:numPr>
        <w:rPr>
          <w:color w:themeColor="text1" w:val="000000"/>
        </w:rPr>
      </w:pPr>
      <w:r>
        <w:rPr>
          <w:color w:themeColor="text1" w:val="000000"/>
        </w:rPr>
        <w:t xml:space="preserve">Технические средства на примере семейства SIMATIC S7-200 // Изучаем цифровую технику </w:t>
      </w:r>
      <w:r>
        <w:rPr>
          <w:color w:themeColor="text1" w:val="000000"/>
          <w:szCs w:val="28"/>
        </w:rPr>
        <w:t>[Электронный ресурс] - Электронные данные – Режим доступа к данным:</w:t>
      </w:r>
      <w:r>
        <w:rPr>
          <w:color w:themeColor="text1" w:val="000000"/>
        </w:rPr>
        <w:t xml:space="preserve"> </w:t>
      </w:r>
      <w:hyperlink r:id="rId21">
        <w:r>
          <w:rPr>
            <w:rStyle w:val="Hyperlink"/>
            <w:rFonts w:eastAsia="SimSun" w:cs="Mangal"/>
            <w:color w:themeColor="text1" w:val="000000"/>
            <w:kern w:val="2"/>
          </w:rPr>
          <w:t>https://cifra.studentmiv.ru/wp-content/uploads/2020/12/2_Odnokorpusnyie-PLK_tehnicheskie-sredstva.pdf</w:t>
        </w:r>
      </w:hyperlink>
      <w:r>
        <w:rPr>
          <w:color w:themeColor="text1" w:val="000000"/>
        </w:rPr>
        <w:t xml:space="preserve"> , свободный – Дата доступа: </w:t>
      </w:r>
      <w:r>
        <w:rPr/>
        <w:t>06.03.2024</w:t>
      </w:r>
      <w:r>
        <w:rPr>
          <w:color w:themeColor="text1" w:val="000000"/>
        </w:rPr>
        <w:t>.</w:t>
      </w:r>
    </w:p>
    <w:p>
      <w:pPr>
        <w:pStyle w:val="Style21"/>
        <w:numPr>
          <w:ilvl w:val="0"/>
          <w:numId w:val="5"/>
        </w:numPr>
        <w:rPr>
          <w:color w:themeColor="text1" w:val="000000"/>
        </w:rPr>
      </w:pPr>
      <w:r>
        <w:rPr>
          <w:color w:themeColor="text1" w:val="000000"/>
        </w:rPr>
        <w:t xml:space="preserve">Программируемый контроллер S7-200 // Intechcom </w:t>
      </w:r>
      <w:r>
        <w:rPr>
          <w:color w:themeColor="text1" w:val="000000"/>
          <w:szCs w:val="28"/>
        </w:rPr>
        <w:t>[Электронный ресурс] - Электронные данные – Режим доступа к данным:</w:t>
      </w:r>
      <w:r>
        <w:rPr>
          <w:color w:themeColor="text1" w:val="000000"/>
        </w:rPr>
        <w:t xml:space="preserve"> </w:t>
      </w:r>
      <w:hyperlink r:id="rId22">
        <w:r>
          <w:rPr>
            <w:rStyle w:val="Hyperlink"/>
            <w:rFonts w:eastAsia="SimSun" w:cs="Mangal"/>
            <w:color w:themeColor="text1" w:val="000000"/>
            <w:kern w:val="2"/>
          </w:rPr>
          <w:t>http://www.intechcom.ru/sites/default/files/production_files/s7-200_man.pdf</w:t>
        </w:r>
      </w:hyperlink>
      <w:r>
        <w:rPr>
          <w:color w:themeColor="text1" w:val="000000"/>
        </w:rPr>
        <w:t xml:space="preserve"> , свободный – Дата доступа: </w:t>
      </w:r>
      <w:r>
        <w:rPr/>
        <w:t>06.03.2024</w:t>
      </w:r>
      <w:r>
        <w:rPr>
          <w:color w:themeColor="text1" w:val="000000"/>
        </w:rPr>
        <w:t>.</w:t>
      </w:r>
    </w:p>
    <w:p>
      <w:pPr>
        <w:pStyle w:val="Style21"/>
        <w:numPr>
          <w:ilvl w:val="0"/>
          <w:numId w:val="5"/>
        </w:numPr>
        <w:rPr>
          <w:color w:themeColor="text1" w:val="000000"/>
        </w:rPr>
      </w:pPr>
      <w:r>
        <w:rPr>
          <w:color w:themeColor="text1" w:val="000000"/>
        </w:rPr>
        <w:t xml:space="preserve">Структура цифровой системы автоматизации // Изучаем цифровую технику </w:t>
      </w:r>
      <w:r>
        <w:rPr>
          <w:color w:themeColor="text1" w:val="000000"/>
          <w:szCs w:val="28"/>
        </w:rPr>
        <w:t xml:space="preserve">[Электронный ресурс] - Электронные данные – Режим доступа к данным: </w:t>
      </w:r>
      <w:hyperlink r:id="rId23">
        <w:r>
          <w:rPr>
            <w:rStyle w:val="Hyperlink"/>
            <w:rFonts w:eastAsia="SimSun" w:cs="Mangal"/>
            <w:color w:themeColor="text1" w:val="000000"/>
            <w:kern w:val="2"/>
          </w:rPr>
          <w:t>https://cifra.studentmiv.ru/wp-content/uploads/2021/02/Struktura-tsifrovoy-SA_teoriya.pdf</w:t>
        </w:r>
      </w:hyperlink>
      <w:r>
        <w:rPr>
          <w:color w:themeColor="text1" w:val="000000"/>
        </w:rPr>
        <w:t xml:space="preserve"> , свободный – Дата доступа: </w:t>
      </w:r>
      <w:r>
        <w:rPr/>
        <w:t>06.03.2024</w:t>
      </w:r>
      <w:r>
        <w:rPr>
          <w:color w:themeColor="text1" w:val="000000"/>
        </w:rPr>
        <w:t>.</w:t>
      </w:r>
    </w:p>
    <w:p>
      <w:pPr>
        <w:pStyle w:val="Style21"/>
        <w:numPr>
          <w:ilvl w:val="0"/>
          <w:numId w:val="5"/>
        </w:numPr>
        <w:spacing w:lineRule="auto" w:line="259" w:before="0" w:after="160"/>
        <w:rPr>
          <w:rFonts w:eastAsia="SimSun" w:cs="Mangal"/>
          <w:kern w:val="2"/>
          <w:szCs w:val="32"/>
        </w:rPr>
      </w:pPr>
      <w:r>
        <w:rPr>
          <w:color w:themeColor="text1" w:val="000000"/>
        </w:rPr>
        <w:t xml:space="preserve">Музылева, И. В. Практическая работа в </w:t>
      </w:r>
      <w:r>
        <w:rPr>
          <w:color w:themeColor="text1" w:val="000000"/>
          <w:lang w:val="en-US"/>
        </w:rPr>
        <w:t>STEP</w:t>
      </w:r>
      <w:r>
        <w:rPr>
          <w:color w:themeColor="text1" w:val="000000"/>
        </w:rPr>
        <w:t xml:space="preserve">7 </w:t>
      </w:r>
      <w:r>
        <w:rPr>
          <w:color w:themeColor="text1" w:val="000000"/>
          <w:lang w:val="en-US"/>
        </w:rPr>
        <w:t>Micro</w:t>
      </w:r>
      <w:r>
        <w:rPr>
          <w:color w:themeColor="text1" w:val="000000"/>
        </w:rPr>
        <w:t>/</w:t>
      </w:r>
      <w:r>
        <w:rPr>
          <w:color w:themeColor="text1" w:val="000000"/>
          <w:lang w:val="en-US"/>
        </w:rPr>
        <w:t>Win</w:t>
      </w:r>
      <w:r>
        <w:rPr>
          <w:color w:themeColor="text1" w:val="000000"/>
        </w:rPr>
        <w:t xml:space="preserve"> промышленного программного обеспечения </w:t>
      </w:r>
      <w:r>
        <w:rPr>
          <w:color w:themeColor="text1" w:val="000000"/>
          <w:lang w:val="en-US"/>
        </w:rPr>
        <w:t>SIMATIC</w:t>
      </w:r>
      <w:r>
        <w:rPr>
          <w:color w:themeColor="text1" w:val="000000"/>
        </w:rPr>
        <w:t>. Учебное пособие. [Текст]: учебное пособие / И. В. Музылева. – Липецк: ЛГТУ, 2005.</w:t>
      </w:r>
    </w:p>
    <w:p>
      <w:pPr>
        <w:pStyle w:val="Style21"/>
        <w:numPr>
          <w:ilvl w:val="0"/>
          <w:numId w:val="5"/>
        </w:numPr>
        <w:rPr>
          <w:color w:themeColor="text1" w:val="000000"/>
        </w:rPr>
      </w:pPr>
      <w:r>
        <w:rPr>
          <w:color w:themeColor="text1" w:val="000000"/>
        </w:rPr>
        <w:t xml:space="preserve">Набор команд S7–200 // Siemens-ru </w:t>
      </w:r>
      <w:r>
        <w:rPr>
          <w:color w:themeColor="text1" w:val="000000"/>
          <w:szCs w:val="28"/>
        </w:rPr>
        <w:t>[Электронный ресурс] - Электронные данные – Режим доступа к данным:</w:t>
      </w:r>
      <w:r>
        <w:rPr>
          <w:color w:themeColor="text1" w:val="000000"/>
        </w:rPr>
        <w:t xml:space="preserve"> </w:t>
      </w:r>
      <w:hyperlink r:id="rId24">
        <w:r>
          <w:rPr>
            <w:rStyle w:val="Hyperlink"/>
            <w:rFonts w:eastAsia="SimSun" w:cs="Mangal"/>
            <w:color w:themeColor="text1" w:val="000000"/>
            <w:kern w:val="2"/>
          </w:rPr>
          <w:t>https://www.siemens-ru.com/doc/06_InstructionSet_r.pdf</w:t>
        </w:r>
      </w:hyperlink>
      <w:r>
        <w:rPr>
          <w:color w:themeColor="text1" w:val="000000"/>
        </w:rPr>
        <w:t xml:space="preserve"> , свободный – Дата доступа: </w:t>
      </w:r>
      <w:r>
        <w:rPr/>
        <w:t>06.03.2024</w:t>
      </w:r>
      <w:r>
        <w:rPr>
          <w:color w:themeColor="text1" w:val="000000"/>
        </w:rPr>
        <w:t>.</w:t>
      </w:r>
    </w:p>
    <w:p>
      <w:pPr>
        <w:pStyle w:val="Style21"/>
        <w:numPr>
          <w:ilvl w:val="0"/>
          <w:numId w:val="5"/>
        </w:numPr>
        <w:rPr>
          <w:color w:themeColor="text1" w:val="000000"/>
        </w:rPr>
      </w:pPr>
      <w:r>
        <w:rPr>
          <w:color w:themeColor="text1" w:val="000000"/>
        </w:rPr>
        <w:t xml:space="preserve">Музылева, И. В. Программирование промышленных логических контроллеров </w:t>
      </w:r>
      <w:r>
        <w:rPr>
          <w:color w:themeColor="text1" w:val="000000"/>
          <w:lang w:val="en-US"/>
        </w:rPr>
        <w:t>SIMATIC</w:t>
      </w:r>
      <w:r>
        <w:rPr>
          <w:color w:themeColor="text1" w:val="000000"/>
        </w:rPr>
        <w:t xml:space="preserve"> </w:t>
      </w:r>
      <w:r>
        <w:rPr>
          <w:color w:themeColor="text1" w:val="000000"/>
          <w:lang w:val="en-US"/>
        </w:rPr>
        <w:t>S</w:t>
      </w:r>
      <w:r>
        <w:rPr>
          <w:color w:themeColor="text1" w:val="000000"/>
        </w:rPr>
        <w:t xml:space="preserve">7. Часть 1. Семейство </w:t>
      </w:r>
      <w:r>
        <w:rPr>
          <w:color w:themeColor="text1" w:val="000000"/>
          <w:lang w:val="en-US"/>
        </w:rPr>
        <w:t>S</w:t>
      </w:r>
      <w:r>
        <w:rPr>
          <w:color w:themeColor="text1" w:val="000000"/>
        </w:rPr>
        <w:t>7-200 [Текст]: учебное пособие / И. В. Музылева. – Липецк: ЛГТУ, 2013. – 72 с.</w:t>
      </w:r>
    </w:p>
    <w:sectPr>
      <w:footerReference w:type="even" r:id="rId25"/>
      <w:footerReference w:type="default" r:id="rId26"/>
      <w:footerReference w:type="first" r:id="rId27"/>
      <w:type w:val="nextPage"/>
      <w:pgSz w:w="11906" w:h="16838"/>
      <w:pgMar w:left="1418" w:right="1418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Calibri Light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swiss"/>
    <w:pitch w:val="default"/>
  </w:font>
  <w:font w:name="Segoe UI">
    <w:charset w:val="01"/>
    <w:family w:val="swiss"/>
    <w:pitch w:val="default"/>
  </w:font>
  <w:font w:name="Times New Roman">
    <w:charset w:val="01"/>
    <w:family w:val="roman"/>
    <w:pitch w:val="default"/>
  </w:font>
  <w:font w:name="Times New Roman CYR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740096827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6"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>
        <w:sz w:val="28"/>
        <w:b w:val="false"/>
        <w:rFonts w:ascii="Times New Roman" w:hAnsi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359c0"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eastAsia="zh-CN" w:bidi="hi-IN" w:val="ru-RU"/>
    </w:rPr>
  </w:style>
  <w:style w:type="paragraph" w:styleId="Heading1">
    <w:name w:val="heading 1"/>
    <w:basedOn w:val="Normal"/>
    <w:next w:val="Normal"/>
    <w:link w:val="11"/>
    <w:uiPriority w:val="9"/>
    <w:qFormat/>
    <w:rsid w:val="00a2625b"/>
    <w:pPr>
      <w:keepNext w:val="true"/>
      <w:keepLines/>
      <w:spacing w:before="240" w:after="0"/>
      <w:outlineLvl w:val="0"/>
    </w:pPr>
    <w:rPr>
      <w:rFonts w:ascii="Calibri Light" w:hAnsi="Calibri Light" w:eastAsia="" w:cs="Mangal" w:asciiTheme="majorHAnsi" w:eastAsiaTheme="majorEastAsia" w:hAnsiTheme="majorHAnsi"/>
      <w:color w:themeColor="accent1" w:themeShade="bf" w:val="2E74B5"/>
      <w:sz w:val="32"/>
      <w:szCs w:val="29"/>
    </w:rPr>
  </w:style>
  <w:style w:type="paragraph" w:styleId="Heading2">
    <w:name w:val="heading 2"/>
    <w:basedOn w:val="Title"/>
    <w:next w:val="BodyText"/>
    <w:link w:val="2"/>
    <w:uiPriority w:val="9"/>
    <w:unhideWhenUsed/>
    <w:qFormat/>
    <w:rsid w:val="00027c05"/>
    <w:pPr>
      <w:keepNext w:val="true"/>
      <w:numPr>
        <w:ilvl w:val="1"/>
        <w:numId w:val="2"/>
      </w:numPr>
      <w:spacing w:before="200" w:after="120"/>
      <w:contextualSpacing w:val="false"/>
      <w:outlineLvl w:val="1"/>
    </w:pPr>
    <w:rPr>
      <w:rFonts w:ascii="Liberation Sans" w:hAnsi="Liberation Sans" w:eastAsia="Noto Sans CJK SC" w:cs="Lohit Devanagari"/>
      <w:b/>
      <w:bCs/>
      <w:spacing w:val="0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Основной текст Знак"/>
    <w:basedOn w:val="DefaultParagraphFont"/>
    <w:uiPriority w:val="99"/>
    <w:qFormat/>
    <w:rsid w:val="00e359c0"/>
    <w:rPr>
      <w:rFonts w:ascii="Liberation Serif" w:hAnsi="Liberation Serif" w:eastAsia="Noto Serif CJK SC" w:cs="Mangal"/>
      <w:kern w:val="2"/>
      <w:sz w:val="24"/>
      <w:szCs w:val="21"/>
      <w:lang w:eastAsia="zh-CN" w:bidi="hi-IN"/>
    </w:rPr>
  </w:style>
  <w:style w:type="character" w:styleId="Style13" w:customStyle="1">
    <w:name w:val="Верхний колонтитул Знак"/>
    <w:basedOn w:val="DefaultParagraphFont"/>
    <w:link w:val="Header"/>
    <w:uiPriority w:val="99"/>
    <w:qFormat/>
    <w:rsid w:val="00e359c0"/>
    <w:rPr>
      <w:rFonts w:ascii="Liberation Serif" w:hAnsi="Liberation Serif" w:eastAsia="Noto Serif CJK SC" w:cs="Mangal"/>
      <w:kern w:val="2"/>
      <w:sz w:val="24"/>
      <w:szCs w:val="21"/>
      <w:lang w:eastAsia="zh-CN" w:bidi="hi-IN"/>
    </w:rPr>
  </w:style>
  <w:style w:type="character" w:styleId="Style14" w:customStyle="1">
    <w:name w:val="Нижний колонтитул Знак"/>
    <w:basedOn w:val="DefaultParagraphFont"/>
    <w:link w:val="Footer"/>
    <w:uiPriority w:val="99"/>
    <w:qFormat/>
    <w:rsid w:val="00e359c0"/>
    <w:rPr>
      <w:rFonts w:ascii="Liberation Serif" w:hAnsi="Liberation Serif" w:eastAsia="Noto Serif CJK SC" w:cs="Mangal"/>
      <w:kern w:val="2"/>
      <w:sz w:val="24"/>
      <w:szCs w:val="21"/>
      <w:lang w:eastAsia="zh-CN" w:bidi="hi-IN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027c05"/>
    <w:rPr>
      <w:rFonts w:ascii="Liberation Sans" w:hAnsi="Liberation Sans" w:eastAsia="Noto Sans CJK SC" w:cs="Lohit Devanagari"/>
      <w:b/>
      <w:bCs/>
      <w:kern w:val="2"/>
      <w:sz w:val="32"/>
      <w:szCs w:val="32"/>
      <w:lang w:eastAsia="zh-CN" w:bidi="hi-IN"/>
    </w:rPr>
  </w:style>
  <w:style w:type="character" w:styleId="Style15" w:customStyle="1">
    <w:name w:val="Заголовок Знак"/>
    <w:basedOn w:val="DefaultParagraphFont"/>
    <w:link w:val="Title"/>
    <w:uiPriority w:val="10"/>
    <w:qFormat/>
    <w:rsid w:val="00027c05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  <w:lang w:eastAsia="zh-CN" w:bidi="hi-IN"/>
    </w:rPr>
  </w:style>
  <w:style w:type="character" w:styleId="Style16" w:customStyle="1">
    <w:name w:val="Текст выноски Знак"/>
    <w:basedOn w:val="DefaultParagraphFont"/>
    <w:link w:val="BalloonText"/>
    <w:uiPriority w:val="99"/>
    <w:semiHidden/>
    <w:qFormat/>
    <w:rsid w:val="00ef6517"/>
    <w:rPr>
      <w:rFonts w:ascii="Segoe UI" w:hAnsi="Segoe UI" w:eastAsia="Noto Serif CJK SC" w:cs="Mangal"/>
      <w:kern w:val="2"/>
      <w:sz w:val="18"/>
      <w:szCs w:val="16"/>
      <w:lang w:eastAsia="zh-CN" w:bidi="hi-IN"/>
    </w:rPr>
  </w:style>
  <w:style w:type="character" w:styleId="1" w:customStyle="1">
    <w:name w:val="Стиль1 Знак"/>
    <w:basedOn w:val="DefaultParagraphFont"/>
    <w:link w:val="12"/>
    <w:qFormat/>
    <w:rsid w:val="00a2625b"/>
    <w:rPr>
      <w:rFonts w:ascii="Times New Roman" w:hAnsi="Times New Roman" w:eastAsia="" w:cs="" w:cstheme="majorBidi" w:eastAsiaTheme="majorEastAsia"/>
      <w:color w:themeColor="text1" w:val="000000"/>
      <w:sz w:val="28"/>
      <w:szCs w:val="32"/>
    </w:rPr>
  </w:style>
  <w:style w:type="character" w:styleId="11" w:customStyle="1">
    <w:name w:val="Заголовок 1 Знак"/>
    <w:basedOn w:val="DefaultParagraphFont"/>
    <w:link w:val="Heading1"/>
    <w:uiPriority w:val="9"/>
    <w:qFormat/>
    <w:rsid w:val="00a2625b"/>
    <w:rPr>
      <w:rFonts w:ascii="Calibri Light" w:hAnsi="Calibri Light" w:eastAsia="" w:cs="Mangal" w:asciiTheme="majorHAnsi" w:eastAsiaTheme="majorEastAsia" w:hAnsiTheme="majorHAnsi"/>
      <w:color w:themeColor="accent1" w:themeShade="bf" w:val="2E74B5"/>
      <w:kern w:val="2"/>
      <w:sz w:val="32"/>
      <w:szCs w:val="29"/>
      <w:lang w:eastAsia="zh-CN" w:bidi="hi-IN"/>
    </w:rPr>
  </w:style>
  <w:style w:type="character" w:styleId="Style17" w:customStyle="1">
    <w:name w:val="САНЯ СТО Знак"/>
    <w:basedOn w:val="DefaultParagraphFont"/>
    <w:link w:val="Style21"/>
    <w:qFormat/>
    <w:rsid w:val="00b962ba"/>
    <w:rPr>
      <w:rFonts w:ascii="Times New Roman" w:hAnsi="Times New Roman"/>
      <w:sz w:val="28"/>
    </w:rPr>
  </w:style>
  <w:style w:type="character" w:styleId="Style18" w:customStyle="1">
    <w:name w:val="Мой Основной Знак"/>
    <w:basedOn w:val="DefaultParagraphFont"/>
    <w:link w:val="Style22"/>
    <w:qFormat/>
    <w:rsid w:val="0001276f"/>
    <w:rPr>
      <w:rFonts w:ascii="Times New Roman" w:hAnsi="Times New Roman" w:eastAsia="SimSun" w:cs="Times New Roman"/>
      <w:color w:val="00000A"/>
      <w:kern w:val="2"/>
      <w:sz w:val="28"/>
      <w:szCs w:val="28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01276f"/>
    <w:rPr>
      <w:color w:themeColor="hyperlink" w:val="0563C1"/>
      <w:u w:val="single"/>
    </w:rPr>
  </w:style>
  <w:style w:type="character" w:styleId="IndexLink" w:customStyle="1">
    <w:name w:val="Index Link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Style12"/>
    <w:uiPriority w:val="99"/>
    <w:unhideWhenUsed/>
    <w:rsid w:val="00e359c0"/>
    <w:pPr>
      <w:spacing w:before="0" w:after="120"/>
    </w:pPr>
    <w:rPr>
      <w:rFonts w:cs="Mangal"/>
      <w:szCs w:val="21"/>
    </w:rPr>
  </w:style>
  <w:style w:type="paragraph" w:styleId="List">
    <w:name w:val="List"/>
    <w:basedOn w:val="BodyText"/>
    <w:pPr/>
    <w:rPr>
      <w:rFonts w:ascii="Times New Roman" w:hAnsi="Times New Roman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ascii="Times New Roman" w:hAnsi="Times New Roman" w:cs="Noto Sans Devanagari"/>
    </w:rPr>
  </w:style>
  <w:style w:type="paragraph" w:styleId="Title">
    <w:name w:val="Title"/>
    <w:basedOn w:val="Normal"/>
    <w:next w:val="Normal"/>
    <w:link w:val="Style15"/>
    <w:uiPriority w:val="10"/>
    <w:qFormat/>
    <w:rsid w:val="00027c05"/>
    <w:pPr>
      <w:spacing w:before="0" w:after="0"/>
      <w:contextualSpacing/>
    </w:pPr>
    <w:rPr>
      <w:rFonts w:ascii="Calibri Light" w:hAnsi="Calibri Light" w:eastAsia="" w:cs="Mangal" w:asciiTheme="majorHAnsi" w:eastAsiaTheme="majorEastAsia" w:hAnsiTheme="majorHAnsi"/>
      <w:spacing w:val="-10"/>
      <w:sz w:val="56"/>
      <w:szCs w:val="50"/>
    </w:rPr>
  </w:style>
  <w:style w:type="paragraph" w:styleId="ListParagraph">
    <w:name w:val="List Paragraph"/>
    <w:basedOn w:val="BodyText"/>
    <w:qFormat/>
    <w:rsid w:val="00e359c0"/>
    <w:pPr>
      <w:spacing w:lineRule="auto" w:line="427" w:before="0" w:after="0"/>
      <w:ind w:firstLine="709"/>
      <w:jc w:val="both"/>
    </w:pPr>
    <w:rPr>
      <w:rFonts w:ascii="Times New Roman" w:hAnsi="Times New Roman" w:cs="Lohit Devanagari"/>
      <w:color w:val="000000"/>
      <w:sz w:val="28"/>
      <w:szCs w:val="24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e359c0"/>
    <w:pPr>
      <w:tabs>
        <w:tab w:val="clear" w:pos="708"/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Footer">
    <w:name w:val="footer"/>
    <w:basedOn w:val="Normal"/>
    <w:link w:val="Style14"/>
    <w:uiPriority w:val="99"/>
    <w:unhideWhenUsed/>
    <w:rsid w:val="00e359c0"/>
    <w:pPr>
      <w:tabs>
        <w:tab w:val="clear" w:pos="708"/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Style19" w:customStyle="1">
    <w:name w:val="Заголовок таблицы"/>
    <w:basedOn w:val="BodyText"/>
    <w:qFormat/>
    <w:rsid w:val="00c4037c"/>
    <w:pPr>
      <w:tabs>
        <w:tab w:val="clear" w:pos="708"/>
        <w:tab w:val="left" w:pos="1039" w:leader="none"/>
      </w:tabs>
      <w:spacing w:lineRule="auto" w:line="360" w:before="0" w:after="0"/>
      <w:ind w:firstLine="737"/>
      <w:jc w:val="both"/>
      <w:outlineLvl w:val="0"/>
    </w:pPr>
    <w:rPr>
      <w:rFonts w:ascii="Times New Roman" w:hAnsi="Times New Roman" w:cs="Times New Roman"/>
      <w:sz w:val="28"/>
      <w:szCs w:val="24"/>
    </w:rPr>
  </w:style>
  <w:style w:type="paragraph" w:styleId="Style20" w:customStyle="1">
    <w:name w:val="СТО"/>
    <w:basedOn w:val="Normal"/>
    <w:qFormat/>
    <w:rsid w:val="00c4037c"/>
    <w:pPr>
      <w:spacing w:lineRule="auto" w:line="360"/>
      <w:ind w:firstLine="709"/>
      <w:jc w:val="both"/>
    </w:pPr>
    <w:rPr>
      <w:rFonts w:ascii="Times New Roman" w:hAnsi="Times New Roman" w:eastAsia="Times New Roman" w:cs="Times New Roman"/>
      <w:sz w:val="28"/>
      <w:lang w:eastAsia="en-US" w:bidi="ar-SA"/>
    </w:rPr>
  </w:style>
  <w:style w:type="paragraph" w:styleId="TableParagraph" w:customStyle="1">
    <w:name w:val="Table Paragraph"/>
    <w:basedOn w:val="Normal"/>
    <w:qFormat/>
    <w:rsid w:val="00027c05"/>
    <w:pPr>
      <w:spacing w:before="93" w:after="0"/>
      <w:ind w:left="22"/>
      <w:jc w:val="center"/>
    </w:pPr>
    <w:rPr>
      <w:rFonts w:ascii="Times New Roman" w:hAnsi="Times New Roman" w:eastAsia="Times New Roman" w:cs="Times New Roman"/>
      <w:lang w:eastAsia="en-US" w:bidi="ar-SA"/>
    </w:rPr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ef6517"/>
    <w:pPr/>
    <w:rPr>
      <w:rFonts w:ascii="Segoe UI" w:hAnsi="Segoe UI" w:cs="Mangal"/>
      <w:sz w:val="18"/>
      <w:szCs w:val="16"/>
    </w:rPr>
  </w:style>
  <w:style w:type="paragraph" w:styleId="12" w:customStyle="1">
    <w:name w:val="Стиль1"/>
    <w:basedOn w:val="Heading1"/>
    <w:link w:val="1"/>
    <w:qFormat/>
    <w:rsid w:val="00a2625b"/>
    <w:pPr>
      <w:suppressAutoHyphens w:val="false"/>
      <w:spacing w:lineRule="auto" w:line="360" w:before="0" w:after="0"/>
      <w:ind w:firstLine="709"/>
      <w:jc w:val="both"/>
    </w:pPr>
    <w:rPr>
      <w:rFonts w:ascii="Times New Roman" w:hAnsi="Times New Roman" w:cs="" w:cstheme="majorBidi"/>
      <w:color w:themeColor="text1" w:val="000000"/>
      <w:kern w:val="0"/>
      <w:sz w:val="28"/>
      <w:szCs w:val="32"/>
      <w:lang w:eastAsia="en-US" w:bidi="ar-SA"/>
    </w:rPr>
  </w:style>
  <w:style w:type="paragraph" w:styleId="Style21" w:customStyle="1">
    <w:name w:val="САНЯ СТО"/>
    <w:basedOn w:val="Normal"/>
    <w:link w:val="Style17"/>
    <w:qFormat/>
    <w:rsid w:val="00b962ba"/>
    <w:pPr>
      <w:suppressAutoHyphens w:val="false"/>
      <w:spacing w:lineRule="auto" w:line="360"/>
      <w:ind w:firstLine="709"/>
      <w:jc w:val="both"/>
    </w:pPr>
    <w:rPr>
      <w:rFonts w:ascii="Times New Roman" w:hAnsi="Times New Roman" w:eastAsia="Calibri" w:cs="" w:cstheme="minorBidi" w:eastAsiaTheme="minorHAnsi"/>
      <w:kern w:val="0"/>
      <w:sz w:val="28"/>
      <w:szCs w:val="22"/>
      <w:lang w:eastAsia="en-US" w:bidi="ar-SA"/>
    </w:rPr>
  </w:style>
  <w:style w:type="paragraph" w:styleId="Style22" w:customStyle="1">
    <w:name w:val="Мой Основной"/>
    <w:basedOn w:val="Normal"/>
    <w:link w:val="Style18"/>
    <w:qFormat/>
    <w:rsid w:val="0001276f"/>
    <w:pPr>
      <w:suppressAutoHyphens w:val="false"/>
      <w:spacing w:lineRule="auto" w:line="360"/>
      <w:ind w:firstLine="709"/>
      <w:jc w:val="both"/>
    </w:pPr>
    <w:rPr>
      <w:rFonts w:ascii="Times New Roman" w:hAnsi="Times New Roman" w:eastAsia="SimSun" w:cs="Times New Roman"/>
      <w:color w:val="00000A"/>
      <w:sz w:val="28"/>
      <w:szCs w:val="28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9e288b"/>
    <w:pPr>
      <w:suppressAutoHyphens w:val="false"/>
      <w:spacing w:lineRule="auto" w:line="259"/>
      <w:outlineLvl w:val="9"/>
    </w:pPr>
    <w:rPr>
      <w:rFonts w:cs="" w:cstheme="majorBidi"/>
      <w:kern w:val="0"/>
      <w:szCs w:val="32"/>
      <w:lang w:eastAsia="ru-RU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e288b"/>
    <w:pPr>
      <w:spacing w:before="0" w:after="100"/>
    </w:pPr>
    <w:rPr>
      <w:rFonts w:cs="Mangal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9e288b"/>
    <w:pPr>
      <w:spacing w:before="0" w:after="100"/>
      <w:ind w:left="240"/>
    </w:pPr>
    <w:rPr>
      <w:rFonts w:cs="Mangal"/>
      <w:szCs w:val="21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9">
    <w:name w:val="Table Grid"/>
    <w:basedOn w:val="a3"/>
    <w:uiPriority w:val="39"/>
    <w:rsid w:val="005c165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Сетка таблицы1"/>
    <w:basedOn w:val="a3"/>
    <w:uiPriority w:val="39"/>
    <w:rsid w:val="00dc3b27"/>
    <w:rPr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6.png"/><Relationship Id="rId20" Type="http://schemas.openxmlformats.org/officeDocument/2006/relationships/hyperlink" Target="http://elar.uspu.ru/bitstream/uspu/15860/2/Kelsin2.pdf" TargetMode="External"/><Relationship Id="rId21" Type="http://schemas.openxmlformats.org/officeDocument/2006/relationships/hyperlink" Target="https://cifra.studentmiv.ru/wp-content/uploads/2020/12/2_Odnokorpusnyie-PLK_tehnicheskie-sredstva.pdf" TargetMode="External"/><Relationship Id="rId22" Type="http://schemas.openxmlformats.org/officeDocument/2006/relationships/hyperlink" Target="http://www.intechcom.ru/sites/default/files/production_files/s7-200_man.pdf%20" TargetMode="External"/><Relationship Id="rId23" Type="http://schemas.openxmlformats.org/officeDocument/2006/relationships/hyperlink" Target="https://cifra.studentmiv.ru/wp-content/uploads/2021/02/Struktura-tsifrovoy-SA_teoriya.pdf%20" TargetMode="External"/><Relationship Id="rId24" Type="http://schemas.openxmlformats.org/officeDocument/2006/relationships/hyperlink" Target="https://www.siemens-ru.com/doc/06_InstructionSet_r.pdf%20" TargetMode="External"/><Relationship Id="rId25" Type="http://schemas.openxmlformats.org/officeDocument/2006/relationships/footer" Target="footer1.xml"/><Relationship Id="rId26" Type="http://schemas.openxmlformats.org/officeDocument/2006/relationships/footer" Target="footer2.xml"/><Relationship Id="rId27" Type="http://schemas.openxmlformats.org/officeDocument/2006/relationships/footer" Target="footer3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<Relationship Id="rId3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4737E0-7A5D-47F9-BC97-318DD05CA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1126</TotalTime>
  <Application>LibreOffice/24.8.5.2$Linux_X86_64 LibreOffice_project/480$Build-2</Application>
  <AppVersion>15.0000</AppVersion>
  <Pages>29</Pages>
  <Words>1931</Words>
  <Characters>12601</Characters>
  <CharactersWithSpaces>14336</CharactersWithSpaces>
  <Paragraphs>489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2023-11-19T14:29:00Z</dcterms:created>
  <dc:creator>Деметрий</dc:creator>
  <dc:description/>
  <dc:language>en-US</dc:language>
  <cp:lastModifiedBy/>
  <cp:lastPrinted>2025-03-05T02:52:00Z</cp:lastPrinted>
  <dcterms:modified xsi:type="dcterms:W3CDTF">2025-03-05T09:34:32Z</dcterms:modified>
  <cp:revision>198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