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6.png" ContentType="image/png"/>
  <Override PartName="/word/media/image10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media/image13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24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114300" distR="114300" simplePos="0" locked="0" layoutInCell="0" allowOverlap="1" relativeHeight="13">
            <wp:simplePos x="0" y="0"/>
            <wp:positionH relativeFrom="column">
              <wp:posOffset>-255905</wp:posOffset>
            </wp:positionH>
            <wp:positionV relativeFrom="paragraph">
              <wp:posOffset>6985</wp:posOffset>
            </wp:positionV>
            <wp:extent cx="741045" cy="946150"/>
            <wp:effectExtent l="0" t="0" r="0" b="0"/>
            <wp:wrapSquare wrapText="bothSides"/>
            <wp:docPr id="1" name="Picture 4" descr="Изображение выглядит как Шрифт, текст, логотип, Графи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 descr="Изображение выглядит как Шрифт, текст, логотип, График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34260" b="31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045" cy="946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МИНИСТЕРСТВО НАУКИ И ВЫСШЕГО ОБРАЗОВАНИЯ РФ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ФЕДЕРАЛЬНОЕ ГОСУДАРСТВЕННОЕ БЮДЖЕТНОЕ 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ОБРАЗОВАТЕЛЬНОЕ УЧРЕЖДЕНИЕ ВЫСШЕГО ОБРАЗОВАНИЯ «ЛИПЕЦКИЙ ГОСУДАРСТВЕННЫЙ ТЕХНИЧЕСКИЙ УНИВЕРСИТЕТ» </w:t>
      </w:r>
      <w:bookmarkStart w:id="0" w:name="_Hlk146459078"/>
      <w:bookmarkEnd w:id="0"/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Институт компьютерных наук</w:t>
      </w:r>
    </w:p>
    <w:p>
      <w:pPr>
        <w:pStyle w:val="Normal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</w:rPr>
        <w:t xml:space="preserve">Кафедра 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электропривода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widowControl w:val="false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360"/>
        <w:ind w:right="-142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КУРСОВАЯ РАБОТА</w:t>
      </w:r>
    </w:p>
    <w:p>
      <w:pPr>
        <w:pStyle w:val="Normal"/>
        <w:spacing w:lineRule="auto" w:line="360"/>
        <w:ind w:right="-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курсу «</w:t>
      </w:r>
      <w:r>
        <w:rPr>
          <w:sz w:val="28"/>
          <w:szCs w:val="28"/>
        </w:rPr>
        <w:t>Программирование систем промышленной автоматизации</w:t>
      </w:r>
      <w:r>
        <w:rPr>
          <w:rFonts w:cs="Times New Roman" w:ascii="Times New Roman" w:hAnsi="Times New Roman"/>
          <w:sz w:val="28"/>
          <w:szCs w:val="28"/>
        </w:rPr>
        <w:t>»</w:t>
      </w:r>
    </w:p>
    <w:p>
      <w:pPr>
        <w:pStyle w:val="Normal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  <w:t>Проектирование системы технического объекта</w:t>
      </w:r>
    </w:p>
    <w:p>
      <w:pPr>
        <w:pStyle w:val="Normal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  <w:t>Студент</w:t>
        <w:tab/>
        <w:tab/>
        <w:t xml:space="preserve">                  </w:t>
      </w:r>
      <w:r>
        <w:rPr>
          <w:rFonts w:cs="Times New Roman" w:ascii="Times New Roman" w:hAnsi="Times New Roman"/>
          <w:bCs/>
          <w:sz w:val="28"/>
          <w:szCs w:val="28"/>
          <w:u w:val="single"/>
          <w:lang w:eastAsia="ru-RU"/>
        </w:rPr>
        <w:t xml:space="preserve">                                        </w:t>
      </w:r>
      <w:r>
        <w:rPr>
          <w:rFonts w:cs="Times New Roman" w:ascii="Times New Roman" w:hAnsi="Times New Roman"/>
          <w:bCs/>
          <w:sz w:val="28"/>
          <w:szCs w:val="28"/>
          <w:lang w:eastAsia="ru-RU"/>
        </w:rPr>
        <w:t xml:space="preserve">        Станиславчук С.М.</w:t>
        <w:tab/>
      </w:r>
    </w:p>
    <w:p>
      <w:pPr>
        <w:pStyle w:val="Normal"/>
        <w:ind w:left="3540"/>
        <w:jc w:val="both"/>
        <w:rPr>
          <w:rFonts w:ascii="Times New Roman" w:hAnsi="Times New Roman" w:cs="Times New Roman"/>
          <w:bCs/>
          <w:lang w:eastAsia="ru-RU"/>
        </w:rPr>
      </w:pPr>
      <w:r>
        <w:rPr>
          <w:rFonts w:cs="Times New Roman" w:ascii="Times New Roman" w:hAnsi="Times New Roman"/>
          <w:bCs/>
          <w:lang w:eastAsia="ru-RU"/>
        </w:rPr>
        <w:t xml:space="preserve">       </w:t>
      </w:r>
      <w:r>
        <w:rPr>
          <w:rFonts w:cs="Times New Roman" w:ascii="Times New Roman" w:hAnsi="Times New Roman"/>
          <w:bCs/>
          <w:lang w:eastAsia="ru-RU"/>
        </w:rPr>
        <w:t>подпись, ФИО</w:t>
      </w:r>
    </w:p>
    <w:p>
      <w:pPr>
        <w:pStyle w:val="Normal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  <w:t>Группа</w:t>
        <w:tab/>
        <w:t>АС-21</w:t>
        <w:tab/>
        <w:tab/>
      </w:r>
    </w:p>
    <w:p>
      <w:pPr>
        <w:pStyle w:val="Normal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  <w:t xml:space="preserve">Руководитель 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  <w:t xml:space="preserve">Доцент, к.т.н.                         </w:t>
      </w:r>
      <w:r>
        <w:rPr>
          <w:rFonts w:cs="Times New Roman" w:ascii="Times New Roman" w:hAnsi="Times New Roman"/>
          <w:bCs/>
          <w:sz w:val="28"/>
          <w:szCs w:val="28"/>
          <w:u w:val="single"/>
          <w:lang w:eastAsia="ru-RU"/>
        </w:rPr>
        <w:t xml:space="preserve">                                          </w:t>
      </w:r>
      <w:r>
        <w:rPr>
          <w:rFonts w:cs="Times New Roman" w:ascii="Times New Roman" w:hAnsi="Times New Roman"/>
          <w:bCs/>
          <w:sz w:val="28"/>
          <w:szCs w:val="28"/>
          <w:lang w:eastAsia="ru-RU"/>
        </w:rPr>
        <w:t xml:space="preserve">              </w:t>
      </w:r>
      <w:r>
        <w:rPr>
          <w:sz w:val="28"/>
          <w:szCs w:val="28"/>
        </w:rPr>
        <w:t>Музылёва И.В.</w:t>
      </w:r>
    </w:p>
    <w:p>
      <w:pPr>
        <w:pStyle w:val="Normal"/>
        <w:ind w:firstLine="571" w:left="3540"/>
        <w:jc w:val="both"/>
        <w:rPr>
          <w:rFonts w:ascii="Times New Roman" w:hAnsi="Times New Roman" w:cs="Times New Roman"/>
          <w:bCs/>
          <w:lang w:eastAsia="ru-RU"/>
        </w:rPr>
      </w:pPr>
      <w:r>
        <w:rPr>
          <w:rFonts w:cs="Times New Roman" w:ascii="Times New Roman" w:hAnsi="Times New Roman"/>
          <w:bCs/>
          <w:lang w:eastAsia="ru-RU"/>
        </w:rPr>
        <w:t>подпись, ФИО</w:t>
      </w:r>
    </w:p>
    <w:p>
      <w:pPr>
        <w:pStyle w:val="Normal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</w:r>
    </w:p>
    <w:p>
      <w:pPr>
        <w:pStyle w:val="Normal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  <w:t>Липецк 2025 г.</w:t>
      </w:r>
    </w:p>
    <w:p>
      <w:pPr>
        <w:pStyle w:val="Normal"/>
        <w:widowControl w:val="false"/>
        <w:spacing w:lineRule="auto" w:line="360"/>
        <w:ind w:firstLine="709"/>
        <w:jc w:val="both"/>
        <w:rPr>
          <w:rFonts w:ascii="Times New Roman" w:hAnsi="Times New Roman" w:eastAsia="SimSun" w:cs="Mangal"/>
          <w:bCs/>
          <w:sz w:val="28"/>
          <w:szCs w:val="28"/>
        </w:rPr>
      </w:pPr>
      <w:r>
        <w:rPr>
          <w:rFonts w:eastAsia="SimSun" w:cs="Mangal" w:ascii="Times New Roman" w:hAnsi="Times New Roman"/>
          <w:bCs/>
          <w:sz w:val="28"/>
          <w:szCs w:val="28"/>
        </w:rPr>
        <w:t>Задание кафедры:</w:t>
      </w:r>
    </w:p>
    <w:p>
      <w:pPr>
        <w:pStyle w:val="Normal"/>
        <w:widowControl w:val="false"/>
        <w:spacing w:lineRule="auto" w:line="360"/>
        <w:ind w:firstLine="709"/>
        <w:jc w:val="both"/>
        <w:rPr>
          <w:rFonts w:ascii="Times New Roman" w:hAnsi="Times New Roman" w:eastAsia="SimSun" w:cs="Times New Roman"/>
          <w:sz w:val="28"/>
          <w:szCs w:val="28"/>
        </w:rPr>
      </w:pPr>
      <w:r>
        <w:rPr>
          <w:rFonts w:eastAsia="SimSun" w:cs="Times New Roman" w:ascii="Times New Roman" w:hAnsi="Times New Roman"/>
          <w:sz w:val="28"/>
          <w:szCs w:val="28"/>
        </w:rPr>
        <w:t xml:space="preserve">Разработать систему автоматизированного регулирования трафика дорожного движения. </w:t>
      </w:r>
    </w:p>
    <w:p>
      <w:pPr>
        <w:pStyle w:val="ListParagraph"/>
        <w:widowControl w:val="false"/>
        <w:numPr>
          <w:ilvl w:val="0"/>
          <w:numId w:val="1"/>
        </w:numPr>
        <w:spacing w:lineRule="auto" w:line="360"/>
        <w:ind w:firstLine="709" w:left="0"/>
        <w:rPr>
          <w:rFonts w:eastAsia="SimSun" w:cs="Times New Roman"/>
          <w:bCs/>
          <w:szCs w:val="28"/>
        </w:rPr>
      </w:pPr>
      <w:r>
        <w:rPr>
          <w:rFonts w:eastAsia="SimSun" w:cs="Times New Roman"/>
          <w:szCs w:val="28"/>
        </w:rPr>
        <w:t xml:space="preserve">Сделать описание объекта автоматизации в текстовой и графической форме. </w:t>
      </w:r>
    </w:p>
    <w:p>
      <w:pPr>
        <w:pStyle w:val="ListParagraph"/>
        <w:widowControl w:val="false"/>
        <w:numPr>
          <w:ilvl w:val="0"/>
          <w:numId w:val="1"/>
        </w:numPr>
        <w:spacing w:lineRule="auto" w:line="360"/>
        <w:ind w:firstLine="709" w:left="0"/>
        <w:rPr>
          <w:rFonts w:eastAsia="SimSun" w:cs="Times New Roman"/>
          <w:bCs/>
          <w:szCs w:val="28"/>
        </w:rPr>
      </w:pPr>
      <w:r>
        <w:rPr>
          <w:rFonts w:eastAsia="SimSun" w:cs="Times New Roman"/>
          <w:szCs w:val="28"/>
        </w:rPr>
        <w:t xml:space="preserve">Определить количество и тип датчиков и исполнительных механизмов. Составить таблицу входных и выходных сигналов с указанием их типа (битовый или многоразрядный). </w:t>
      </w:r>
    </w:p>
    <w:p>
      <w:pPr>
        <w:pStyle w:val="ListParagraph"/>
        <w:numPr>
          <w:ilvl w:val="0"/>
          <w:numId w:val="1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Выбрать аппаратную часть на основе ПЛК S7-200 и S7-300/400. 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cs="Times New Roman"/>
          <w:szCs w:val="28"/>
        </w:rPr>
      </w:pPr>
      <w:r>
        <w:rPr>
          <w:rFonts w:cs="Times New Roman"/>
          <w:szCs w:val="28"/>
        </w:rPr>
        <w:t>Для обоих вариантов аппаратной части. Составить таблицу входных и выходных сигналов с указанием соответствующих адресов.</w:t>
      </w:r>
    </w:p>
    <w:p>
      <w:pPr>
        <w:pStyle w:val="Style21"/>
        <w:numPr>
          <w:ilvl w:val="0"/>
          <w:numId w:val="1"/>
        </w:numPr>
        <w:rPr/>
      </w:pPr>
      <w:r>
        <w:rPr/>
        <w:t xml:space="preserve">Составить блок-схему алгоритма работы системы. </w:t>
      </w:r>
    </w:p>
    <w:p>
      <w:pPr>
        <w:pStyle w:val="Style21"/>
        <w:numPr>
          <w:ilvl w:val="0"/>
          <w:numId w:val="1"/>
        </w:numPr>
        <w:rPr/>
      </w:pPr>
      <w:r>
        <w:rPr/>
        <w:t>Написать программу автоматизации.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SimSun" w:cs="Mangal"/>
          <w:bCs/>
          <w:sz w:val="28"/>
          <w:szCs w:val="28"/>
        </w:rPr>
      </w:pPr>
      <w:r>
        <w:rPr>
          <w:rFonts w:eastAsia="SimSun" w:cs="Mangal" w:ascii="Times New Roman" w:hAnsi="Times New Roman"/>
          <w:bCs/>
          <w:sz w:val="28"/>
          <w:szCs w:val="28"/>
        </w:rPr>
        <w:t>Аннотация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SimSun" w:cs="Mangal"/>
          <w:bCs/>
          <w:sz w:val="28"/>
          <w:szCs w:val="28"/>
        </w:rPr>
      </w:pPr>
      <w:r>
        <w:rPr>
          <w:rFonts w:eastAsia="SimSun" w:cs="Mangal" w:ascii="Times New Roman" w:hAnsi="Times New Roman"/>
          <w:bCs/>
          <w:sz w:val="28"/>
          <w:szCs w:val="28"/>
        </w:rPr>
        <w:t>С. 2</w:t>
      </w:r>
      <w:r>
        <w:rPr>
          <w:rFonts w:eastAsia="SimSun" w:cs="Mangal" w:ascii="Times New Roman" w:hAnsi="Times New Roman"/>
          <w:bCs/>
          <w:sz w:val="28"/>
          <w:szCs w:val="28"/>
          <w:lang w:val="en-US"/>
        </w:rPr>
        <w:t>3</w:t>
      </w:r>
      <w:r>
        <w:rPr>
          <w:rFonts w:eastAsia="SimSun" w:cs="Mangal" w:ascii="Times New Roman" w:hAnsi="Times New Roman"/>
          <w:bCs/>
          <w:sz w:val="28"/>
          <w:szCs w:val="28"/>
        </w:rPr>
        <w:t>. Ил. 12. Табл. 7. Литература 8 назв.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SimSun" w:cs="Mangal"/>
          <w:bCs/>
          <w:sz w:val="28"/>
          <w:szCs w:val="28"/>
        </w:rPr>
      </w:pPr>
      <w:r>
        <w:rPr>
          <w:rFonts w:eastAsia="SimSun" w:cs="Mangal" w:ascii="Times New Roman" w:hAnsi="Times New Roman"/>
          <w:bCs/>
          <w:sz w:val="28"/>
          <w:szCs w:val="28"/>
        </w:rPr>
        <w:t>В данной работе представлен проект системы пешеходного перехода.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SimSun" w:cs="Mangal"/>
          <w:bCs/>
          <w:sz w:val="28"/>
          <w:szCs w:val="28"/>
        </w:rPr>
      </w:pPr>
      <w:r>
        <w:rPr>
          <w:rFonts w:eastAsia="SimSun" w:cs="Mangal" w:ascii="Times New Roman" w:hAnsi="Times New Roman"/>
          <w:bCs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SimSun" w:cs="Mangal"/>
          <w:bCs/>
          <w:sz w:val="28"/>
          <w:szCs w:val="28"/>
        </w:rPr>
      </w:pPr>
      <w:r>
        <w:rPr>
          <w:rFonts w:eastAsia="SimSun" w:cs="Mangal" w:ascii="Times New Roman" w:hAnsi="Times New Roman"/>
          <w:bCs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SimSun" w:cs="Mangal"/>
          <w:bCs/>
          <w:sz w:val="28"/>
          <w:szCs w:val="28"/>
        </w:rPr>
      </w:pPr>
      <w:r>
        <w:rPr>
          <w:rFonts w:eastAsia="SimSun" w:cs="Mangal" w:ascii="Times New Roman" w:hAnsi="Times New Roman"/>
          <w:bCs/>
          <w:sz w:val="28"/>
          <w:szCs w:val="28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uppressAutoHyphens w:val="false"/>
            <w:spacing w:lineRule="auto" w:line="259"/>
            <w:rPr>
              <w:rFonts w:cs="" w:cstheme="majorBidi"/>
              <w:kern w:val="0"/>
              <w:szCs w:val="32"/>
              <w:lang w:eastAsia="ru-RU" w:bidi="ar-SA"/>
            </w:rPr>
          </w:pPr>
          <w:r>
            <w:rPr>
              <w:rFonts w:cs="" w:cstheme="majorBidi"/>
              <w:kern w:val="0"/>
              <w:szCs w:val="32"/>
              <w:lang w:eastAsia="ru-RU" w:bidi="ar-SA"/>
            </w:rPr>
            <w:t>Оглавление</w:t>
          </w:r>
        </w:p>
        <w:p>
          <w:pPr>
            <w:pStyle w:val="TOC1"/>
            <w:tabs>
              <w:tab w:val="clear" w:pos="708"/>
              <w:tab w:val="right" w:pos="906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1944_3393805993">
            <w:r>
              <w:rPr>
                <w:webHidden/>
                <w:rStyle w:val="IndexLink"/>
              </w:rPr>
              <w:t>Введение:</w:t>
              <w:tab/>
              <w:t>4</w:t>
            </w:r>
          </w:hyperlink>
        </w:p>
        <w:p>
          <w:pPr>
            <w:pStyle w:val="TOC1"/>
            <w:tabs>
              <w:tab w:val="clear" w:pos="708"/>
              <w:tab w:val="right" w:pos="9069" w:leader="dot"/>
            </w:tabs>
            <w:rPr/>
          </w:pPr>
          <w:hyperlink w:anchor="__RefHeading___Toc1946_3393805993">
            <w:r>
              <w:rPr>
                <w:webHidden/>
                <w:rStyle w:val="IndexLink"/>
              </w:rPr>
              <w:t>1 Описание объекта автоматизации</w:t>
              <w:tab/>
              <w:t>5</w:t>
            </w:r>
          </w:hyperlink>
        </w:p>
        <w:p>
          <w:pPr>
            <w:pStyle w:val="TOC1"/>
            <w:tabs>
              <w:tab w:val="clear" w:pos="708"/>
              <w:tab w:val="right" w:pos="9069" w:leader="dot"/>
            </w:tabs>
            <w:rPr/>
          </w:pPr>
          <w:hyperlink w:anchor="__RefHeading___Toc1948_3393805993">
            <w:r>
              <w:rPr>
                <w:webHidden/>
                <w:rStyle w:val="IndexLink"/>
              </w:rPr>
              <w:t>2 Входные и выходные сигналы</w:t>
              <w:tab/>
              <w:t>7</w:t>
            </w:r>
          </w:hyperlink>
        </w:p>
        <w:p>
          <w:pPr>
            <w:pStyle w:val="TOC1"/>
            <w:tabs>
              <w:tab w:val="clear" w:pos="708"/>
              <w:tab w:val="right" w:pos="9069" w:leader="dot"/>
            </w:tabs>
            <w:rPr/>
          </w:pPr>
          <w:hyperlink w:anchor="__RefHeading___Toc1950_3393805993">
            <w:r>
              <w:rPr>
                <w:webHidden/>
                <w:rStyle w:val="IndexLink"/>
              </w:rPr>
              <w:t xml:space="preserve"> </w:t>
            </w:r>
            <w:r>
              <w:rPr>
                <w:rStyle w:val="IndexLink"/>
              </w:rPr>
              <w:t>3 Перечень исполнительных механизмов</w:t>
              <w:tab/>
              <w:t>8</w:t>
            </w:r>
          </w:hyperlink>
        </w:p>
        <w:p>
          <w:pPr>
            <w:pStyle w:val="TOC1"/>
            <w:tabs>
              <w:tab w:val="clear" w:pos="708"/>
              <w:tab w:val="right" w:pos="9069" w:leader="dot"/>
            </w:tabs>
            <w:rPr/>
          </w:pPr>
          <w:hyperlink w:anchor="__RefHeading___Toc1952_3393805993">
            <w:r>
              <w:rPr>
                <w:webHidden/>
                <w:rStyle w:val="IndexLink"/>
              </w:rPr>
              <w:t>4 Входные и выходные сигналы системы</w:t>
              <w:tab/>
              <w:t>8</w:t>
            </w:r>
          </w:hyperlink>
        </w:p>
        <w:p>
          <w:pPr>
            <w:pStyle w:val="TOC1"/>
            <w:tabs>
              <w:tab w:val="clear" w:pos="708"/>
              <w:tab w:val="right" w:pos="9069" w:leader="dot"/>
            </w:tabs>
            <w:rPr/>
          </w:pPr>
          <w:hyperlink w:anchor="__RefHeading___Toc1954_3393805993">
            <w:r>
              <w:rPr>
                <w:webHidden/>
                <w:rStyle w:val="IndexLink"/>
              </w:rPr>
              <w:t>5 Аппаратная часть на основе ПЛК S7</w:t>
              <w:tab/>
              <w:t>10</w:t>
            </w:r>
          </w:hyperlink>
        </w:p>
        <w:p>
          <w:pPr>
            <w:pStyle w:val="TOC1"/>
            <w:tabs>
              <w:tab w:val="clear" w:pos="708"/>
              <w:tab w:val="right" w:pos="9069" w:leader="dot"/>
            </w:tabs>
            <w:rPr/>
          </w:pPr>
          <w:hyperlink w:anchor="__RefHeading___Toc1956_3393805993">
            <w:r>
              <w:rPr>
                <w:webHidden/>
                <w:rStyle w:val="IndexLink"/>
              </w:rPr>
              <w:t>6 Масштабирование</w:t>
              <w:tab/>
              <w:t>11</w:t>
            </w:r>
          </w:hyperlink>
        </w:p>
        <w:p>
          <w:pPr>
            <w:pStyle w:val="TOC1"/>
            <w:tabs>
              <w:tab w:val="clear" w:pos="708"/>
              <w:tab w:val="right" w:pos="9069" w:leader="dot"/>
            </w:tabs>
            <w:rPr/>
          </w:pPr>
          <w:hyperlink w:anchor="__RefHeading___Toc1958_3393805993">
            <w:r>
              <w:rPr>
                <w:webHidden/>
                <w:rStyle w:val="IndexLink"/>
              </w:rPr>
              <w:t>7 Блок-схемы алгоритмов</w:t>
              <w:tab/>
              <w:t>12</w:t>
            </w:r>
          </w:hyperlink>
        </w:p>
        <w:p>
          <w:pPr>
            <w:pStyle w:val="TOC1"/>
            <w:tabs>
              <w:tab w:val="clear" w:pos="708"/>
              <w:tab w:val="right" w:pos="9069" w:leader="dot"/>
            </w:tabs>
            <w:rPr/>
          </w:pPr>
          <w:hyperlink w:anchor="__RefHeading___Toc1960_3393805993">
            <w:r>
              <w:rPr>
                <w:webHidden/>
                <w:rStyle w:val="IndexLink"/>
              </w:rPr>
              <w:t>8 Программа автоматизации для ПЛК S7-200</w:t>
              <w:tab/>
              <w:t>13</w:t>
            </w:r>
          </w:hyperlink>
        </w:p>
        <w:p>
          <w:pPr>
            <w:pStyle w:val="TOC1"/>
            <w:tabs>
              <w:tab w:val="clear" w:pos="708"/>
              <w:tab w:val="right" w:pos="9069" w:leader="dot"/>
            </w:tabs>
            <w:rPr/>
          </w:pPr>
          <w:hyperlink w:anchor="__RefHeading___Toc1962_3393805993">
            <w:r>
              <w:rPr>
                <w:webHidden/>
                <w:rStyle w:val="IndexLink"/>
              </w:rPr>
              <w:t>8.1 Включение пешеходного перехода</w:t>
              <w:tab/>
              <w:t>13</w:t>
            </w:r>
          </w:hyperlink>
        </w:p>
        <w:p>
          <w:pPr>
            <w:pStyle w:val="TOC1"/>
            <w:tabs>
              <w:tab w:val="clear" w:pos="708"/>
              <w:tab w:val="right" w:pos="9069" w:leader="dot"/>
            </w:tabs>
            <w:rPr/>
          </w:pPr>
          <w:hyperlink w:anchor="__RefHeading___Toc1964_3393805993">
            <w:r>
              <w:rPr>
                <w:webHidden/>
                <w:rStyle w:val="IndexLink"/>
              </w:rPr>
              <w:t>8.2 Кнопка пешеходного перехода</w:t>
              <w:tab/>
              <w:t>15</w:t>
            </w:r>
          </w:hyperlink>
        </w:p>
        <w:p>
          <w:pPr>
            <w:pStyle w:val="TOC1"/>
            <w:tabs>
              <w:tab w:val="clear" w:pos="708"/>
              <w:tab w:val="right" w:pos="9069" w:leader="dot"/>
            </w:tabs>
            <w:rPr/>
          </w:pPr>
          <w:hyperlink w:anchor="__RefHeading___Toc1966_3393805993">
            <w:r>
              <w:rPr>
                <w:webHidden/>
                <w:rStyle w:val="IndexLink"/>
              </w:rPr>
              <w:t>8.3 Желтый свет для автомобилей</w:t>
              <w:tab/>
              <w:t>16</w:t>
            </w:r>
          </w:hyperlink>
        </w:p>
        <w:p>
          <w:pPr>
            <w:pStyle w:val="TOC1"/>
            <w:tabs>
              <w:tab w:val="clear" w:pos="708"/>
              <w:tab w:val="right" w:pos="9069" w:leader="dot"/>
            </w:tabs>
            <w:rPr/>
          </w:pPr>
          <w:hyperlink w:anchor="__RefHeading___Toc1968_3393805993">
            <w:r>
              <w:rPr>
                <w:webHidden/>
                <w:rStyle w:val="IndexLink"/>
              </w:rPr>
              <w:t>8.4 Зеленый свет для пешеходов</w:t>
              <w:tab/>
              <w:t>17</w:t>
            </w:r>
          </w:hyperlink>
        </w:p>
        <w:p>
          <w:pPr>
            <w:pStyle w:val="TOC1"/>
            <w:tabs>
              <w:tab w:val="clear" w:pos="708"/>
              <w:tab w:val="right" w:pos="9069" w:leader="dot"/>
            </w:tabs>
            <w:rPr/>
          </w:pPr>
          <w:hyperlink w:anchor="__RefHeading___Toc1970_3393805993">
            <w:r>
              <w:rPr>
                <w:webHidden/>
                <w:rStyle w:val="IndexLink"/>
              </w:rPr>
              <w:t>8.5 Красная фаза для пешеходов</w:t>
              <w:tab/>
              <w:t>18</w:t>
            </w:r>
          </w:hyperlink>
        </w:p>
        <w:p>
          <w:pPr>
            <w:pStyle w:val="TOC1"/>
            <w:tabs>
              <w:tab w:val="clear" w:pos="708"/>
              <w:tab w:val="right" w:pos="9069" w:leader="dot"/>
            </w:tabs>
            <w:rPr/>
          </w:pPr>
          <w:hyperlink w:anchor="__RefHeading___Toc1972_3393805993">
            <w:r>
              <w:rPr>
                <w:webHidden/>
                <w:rStyle w:val="IndexLink"/>
              </w:rPr>
              <w:t>8.6 Пуск таймера красно-желтой фазы для автомобилей</w:t>
              <w:tab/>
              <w:t>19</w:t>
            </w:r>
          </w:hyperlink>
        </w:p>
        <w:p>
          <w:pPr>
            <w:pStyle w:val="TOC1"/>
            <w:tabs>
              <w:tab w:val="clear" w:pos="708"/>
              <w:tab w:val="right" w:pos="9069" w:leader="dot"/>
            </w:tabs>
            <w:rPr/>
          </w:pPr>
          <w:hyperlink w:anchor="__RefHeading___Toc1974_3393805993">
            <w:r>
              <w:rPr>
                <w:webHidden/>
                <w:rStyle w:val="IndexLink"/>
              </w:rPr>
              <w:t>8.7 Пуск задержки запроса на зеленый свет для пешеходов</w:t>
              <w:tab/>
              <w:t>19</w:t>
            </w:r>
          </w:hyperlink>
        </w:p>
        <w:p>
          <w:pPr>
            <w:pStyle w:val="TOC1"/>
            <w:tabs>
              <w:tab w:val="clear" w:pos="708"/>
              <w:tab w:val="right" w:pos="9069" w:leader="dot"/>
            </w:tabs>
            <w:rPr/>
          </w:pPr>
          <w:hyperlink w:anchor="__RefHeading___Toc1976_3393805993">
            <w:r>
              <w:rPr>
                <w:webHidden/>
                <w:rStyle w:val="IndexLink"/>
              </w:rPr>
              <w:t>8.8 Включение режима усиления сигнала освещения</w:t>
              <w:tab/>
              <w:t>20</w:t>
            </w:r>
          </w:hyperlink>
        </w:p>
        <w:p>
          <w:pPr>
            <w:pStyle w:val="TOC1"/>
            <w:tabs>
              <w:tab w:val="clear" w:pos="708"/>
              <w:tab w:val="right" w:pos="9069" w:leader="dot"/>
            </w:tabs>
            <w:rPr/>
          </w:pPr>
          <w:hyperlink w:anchor="__RefHeading___Toc1978_3393805993">
            <w:r>
              <w:rPr>
                <w:webHidden/>
                <w:rStyle w:val="IndexLink"/>
              </w:rPr>
              <w:t>Вывод</w:t>
              <w:tab/>
              <w:t>21</w:t>
            </w:r>
          </w:hyperlink>
        </w:p>
        <w:p>
          <w:pPr>
            <w:pStyle w:val="TOC1"/>
            <w:tabs>
              <w:tab w:val="clear" w:pos="708"/>
              <w:tab w:val="right" w:pos="9069" w:leader="dot"/>
            </w:tabs>
            <w:rPr/>
          </w:pPr>
          <w:hyperlink w:anchor="__RefHeading___Toc1980_3393805993">
            <w:r>
              <w:rPr>
                <w:webHidden/>
                <w:rStyle w:val="IndexLink"/>
              </w:rPr>
              <w:t>Список источников</w:t>
              <w:tab/>
              <w:t>22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Style19"/>
        <w:rPr>
          <w:rFonts w:cs="Lohit Devanagari"/>
          <w:bCs/>
          <w:color w:val="000000"/>
          <w:szCs w:val="28"/>
        </w:rPr>
      </w:pPr>
      <w:bookmarkStart w:id="1" w:name="__RefHeading___Toc1944_3393805993"/>
      <w:bookmarkStart w:id="2" w:name="_Toc160888805"/>
      <w:bookmarkStart w:id="3" w:name="_Toc192481012"/>
      <w:bookmarkStart w:id="4" w:name="_Toc100705446"/>
      <w:bookmarkEnd w:id="1"/>
      <w:r>
        <w:rPr/>
        <w:t>Введение</w:t>
      </w:r>
      <w:bookmarkEnd w:id="4"/>
      <w:r>
        <w:rPr/>
        <w:t>:</w:t>
      </w:r>
      <w:bookmarkEnd w:id="2"/>
      <w:bookmarkEnd w:id="3"/>
    </w:p>
    <w:p>
      <w:pPr>
        <w:pStyle w:val="Normal"/>
        <w:widowControl w:val="false"/>
        <w:spacing w:lineRule="auto" w:line="360"/>
        <w:ind w:firstLine="709"/>
        <w:jc w:val="both"/>
        <w:rPr>
          <w:rFonts w:ascii="Times New Roman" w:hAnsi="Times New Roman" w:eastAsia="SimSun" w:cs="Mangal"/>
          <w:sz w:val="28"/>
        </w:rPr>
      </w:pPr>
      <w:r>
        <w:rPr>
          <w:rFonts w:eastAsia="SimSun" w:cs="Mangal" w:ascii="Times New Roman" w:hAnsi="Times New Roman"/>
          <w:sz w:val="28"/>
        </w:rPr>
        <w:t>В настоящее время автоматизация производственных процессов является одним из основных направлений, по которому в настоящее время идет развитие производства во всем мире.</w:t>
      </w:r>
    </w:p>
    <w:p>
      <w:pPr>
        <w:pStyle w:val="Normal"/>
        <w:widowControl w:val="false"/>
        <w:spacing w:lineRule="auto" w:line="360"/>
        <w:ind w:firstLine="709"/>
        <w:jc w:val="both"/>
        <w:rPr>
          <w:rFonts w:ascii="Times New Roman" w:hAnsi="Times New Roman" w:eastAsia="SimSun" w:cs="Mangal"/>
          <w:sz w:val="28"/>
        </w:rPr>
      </w:pPr>
      <w:r>
        <w:rPr>
          <w:rFonts w:eastAsia="SimSun" w:cs="Mangal" w:ascii="Times New Roman" w:hAnsi="Times New Roman"/>
          <w:sz w:val="28"/>
        </w:rPr>
        <w:t>Автоматизация технологических процессов создаётся с помощью АСУТП. Система автоматизированного управления технологическими процессами (АСТУТП) – это комплекс программных и технических средств, предназначенных для автоматизации управления технологическим оборудованием.</w:t>
      </w:r>
    </w:p>
    <w:p>
      <w:pPr>
        <w:pStyle w:val="Normal"/>
        <w:widowControl w:val="false"/>
        <w:spacing w:lineRule="auto" w:line="360"/>
        <w:ind w:firstLine="709"/>
        <w:jc w:val="both"/>
        <w:rPr>
          <w:rFonts w:ascii="Times New Roman" w:hAnsi="Times New Roman" w:eastAsia="SimSun" w:cs="Mangal"/>
          <w:sz w:val="28"/>
        </w:rPr>
      </w:pPr>
      <w:r>
        <w:rPr>
          <w:rFonts w:eastAsia="SimSun" w:cs="Mangal" w:ascii="Times New Roman" w:hAnsi="Times New Roman"/>
          <w:sz w:val="28"/>
        </w:rPr>
        <w:t>Для реализации автоматизированной системы можно использовать программируемый логический контроллер (ПЛК). Контроллеры выполняют функции управления технологическими процессами в рамках заданного алгоритма в реальном масштабе времени.</w:t>
      </w:r>
    </w:p>
    <w:p>
      <w:pPr>
        <w:pStyle w:val="Normal"/>
        <w:widowControl w:val="false"/>
        <w:spacing w:lineRule="auto" w:line="360"/>
        <w:ind w:firstLine="709"/>
        <w:jc w:val="both"/>
        <w:rPr>
          <w:rFonts w:ascii="Times New Roman" w:hAnsi="Times New Roman" w:eastAsia="SimSun" w:cs="Mangal"/>
          <w:sz w:val="28"/>
        </w:rPr>
      </w:pPr>
      <w:r>
        <w:rPr>
          <w:rFonts w:eastAsia="SimSun" w:cs="Mangal" w:ascii="Times New Roman" w:hAnsi="Times New Roman"/>
          <w:sz w:val="28"/>
        </w:rPr>
        <w:t>Основной режим работы ПЛК – это его длительное автономное использование, нередко в неблагоприятных условиях окружающей среды, с минимальным обслуживанием и без вмешательства человека [1]. ПЛК часто используются для управления последовательными процессами, с помощью входов и выходов для определения состояния объекта и выдачи управляющих воздействия.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Style19"/>
        <w:numPr>
          <w:ilvl w:val="0"/>
          <w:numId w:val="6"/>
        </w:numPr>
        <w:rPr>
          <w:rFonts w:ascii="Times New Roman CYR" w:hAnsi="Times New Roman CYR"/>
        </w:rPr>
      </w:pPr>
      <w:bookmarkStart w:id="5" w:name="__RefHeading___Toc1946_3393805993"/>
      <w:bookmarkStart w:id="6" w:name="_Toc160888806"/>
      <w:bookmarkStart w:id="7" w:name="_Toc100705447"/>
      <w:bookmarkStart w:id="8" w:name="_Toc192481013"/>
      <w:bookmarkEnd w:id="5"/>
      <w:r>
        <w:rPr/>
        <w:t>Описание объекта автоматизации</w:t>
      </w:r>
      <w:bookmarkEnd w:id="6"/>
      <w:bookmarkEnd w:id="7"/>
      <w:bookmarkEnd w:id="8"/>
    </w:p>
    <w:p>
      <w:pPr>
        <w:pStyle w:val="Style20"/>
        <w:rPr/>
      </w:pPr>
      <w:r>
        <w:rPr/>
        <w:t xml:space="preserve">Объект управления представляет систему автоматизированного контроля трафика дорожного движения. </w:t>
      </w:r>
    </w:p>
    <w:p>
      <w:pPr>
        <w:pStyle w:val="Style20"/>
        <w:rPr/>
      </w:pPr>
      <w:r>
        <w:rPr/>
        <w:t>Задача данной системы заключается в том, чтобы выполнять переход между состояниями (режимами лампочек), таким образом регулируя трафик дорожного движения.</w:t>
      </w:r>
    </w:p>
    <w:p>
      <w:pPr>
        <w:pStyle w:val="Style20"/>
        <w:rPr/>
      </w:pPr>
      <w:r>
        <w:rPr/>
        <w:t xml:space="preserve">Контроль системы осуществляется датчиками нажатия кнопки и освещенности ламп светофора. </w:t>
      </w:r>
    </w:p>
    <w:p>
      <w:pPr>
        <w:pStyle w:val="Style20"/>
        <w:rPr/>
      </w:pPr>
      <w:r>
        <w:rPr/>
        <w:t>Датчик нажатия кнопки пешеходного перехода служит для контроля входящего сигнала со стороны пешеходов. Он дискретный, то есть имеет лишь 2 состояния: 0 или 1. Датчик освещенности ламп светофора показывает с какой интенсивность светятся лампы светофоров. В случае неисправности лампочек, система, по показаниям датчиков, поймет, что лампочки неисправны и войдет в режим аварийной работы [2].</w:t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  <w:t>Структура системы автоматизации представлена на рисунке 1.</w:t>
      </w:r>
    </w:p>
    <w:p>
      <w:pPr>
        <w:pStyle w:val="Style20"/>
        <w:rPr/>
      </w:pPr>
      <w:r>
        <w:rPr/>
        <w:drawing>
          <wp:inline distT="0" distB="0" distL="0" distR="0">
            <wp:extent cx="5759450" cy="2889250"/>
            <wp:effectExtent l="0" t="0" r="0" b="0"/>
            <wp:docPr id="2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889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ind w:hanging="0"/>
        <w:jc w:val="center"/>
        <w:rPr/>
      </w:pPr>
      <w:r>
        <w:rPr/>
        <w:t xml:space="preserve"> </w:t>
      </w:r>
      <w:r>
        <w:rPr/>
        <w:t>Рисунок 1 — Структура системы автоматизированного контроля и регулирования сигналов светофора</w:t>
      </w:r>
    </w:p>
    <w:p>
      <w:pPr>
        <w:pStyle w:val="Style20"/>
        <w:ind w:hanging="0"/>
        <w:jc w:val="left"/>
        <w:rPr/>
      </w:pPr>
      <w:r>
        <w:rPr/>
        <w:t>Датчики, представленные на рисунке</w:t>
      </w:r>
      <w:r>
        <w:rPr>
          <w:lang w:val="en-US"/>
        </w:rPr>
        <w:t>:</w:t>
      </w:r>
    </w:p>
    <w:p>
      <w:pPr>
        <w:pStyle w:val="Style20"/>
        <w:numPr>
          <w:ilvl w:val="0"/>
          <w:numId w:val="3"/>
        </w:numPr>
        <w:jc w:val="left"/>
        <w:rPr/>
      </w:pPr>
      <w:r>
        <w:rPr/>
        <w:t>ДКП1-2 – датчик нажатия кнопки пешеходного перехода;</w:t>
      </w:r>
    </w:p>
    <w:p>
      <w:pPr>
        <w:pStyle w:val="Style20"/>
        <w:numPr>
          <w:ilvl w:val="0"/>
          <w:numId w:val="3"/>
        </w:numPr>
        <w:jc w:val="left"/>
        <w:rPr/>
      </w:pPr>
      <w:r>
        <w:rPr/>
        <w:t>ДОЛС1-10 – датчик освещенности лампы светофора;</w:t>
      </w:r>
    </w:p>
    <w:p>
      <w:pPr>
        <w:pStyle w:val="Style20"/>
        <w:ind w:hanging="0"/>
        <w:jc w:val="left"/>
        <w:rPr/>
      </w:pPr>
      <w:r>
        <w:rPr/>
        <w:t>Управляющие устройства, представленные на рисунке:</w:t>
      </w:r>
    </w:p>
    <w:p>
      <w:pPr>
        <w:pStyle w:val="Style20"/>
        <w:numPr>
          <w:ilvl w:val="0"/>
          <w:numId w:val="4"/>
        </w:numPr>
        <w:jc w:val="left"/>
        <w:rPr/>
      </w:pPr>
      <w:r>
        <w:rPr/>
        <w:t>КА1-2 – красный свет для автомобилей;</w:t>
      </w:r>
    </w:p>
    <w:p>
      <w:pPr>
        <w:pStyle w:val="Style20"/>
        <w:numPr>
          <w:ilvl w:val="0"/>
          <w:numId w:val="4"/>
        </w:numPr>
        <w:jc w:val="left"/>
        <w:rPr/>
      </w:pPr>
      <w:r>
        <w:rPr/>
        <w:t>ЖА1-2– желтый свет для автомобилей;</w:t>
      </w:r>
    </w:p>
    <w:p>
      <w:pPr>
        <w:pStyle w:val="Style20"/>
        <w:numPr>
          <w:ilvl w:val="0"/>
          <w:numId w:val="4"/>
        </w:numPr>
        <w:jc w:val="left"/>
        <w:rPr/>
      </w:pPr>
      <w:r>
        <w:rPr/>
        <w:t>ЗА1-2 – зеленый свет для автомобилей;</w:t>
      </w:r>
    </w:p>
    <w:p>
      <w:pPr>
        <w:pStyle w:val="Style20"/>
        <w:numPr>
          <w:ilvl w:val="0"/>
          <w:numId w:val="4"/>
        </w:numPr>
        <w:jc w:val="left"/>
        <w:rPr/>
      </w:pPr>
      <w:r>
        <w:rPr/>
        <w:t>КП1-2 - красный свет для пешеходов;</w:t>
      </w:r>
    </w:p>
    <w:p>
      <w:pPr>
        <w:pStyle w:val="Style20"/>
        <w:numPr>
          <w:ilvl w:val="0"/>
          <w:numId w:val="4"/>
        </w:numPr>
        <w:jc w:val="left"/>
        <w:rPr/>
      </w:pPr>
      <w:r>
        <w:rPr/>
        <w:t>ЗП1-2 – зеленый свет для пешеходов.</w:t>
      </w:r>
    </w:p>
    <w:p>
      <w:pPr>
        <w:pStyle w:val="Style20"/>
        <w:ind w:hanging="0" w:left="720"/>
        <w:jc w:val="left"/>
        <w:rPr/>
      </w:pPr>
      <w:r>
        <w:rPr/>
      </w:r>
    </w:p>
    <w:p>
      <w:pPr>
        <w:pStyle w:val="Style19"/>
        <w:numPr>
          <w:ilvl w:val="0"/>
          <w:numId w:val="6"/>
        </w:numPr>
        <w:rPr/>
      </w:pPr>
      <w:bookmarkStart w:id="9" w:name="__RefHeading___Toc1948_3393805993"/>
      <w:bookmarkStart w:id="10" w:name="_Toc192481014"/>
      <w:bookmarkStart w:id="11" w:name="_Toc160888807"/>
      <w:bookmarkStart w:id="12" w:name="_Toc100705448"/>
      <w:bookmarkEnd w:id="9"/>
      <w:r>
        <w:rPr>
          <w:color w:val="000000"/>
          <w:szCs w:val="28"/>
        </w:rPr>
        <w:t>Входные и выходные сигнал</w:t>
      </w:r>
      <w:bookmarkEnd w:id="11"/>
      <w:bookmarkEnd w:id="12"/>
      <w:r>
        <w:rPr>
          <w:color w:val="000000"/>
          <w:szCs w:val="28"/>
        </w:rPr>
        <w:t>ы</w:t>
      </w:r>
      <w:bookmarkEnd w:id="10"/>
    </w:p>
    <w:p>
      <w:pPr>
        <w:pStyle w:val="BodyText"/>
        <w:spacing w:lineRule="auto" w:line="427" w:before="0" w:after="0"/>
        <w:ind w:firstLine="360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Все используемые в системе датчики перечислены в таблице 1.</w:t>
      </w:r>
    </w:p>
    <w:p>
      <w:pPr>
        <w:pStyle w:val="BodyText"/>
        <w:spacing w:lineRule="auto" w:line="427" w:before="0" w:after="0"/>
        <w:ind w:firstLine="360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</w:r>
    </w:p>
    <w:p>
      <w:pPr>
        <w:pStyle w:val="BodyText"/>
        <w:spacing w:lineRule="auto" w:line="427" w:before="0" w:after="0"/>
        <w:ind w:firstLine="360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</w:r>
    </w:p>
    <w:p>
      <w:pPr>
        <w:pStyle w:val="BodyText"/>
        <w:spacing w:lineRule="auto" w:line="427" w:before="0" w:after="0"/>
        <w:ind w:firstLine="360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</w:r>
    </w:p>
    <w:p>
      <w:pPr>
        <w:pStyle w:val="BodyText"/>
        <w:spacing w:lineRule="auto" w:line="427" w:before="0" w:after="0"/>
        <w:ind w:firstLine="360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</w:r>
    </w:p>
    <w:p>
      <w:pPr>
        <w:pStyle w:val="BodyText"/>
        <w:ind w:firstLine="360"/>
        <w:jc w:val="right"/>
        <w:rPr/>
      </w:pPr>
      <w:r>
        <w:rPr>
          <w:rFonts w:ascii="Times New Roman" w:hAnsi="Times New Roman"/>
          <w:color w:val="000000"/>
          <w:sz w:val="28"/>
        </w:rPr>
        <w:t xml:space="preserve">              </w:t>
      </w:r>
      <w:r>
        <w:rPr>
          <w:rFonts w:ascii="Times New Roman" w:hAnsi="Times New Roman"/>
          <w:color w:val="000000"/>
          <w:sz w:val="28"/>
        </w:rPr>
        <w:t>Таблица 1</w:t>
      </w:r>
      <w:r>
        <w:rPr>
          <w:color w:val="000000"/>
        </w:rPr>
        <w:t xml:space="preserve"> — </w:t>
      </w:r>
      <w:r>
        <w:rPr>
          <w:rFonts w:ascii="Times New Roman" w:hAnsi="Times New Roman"/>
          <w:color w:val="000000"/>
          <w:sz w:val="28"/>
        </w:rPr>
        <w:t>Используемые датчики</w:t>
      </w:r>
    </w:p>
    <w:tbl>
      <w:tblPr>
        <w:tblW w:w="9644" w:type="dxa"/>
        <w:jc w:val="center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 w:noHBand="0" w:noVBand="0" w:firstColumn="1" w:lastRow="1" w:lastColumn="1" w:firstRow="1"/>
      </w:tblPr>
      <w:tblGrid>
        <w:gridCol w:w="462"/>
        <w:gridCol w:w="3368"/>
        <w:gridCol w:w="992"/>
        <w:gridCol w:w="709"/>
        <w:gridCol w:w="709"/>
        <w:gridCol w:w="3403"/>
      </w:tblGrid>
      <w:tr>
        <w:trPr>
          <w:trHeight w:val="683" w:hRule="atLeast"/>
        </w:trPr>
        <w:tc>
          <w:tcPr>
            <w:tcW w:w="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360" w:before="93" w:after="0"/>
              <w:ind w:left="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</w:t>
            </w:r>
          </w:p>
        </w:tc>
        <w:tc>
          <w:tcPr>
            <w:tcW w:w="3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360" w:before="93" w:after="0"/>
              <w:ind w:left="62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360" w:before="93" w:after="0"/>
              <w:ind w:left="86" w:right="6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Код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Rule="auto" w:line="360" w:before="93" w:after="0"/>
              <w:ind w:left="112" w:right="9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360" w:before="93" w:after="0"/>
              <w:ind w:left="112" w:right="9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Кол.</w:t>
            </w:r>
          </w:p>
        </w:tc>
        <w:tc>
          <w:tcPr>
            <w:tcW w:w="3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360" w:before="93" w:after="0"/>
              <w:ind w:left="144" w:right="13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  <w:r>
              <w:rPr>
                <w:spacing w:val="-4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выходных</w:t>
            </w:r>
            <w:r>
              <w:rPr>
                <w:spacing w:val="-3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значений</w:t>
            </w:r>
          </w:p>
        </w:tc>
      </w:tr>
      <w:tr>
        <w:trPr>
          <w:trHeight w:val="2108" w:hRule="atLeast"/>
        </w:trPr>
        <w:tc>
          <w:tcPr>
            <w:tcW w:w="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360" w:before="11" w:after="0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Paragraph"/>
              <w:spacing w:lineRule="auto" w:line="360" w:before="0" w:after="0"/>
              <w:ind w:left="1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360" w:before="172" w:after="0"/>
              <w:ind w:left="381" w:right="56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Датчик нажатия кнопки пешеходного перехода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360" w:before="11" w:after="0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Paragraph"/>
              <w:spacing w:lineRule="auto" w:line="360" w:before="0" w:after="0"/>
              <w:ind w:left="86" w:right="6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ДКП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Rule="auto" w:line="360" w:before="11" w:after="0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Paragraph"/>
              <w:spacing w:lineRule="auto" w:line="360" w:before="0" w:after="0"/>
              <w:ind w:left="1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360" w:before="11" w:after="0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Paragraph"/>
              <w:spacing w:lineRule="auto" w:line="360" w:before="11" w:after="0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360" w:before="93" w:after="0"/>
              <w:ind w:hanging="173" w:left="583" w:right="12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 — Кнопка не нажата</w:t>
            </w:r>
          </w:p>
          <w:p>
            <w:pPr>
              <w:pStyle w:val="TableParagraph"/>
              <w:spacing w:lineRule="auto" w:line="360"/>
              <w:ind w:hanging="173" w:left="583" w:right="37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spacing w:val="-2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—</w:t>
            </w:r>
            <w:r>
              <w:rPr>
                <w:spacing w:val="-3"/>
                <w:sz w:val="28"/>
                <w:szCs w:val="28"/>
              </w:rPr>
              <w:t xml:space="preserve"> Кнопка нажата</w:t>
            </w:r>
          </w:p>
        </w:tc>
      </w:tr>
      <w:tr>
        <w:trPr>
          <w:trHeight w:val="1635" w:hRule="atLeast"/>
        </w:trPr>
        <w:tc>
          <w:tcPr>
            <w:tcW w:w="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360" w:before="1" w:after="0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Paragraph"/>
              <w:spacing w:lineRule="auto" w:line="360" w:before="0" w:after="0"/>
              <w:ind w:left="1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360" w:before="93" w:after="0"/>
              <w:ind w:left="390" w:right="3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Датчик</w:t>
            </w:r>
            <w:r>
              <w:rPr>
                <w:spacing w:val="1"/>
                <w:sz w:val="28"/>
                <w:szCs w:val="28"/>
              </w:rPr>
              <w:t xml:space="preserve"> освещенности лампы светофора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360" w:before="1" w:after="0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Paragraph"/>
              <w:spacing w:lineRule="auto" w:line="360" w:before="0" w:after="0"/>
              <w:ind w:left="86" w:right="6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ДОЛС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Rule="auto" w:line="360" w:before="1" w:after="0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Paragraph"/>
              <w:spacing w:lineRule="auto" w:line="360" w:before="0" w:after="0"/>
              <w:ind w:left="1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360" w:before="1" w:after="0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Paragraph"/>
              <w:spacing w:lineRule="auto" w:line="360" w:before="1" w:after="0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3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360" w:before="175" w:after="0"/>
              <w:ind w:hanging="168" w:left="543" w:right="33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Освещенность [0; </w:t>
            </w:r>
            <w:r>
              <w:rPr>
                <w:sz w:val="28"/>
                <w:szCs w:val="28"/>
                <w:lang w:val="en-US"/>
              </w:rPr>
              <w:t>300</w:t>
            </w:r>
            <w:r>
              <w:rPr>
                <w:sz w:val="28"/>
                <w:szCs w:val="28"/>
              </w:rPr>
              <w:t>] люкс</w:t>
            </w:r>
          </w:p>
        </w:tc>
      </w:tr>
    </w:tbl>
    <w:p>
      <w:pPr>
        <w:pStyle w:val="12"/>
        <w:rPr/>
      </w:pPr>
      <w:bookmarkStart w:id="13" w:name="__RefHeading___Toc1950_3393805993"/>
      <w:bookmarkStart w:id="14" w:name="_Toc160888808"/>
      <w:bookmarkEnd w:id="13"/>
      <w:r>
        <w:rPr/>
        <w:br/>
      </w:r>
      <w:bookmarkStart w:id="15" w:name="_Toc192481015"/>
      <w:r>
        <w:rPr/>
        <w:t>3 Перечень исполнительных механизмов</w:t>
      </w:r>
      <w:bookmarkEnd w:id="14"/>
      <w:bookmarkEnd w:id="15"/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В таблице 2 представлен перечень исполнительных механизмов.</w:t>
      </w:r>
    </w:p>
    <w:p>
      <w:pPr>
        <w:pStyle w:val="Normal"/>
        <w:spacing w:lineRule="auto" w:line="360"/>
        <w:jc w:val="right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Таблица 2 — Исполнительные механизмы</w:t>
      </w:r>
    </w:p>
    <w:tbl>
      <w:tblPr>
        <w:tblStyle w:val="af9"/>
        <w:tblW w:w="904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178"/>
        <w:gridCol w:w="2195"/>
        <w:gridCol w:w="1685"/>
        <w:gridCol w:w="3989"/>
      </w:tblGrid>
      <w:tr>
        <w:trPr>
          <w:trHeight w:val="492" w:hRule="atLeast"/>
        </w:trPr>
        <w:tc>
          <w:tcPr>
            <w:tcW w:w="117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№</w:t>
            </w:r>
          </w:p>
        </w:tc>
        <w:tc>
          <w:tcPr>
            <w:tcW w:w="219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Название</w:t>
            </w:r>
          </w:p>
        </w:tc>
        <w:tc>
          <w:tcPr>
            <w:tcW w:w="168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Количество</w:t>
            </w:r>
          </w:p>
        </w:tc>
        <w:tc>
          <w:tcPr>
            <w:tcW w:w="398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Описание выходных значений</w:t>
            </w:r>
          </w:p>
        </w:tc>
      </w:tr>
      <w:tr>
        <w:trPr>
          <w:trHeight w:val="1477" w:hRule="atLeast"/>
        </w:trPr>
        <w:tc>
          <w:tcPr>
            <w:tcW w:w="117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1</w:t>
            </w:r>
          </w:p>
        </w:tc>
        <w:tc>
          <w:tcPr>
            <w:tcW w:w="219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Красный свет для автомобилей</w:t>
            </w:r>
          </w:p>
        </w:tc>
        <w:tc>
          <w:tcPr>
            <w:tcW w:w="168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1</w:t>
            </w:r>
          </w:p>
        </w:tc>
        <w:tc>
          <w:tcPr>
            <w:tcW w:w="398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0 – выключен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1 – включен</w:t>
            </w:r>
          </w:p>
        </w:tc>
      </w:tr>
      <w:tr>
        <w:trPr>
          <w:trHeight w:val="984" w:hRule="atLeast"/>
        </w:trPr>
        <w:tc>
          <w:tcPr>
            <w:tcW w:w="117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2</w:t>
            </w:r>
          </w:p>
        </w:tc>
        <w:tc>
          <w:tcPr>
            <w:tcW w:w="219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Желтый свет для автомобилей</w:t>
            </w:r>
          </w:p>
        </w:tc>
        <w:tc>
          <w:tcPr>
            <w:tcW w:w="168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1</w:t>
            </w:r>
          </w:p>
        </w:tc>
        <w:tc>
          <w:tcPr>
            <w:tcW w:w="398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0 – выключен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1 – включен</w:t>
            </w:r>
          </w:p>
        </w:tc>
      </w:tr>
      <w:tr>
        <w:trPr>
          <w:trHeight w:val="984" w:hRule="atLeast"/>
        </w:trPr>
        <w:tc>
          <w:tcPr>
            <w:tcW w:w="117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3</w:t>
            </w:r>
          </w:p>
        </w:tc>
        <w:tc>
          <w:tcPr>
            <w:tcW w:w="219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Зеленый свет для автомобилей</w:t>
            </w:r>
          </w:p>
        </w:tc>
        <w:tc>
          <w:tcPr>
            <w:tcW w:w="168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1</w:t>
            </w:r>
          </w:p>
        </w:tc>
        <w:tc>
          <w:tcPr>
            <w:tcW w:w="398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0 – выключен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1 – включен</w:t>
            </w:r>
          </w:p>
        </w:tc>
      </w:tr>
      <w:tr>
        <w:trPr>
          <w:trHeight w:val="984" w:hRule="atLeast"/>
        </w:trPr>
        <w:tc>
          <w:tcPr>
            <w:tcW w:w="117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4</w:t>
            </w:r>
          </w:p>
        </w:tc>
        <w:tc>
          <w:tcPr>
            <w:tcW w:w="219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Красный свет для пешеходов</w:t>
            </w:r>
          </w:p>
        </w:tc>
        <w:tc>
          <w:tcPr>
            <w:tcW w:w="168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1</w:t>
            </w:r>
          </w:p>
        </w:tc>
        <w:tc>
          <w:tcPr>
            <w:tcW w:w="398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0 – выключен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1 – включен</w:t>
            </w:r>
          </w:p>
        </w:tc>
      </w:tr>
      <w:tr>
        <w:trPr>
          <w:trHeight w:val="984" w:hRule="atLeast"/>
        </w:trPr>
        <w:tc>
          <w:tcPr>
            <w:tcW w:w="117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5</w:t>
            </w:r>
          </w:p>
        </w:tc>
        <w:tc>
          <w:tcPr>
            <w:tcW w:w="219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Зеленый свет для пешеходов</w:t>
            </w:r>
          </w:p>
        </w:tc>
        <w:tc>
          <w:tcPr>
            <w:tcW w:w="168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1</w:t>
            </w:r>
          </w:p>
        </w:tc>
        <w:tc>
          <w:tcPr>
            <w:tcW w:w="398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0 – выключен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1 – включен</w:t>
            </w:r>
          </w:p>
        </w:tc>
      </w:tr>
    </w:tbl>
    <w:p>
      <w:pPr>
        <w:pStyle w:val="Style19"/>
        <w:rPr>
          <w:szCs w:val="28"/>
        </w:rPr>
      </w:pPr>
      <w:bookmarkStart w:id="16" w:name="__RefHeading___Toc1952_3393805993"/>
      <w:bookmarkStart w:id="17" w:name="_Toc129648793"/>
      <w:bookmarkStart w:id="18" w:name="_Toc160888809"/>
      <w:bookmarkStart w:id="19" w:name="_Toc192481016"/>
      <w:bookmarkEnd w:id="16"/>
      <w:r>
        <w:rPr/>
        <w:t>4 Входные и выходные сигналы системы</w:t>
      </w:r>
      <w:bookmarkEnd w:id="17"/>
      <w:bookmarkEnd w:id="18"/>
      <w:bookmarkEnd w:id="19"/>
    </w:p>
    <w:p>
      <w:pPr>
        <w:pStyle w:val="BodyText"/>
        <w:ind w:firstLine="708"/>
        <w:rPr>
          <w:sz w:val="28"/>
        </w:rPr>
      </w:pPr>
      <w:r>
        <w:rPr>
          <w:rFonts w:ascii="Times New Roman CYR" w:hAnsi="Times New Roman CYR"/>
          <w:sz w:val="28"/>
          <w:szCs w:val="28"/>
        </w:rPr>
        <w:t xml:space="preserve">В таблице 3 представлены входные сигналы системы. </w:t>
      </w:r>
      <w:r>
        <w:rPr>
          <w:sz w:val="28"/>
        </w:rPr>
        <w:t>В таблице 4 представлены выходные сигналы системы.</w:t>
      </w:r>
    </w:p>
    <w:p>
      <w:pPr>
        <w:pStyle w:val="BodyText"/>
        <w:spacing w:lineRule="auto" w:line="360" w:before="69" w:after="0"/>
        <w:ind w:firstLine="590" w:left="118"/>
        <w:jc w:val="right"/>
        <w:rPr>
          <w:sz w:val="28"/>
        </w:rPr>
      </w:pPr>
      <w:r>
        <w:rPr>
          <w:rFonts w:ascii="Times New Roman CYR" w:hAnsi="Times New Roman CYR"/>
          <w:sz w:val="28"/>
          <w:szCs w:val="28"/>
        </w:rPr>
        <w:t>Таблица</w:t>
      </w:r>
      <w:r>
        <w:rPr>
          <w:rFonts w:ascii="Times New Roman CYR" w:hAnsi="Times New Roman CYR"/>
          <w:spacing w:val="-3"/>
          <w:sz w:val="28"/>
          <w:szCs w:val="28"/>
        </w:rPr>
        <w:t xml:space="preserve"> 3 </w:t>
      </w:r>
      <w:r>
        <w:rPr>
          <w:rFonts w:ascii="Times New Roman CYR" w:hAnsi="Times New Roman CYR"/>
          <w:sz w:val="28"/>
          <w:szCs w:val="28"/>
        </w:rPr>
        <w:t>— Входные</w:t>
      </w:r>
      <w:r>
        <w:rPr>
          <w:rFonts w:ascii="Times New Roman CYR" w:hAnsi="Times New Roman CYR"/>
          <w:spacing w:val="-6"/>
          <w:sz w:val="28"/>
          <w:szCs w:val="28"/>
        </w:rPr>
        <w:t xml:space="preserve"> </w:t>
      </w:r>
      <w:r>
        <w:rPr>
          <w:rFonts w:ascii="Times New Roman CYR" w:hAnsi="Times New Roman CYR"/>
          <w:sz w:val="28"/>
          <w:szCs w:val="28"/>
        </w:rPr>
        <w:t>сигналы</w:t>
      </w:r>
    </w:p>
    <w:tbl>
      <w:tblPr>
        <w:tblStyle w:val="af9"/>
        <w:tblW w:w="90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65"/>
        <w:gridCol w:w="2265"/>
        <w:gridCol w:w="2265"/>
        <w:gridCol w:w="2264"/>
      </w:tblGrid>
      <w:tr>
        <w:trPr/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Обозначение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Параметр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Тип</w:t>
            </w:r>
          </w:p>
        </w:tc>
        <w:tc>
          <w:tcPr>
            <w:tcW w:w="226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Переменная</w:t>
            </w:r>
          </w:p>
        </w:tc>
      </w:tr>
      <w:tr>
        <w:trPr/>
        <w:tc>
          <w:tcPr>
            <w:tcW w:w="2265" w:type="dxa"/>
            <w:tcBorders/>
          </w:tcPr>
          <w:p>
            <w:pPr>
              <w:pStyle w:val="TableParagraph"/>
              <w:widowControl/>
              <w:suppressAutoHyphens w:val="true"/>
              <w:spacing w:lineRule="auto" w:line="360" w:before="0" w:after="0"/>
              <w:ind w:left="86" w:right="61"/>
              <w:rPr>
                <w:sz w:val="28"/>
              </w:rPr>
            </w:pPr>
            <w:r>
              <w:rPr>
                <w:sz w:val="28"/>
                <w:lang w:val="ru-RU"/>
              </w:rPr>
              <w:t>ПИТ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Питание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Дискретный</w:t>
            </w:r>
          </w:p>
        </w:tc>
        <w:tc>
          <w:tcPr>
            <w:tcW w:w="226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lang w:val="en-US"/>
              </w:rPr>
              <w:t>I0.0</w:t>
            </w:r>
          </w:p>
        </w:tc>
      </w:tr>
      <w:tr>
        <w:trPr/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ДКП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Кнопка пешехода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Дискретный</w:t>
            </w:r>
          </w:p>
        </w:tc>
        <w:tc>
          <w:tcPr>
            <w:tcW w:w="226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lang w:val="en-US"/>
              </w:rPr>
              <w:t>I0.1</w:t>
            </w:r>
          </w:p>
        </w:tc>
      </w:tr>
      <w:tr>
        <w:trPr/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ДКП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Кнопка пешехода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Дискретный</w:t>
            </w:r>
          </w:p>
        </w:tc>
        <w:tc>
          <w:tcPr>
            <w:tcW w:w="226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lang w:val="en-US"/>
              </w:rPr>
              <w:t>I0.2</w:t>
            </w:r>
          </w:p>
        </w:tc>
      </w:tr>
      <w:tr>
        <w:trPr/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ДЖФА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Длительность желтой фазы для авто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Аналоговый</w:t>
            </w:r>
          </w:p>
        </w:tc>
        <w:tc>
          <w:tcPr>
            <w:tcW w:w="226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lang w:val="en-US"/>
              </w:rPr>
              <w:t>AIW0</w:t>
            </w:r>
          </w:p>
        </w:tc>
      </w:tr>
      <w:tr>
        <w:trPr/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ДЗФП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Длительность зеленой фазы для пешехода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Аналоговый</w:t>
            </w:r>
          </w:p>
        </w:tc>
        <w:tc>
          <w:tcPr>
            <w:tcW w:w="226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lang w:val="en-US"/>
              </w:rPr>
              <w:t>AIW2</w:t>
            </w:r>
          </w:p>
        </w:tc>
      </w:tr>
      <w:tr>
        <w:trPr/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ЗКФА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Задержка красной фазы для авто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Аналоговый</w:t>
            </w:r>
          </w:p>
        </w:tc>
        <w:tc>
          <w:tcPr>
            <w:tcW w:w="226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AIW4</w:t>
            </w:r>
          </w:p>
        </w:tc>
      </w:tr>
      <w:tr>
        <w:trPr/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ВС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Длительность красно-желтой фазы для авто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Аналоговый</w:t>
            </w:r>
          </w:p>
        </w:tc>
        <w:tc>
          <w:tcPr>
            <w:tcW w:w="226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en-US"/>
              </w:rPr>
              <w:t>AIW6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BodyText"/>
        <w:jc w:val="right"/>
        <w:rPr>
          <w:sz w:val="28"/>
        </w:rPr>
      </w:pPr>
      <w:r>
        <w:rPr>
          <w:rFonts w:ascii="Times New Roman CYR" w:hAnsi="Times New Roman CYR"/>
          <w:sz w:val="28"/>
          <w:szCs w:val="28"/>
        </w:rPr>
        <w:t>Таблица</w:t>
      </w:r>
      <w:r>
        <w:rPr>
          <w:rFonts w:ascii="Times New Roman CYR" w:hAnsi="Times New Roman CYR"/>
          <w:spacing w:val="-3"/>
          <w:sz w:val="28"/>
          <w:szCs w:val="28"/>
        </w:rPr>
        <w:t xml:space="preserve"> 4</w:t>
      </w:r>
      <w:r>
        <w:rPr>
          <w:rFonts w:ascii="Times New Roman CYR" w:hAnsi="Times New Roman CYR"/>
          <w:spacing w:val="-2"/>
          <w:sz w:val="28"/>
          <w:szCs w:val="28"/>
        </w:rPr>
        <w:t xml:space="preserve"> </w:t>
      </w:r>
      <w:r>
        <w:rPr>
          <w:rFonts w:ascii="Times New Roman CYR" w:hAnsi="Times New Roman CYR"/>
          <w:sz w:val="28"/>
          <w:szCs w:val="28"/>
        </w:rPr>
        <w:t>— Выходные</w:t>
      </w:r>
      <w:r>
        <w:rPr>
          <w:rFonts w:ascii="Times New Roman CYR" w:hAnsi="Times New Roman CYR"/>
          <w:spacing w:val="-5"/>
          <w:sz w:val="28"/>
          <w:szCs w:val="28"/>
        </w:rPr>
        <w:t xml:space="preserve"> </w:t>
      </w:r>
      <w:r>
        <w:rPr>
          <w:rFonts w:ascii="Times New Roman CYR" w:hAnsi="Times New Roman CYR"/>
          <w:sz w:val="28"/>
          <w:szCs w:val="28"/>
        </w:rPr>
        <w:t>сигналы</w:t>
      </w:r>
    </w:p>
    <w:tbl>
      <w:tblPr>
        <w:tblStyle w:val="af9"/>
        <w:tblW w:w="90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65"/>
        <w:gridCol w:w="2265"/>
        <w:gridCol w:w="2265"/>
        <w:gridCol w:w="2264"/>
      </w:tblGrid>
      <w:tr>
        <w:trPr/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Обозначение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Параметр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Тип</w:t>
            </w:r>
          </w:p>
        </w:tc>
        <w:tc>
          <w:tcPr>
            <w:tcW w:w="226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Переменная</w:t>
            </w:r>
          </w:p>
        </w:tc>
      </w:tr>
      <w:tr>
        <w:trPr/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КП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Красный для пешеходов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Дискретный</w:t>
            </w:r>
          </w:p>
        </w:tc>
        <w:tc>
          <w:tcPr>
            <w:tcW w:w="226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lang w:val="en-US"/>
              </w:rPr>
              <w:t>Q0.0</w:t>
            </w:r>
          </w:p>
        </w:tc>
      </w:tr>
      <w:tr>
        <w:trPr/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ЗП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Зеленый для пешеходов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Дискретный</w:t>
            </w:r>
          </w:p>
        </w:tc>
        <w:tc>
          <w:tcPr>
            <w:tcW w:w="226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lang w:val="en-US"/>
              </w:rPr>
              <w:t>Q0.1</w:t>
            </w:r>
          </w:p>
        </w:tc>
      </w:tr>
      <w:tr>
        <w:trPr/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КА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Красный для автомобилей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Дискретный</w:t>
            </w:r>
          </w:p>
        </w:tc>
        <w:tc>
          <w:tcPr>
            <w:tcW w:w="226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en-US"/>
              </w:rPr>
              <w:t>Q0.</w:t>
            </w:r>
            <w:r>
              <w:rPr>
                <w:rFonts w:cs="Times New Roman" w:ascii="Times New Roman" w:hAnsi="Times New Roman"/>
                <w:sz w:val="28"/>
                <w:lang w:val="ru-RU"/>
              </w:rPr>
              <w:t>5</w:t>
            </w:r>
          </w:p>
        </w:tc>
      </w:tr>
      <w:tr>
        <w:trPr/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ЖА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Желтый для автомобилей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Дискретный</w:t>
            </w:r>
          </w:p>
        </w:tc>
        <w:tc>
          <w:tcPr>
            <w:tcW w:w="226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en-US"/>
              </w:rPr>
              <w:t>Q0.</w:t>
            </w:r>
            <w:r>
              <w:rPr>
                <w:rFonts w:cs="Times New Roman" w:ascii="Times New Roman" w:hAnsi="Times New Roman"/>
                <w:sz w:val="28"/>
                <w:lang w:val="ru-RU"/>
              </w:rPr>
              <w:t>6</w:t>
            </w:r>
          </w:p>
        </w:tc>
      </w:tr>
      <w:tr>
        <w:trPr/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ЗА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Зеленый для автомобилей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Дискретный</w:t>
            </w:r>
          </w:p>
        </w:tc>
        <w:tc>
          <w:tcPr>
            <w:tcW w:w="226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en-US"/>
              </w:rPr>
              <w:t>Q0.</w:t>
            </w:r>
            <w:r>
              <w:rPr>
                <w:rFonts w:cs="Times New Roman" w:ascii="Times New Roman" w:hAnsi="Times New Roman"/>
                <w:sz w:val="28"/>
                <w:lang w:val="ru-RU"/>
              </w:rPr>
              <w:t>7</w:t>
            </w:r>
          </w:p>
        </w:tc>
      </w:tr>
      <w:tr>
        <w:trPr/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ЗП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Зеленый свет для пешеходов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Дискретный</w:t>
            </w:r>
          </w:p>
        </w:tc>
        <w:tc>
          <w:tcPr>
            <w:tcW w:w="226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lang w:val="en-US"/>
              </w:rPr>
              <w:t>Q0.5</w:t>
            </w:r>
          </w:p>
        </w:tc>
      </w:tr>
      <w:tr>
        <w:trPr/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УС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Усиление света сигналов пешеходных переходов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Дискретный</w:t>
            </w:r>
          </w:p>
        </w:tc>
        <w:tc>
          <w:tcPr>
            <w:tcW w:w="226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en-US"/>
              </w:rPr>
              <w:t>Q1.0</w:t>
            </w:r>
          </w:p>
        </w:tc>
      </w:tr>
      <w:tr>
        <w:trPr/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ППП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Подсветка пешеходного перехода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Дискретный</w:t>
            </w:r>
          </w:p>
        </w:tc>
        <w:tc>
          <w:tcPr>
            <w:tcW w:w="226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en-US"/>
              </w:rPr>
              <w:t>Q1.</w:t>
            </w:r>
            <w:r>
              <w:rPr>
                <w:rFonts w:cs="Times New Roman" w:ascii="Times New Roman" w:hAnsi="Times New Roman"/>
                <w:sz w:val="28"/>
                <w:lang w:val="ru-RU"/>
              </w:rPr>
              <w:t>2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12"/>
        <w:rPr/>
      </w:pPr>
      <w:bookmarkStart w:id="20" w:name="__RefHeading___Toc1954_3393805993"/>
      <w:bookmarkStart w:id="21" w:name="_Toc160888810"/>
      <w:bookmarkStart w:id="22" w:name="_Toc129648794"/>
      <w:bookmarkStart w:id="23" w:name="_Toc192481017"/>
      <w:bookmarkEnd w:id="20"/>
      <w:r>
        <w:rPr/>
        <w:t>5 Аппаратная часть на основе ПЛК S7</w:t>
      </w:r>
      <w:bookmarkEnd w:id="21"/>
      <w:bookmarkEnd w:id="22"/>
      <w:bookmarkEnd w:id="23"/>
    </w:p>
    <w:p>
      <w:pPr>
        <w:pStyle w:val="Style21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 таблице 5 представлены компоненты для ПЛК S7-200, необходимые для реализации проекта [3-4].</w:t>
      </w:r>
    </w:p>
    <w:p>
      <w:pPr>
        <w:pStyle w:val="Style21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                                                 </w:t>
      </w:r>
      <w:r>
        <w:rPr>
          <w:rFonts w:eastAsia="Times New Roman" w:cs="Times New Roman"/>
          <w:szCs w:val="28"/>
          <w:lang w:eastAsia="ru-RU"/>
        </w:rPr>
        <w:t>Таблица 5 – Конфигурация ПЛК S7-200</w:t>
      </w:r>
    </w:p>
    <w:tbl>
      <w:tblPr>
        <w:tblW w:w="892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034"/>
        <w:gridCol w:w="1698"/>
        <w:gridCol w:w="1789"/>
        <w:gridCol w:w="1154"/>
        <w:gridCol w:w="2250"/>
      </w:tblGrid>
      <w:tr>
        <w:trPr>
          <w:trHeight w:val="57" w:hRule="atLeast"/>
        </w:trPr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Компоненты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Название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Количеств</w:t>
            </w:r>
            <w:r>
              <w:rPr>
                <w:rFonts w:eastAsia="Calibri" w:cs="Times New Roman" w:ascii="Times New Roman" w:hAnsi="Times New Roman"/>
                <w:sz w:val="28"/>
              </w:rPr>
              <w:t>о блоков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Адреса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Предназначение</w:t>
            </w:r>
          </w:p>
        </w:tc>
      </w:tr>
      <w:tr>
        <w:trPr>
          <w:trHeight w:val="57" w:hRule="atLeast"/>
        </w:trPr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Блок питания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SITOP smart</w:t>
            </w:r>
          </w:p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10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1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-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Питание</w:t>
            </w:r>
          </w:p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системы</w:t>
            </w:r>
          </w:p>
        </w:tc>
      </w:tr>
      <w:tr>
        <w:trPr>
          <w:trHeight w:val="57" w:hRule="atLeast"/>
        </w:trPr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CPU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CPU 216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1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-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Управление</w:t>
            </w:r>
          </w:p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системой</w:t>
            </w:r>
          </w:p>
        </w:tc>
      </w:tr>
      <w:tr>
        <w:trPr>
          <w:trHeight w:val="57" w:hRule="atLeast"/>
        </w:trPr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Входы цифровые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Встроенный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1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I0.0</w:t>
            </w:r>
            <w:r>
              <w:rPr>
                <w:rFonts w:eastAsia="Calibri" w:cs="Times New Roman" w:ascii="Times New Roman" w:hAnsi="Times New Roman"/>
                <w:sz w:val="28"/>
              </w:rPr>
              <w:t xml:space="preserve"> </w:t>
            </w: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–</w:t>
            </w:r>
            <w:r>
              <w:rPr>
                <w:rFonts w:eastAsia="Calibri" w:cs="Times New Roman" w:ascii="Times New Roman" w:hAnsi="Times New Roman"/>
                <w:sz w:val="28"/>
              </w:rPr>
              <w:t xml:space="preserve"> </w:t>
            </w: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I0.</w:t>
            </w:r>
            <w:r>
              <w:rPr>
                <w:rFonts w:eastAsia="Calibri" w:cs="Times New Roman" w:ascii="Times New Roman" w:hAnsi="Times New Roman"/>
                <w:sz w:val="28"/>
              </w:rPr>
              <w:t>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Чтение цифровых</w:t>
            </w:r>
          </w:p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управляющих</w:t>
            </w:r>
          </w:p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сигналов</w:t>
            </w:r>
          </w:p>
        </w:tc>
      </w:tr>
      <w:tr>
        <w:trPr>
          <w:trHeight w:val="57" w:hRule="atLeast"/>
        </w:trPr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Выходы</w:t>
            </w:r>
          </w:p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цифровые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Встроенный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1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Q0.0-</w:t>
            </w:r>
          </w:p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Q0.</w:t>
            </w:r>
            <w:r>
              <w:rPr>
                <w:rFonts w:eastAsia="Calibri" w:cs="Times New Roman" w:ascii="Times New Roman" w:hAnsi="Times New Roman"/>
                <w:sz w:val="28"/>
              </w:rPr>
              <w:t>1</w:t>
            </w: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, Q0.5-Q0.7, Q1.0, Q1.2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Исполнительные</w:t>
            </w:r>
          </w:p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устройства</w:t>
            </w:r>
          </w:p>
        </w:tc>
      </w:tr>
      <w:tr>
        <w:trPr>
          <w:trHeight w:val="57" w:hRule="atLeast"/>
        </w:trPr>
        <w:tc>
          <w:tcPr>
            <w:tcW w:w="20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Входы</w:t>
            </w:r>
          </w:p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аналоговые</w:t>
            </w:r>
          </w:p>
        </w:tc>
        <w:tc>
          <w:tcPr>
            <w:tcW w:w="16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EM 231</w:t>
            </w:r>
          </w:p>
        </w:tc>
        <w:tc>
          <w:tcPr>
            <w:tcW w:w="17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1</w:t>
            </w:r>
          </w:p>
        </w:tc>
        <w:tc>
          <w:tcPr>
            <w:tcW w:w="11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AIW0-</w:t>
            </w:r>
          </w:p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AIW</w:t>
            </w:r>
            <w:r>
              <w:rPr>
                <w:rFonts w:eastAsia="Calibri" w:cs="Times New Roman" w:ascii="Times New Roman" w:hAnsi="Times New Roman"/>
                <w:sz w:val="28"/>
              </w:rPr>
              <w:t>8</w:t>
            </w:r>
          </w:p>
        </w:tc>
        <w:tc>
          <w:tcPr>
            <w:tcW w:w="22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Чтение</w:t>
            </w:r>
          </w:p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аналоговых управляющих сигналов</w:t>
            </w:r>
          </w:p>
        </w:tc>
      </w:tr>
    </w:tbl>
    <w:p>
      <w:pPr>
        <w:pStyle w:val="Normal"/>
        <w:rPr/>
      </w:pPr>
      <w:r>
        <w:rPr/>
      </w:r>
    </w:p>
    <w:p>
      <w:pPr>
        <w:pStyle w:val="Style19"/>
        <w:rPr/>
      </w:pPr>
      <w:bookmarkStart w:id="24" w:name="__RefHeading___Toc1956_3393805993"/>
      <w:bookmarkStart w:id="25" w:name="_Toc160888811"/>
      <w:bookmarkStart w:id="26" w:name="_Toc192481018"/>
      <w:bookmarkEnd w:id="24"/>
      <w:r>
        <w:rPr/>
        <w:t>6 Масштабирование</w:t>
      </w:r>
      <w:bookmarkEnd w:id="25"/>
      <w:bookmarkEnd w:id="26"/>
    </w:p>
    <w:p>
      <w:pPr>
        <w:pStyle w:val="Style21"/>
        <w:rPr>
          <w:rFonts w:eastAsia="Calibri" w:cs="Times New Roman"/>
        </w:rPr>
      </w:pPr>
      <w:r>
        <w:rPr>
          <w:rFonts w:eastAsia="Calibri" w:cs="Times New Roman"/>
        </w:rPr>
        <w:t>Для реализации операций сравнения фактической освещенности с константами необходимо выполнить масштабирование [5]. В таблице 6 представлено максимальное масштабирование с шагом дискретизации равным 0.0244.</w:t>
      </w:r>
    </w:p>
    <w:p>
      <w:pPr>
        <w:pStyle w:val="Style21"/>
        <w:ind w:firstLine="708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</w:r>
    </w:p>
    <w:p>
      <w:pPr>
        <w:pStyle w:val="Style21"/>
        <w:ind w:firstLine="708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>Таблица 6 – Максимальное масштабирование сигнала от датчика освещенности</w:t>
      </w:r>
    </w:p>
    <w:tbl>
      <w:tblPr>
        <w:tblStyle w:val="14"/>
        <w:tblW w:w="934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84"/>
        <w:gridCol w:w="3064"/>
        <w:gridCol w:w="3096"/>
      </w:tblGrid>
      <w:tr>
        <w:trPr/>
        <w:tc>
          <w:tcPr>
            <w:tcW w:w="318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 xml:space="preserve">Освещенность, </w:t>
            </w:r>
            <w:r>
              <w:rPr>
                <w:rFonts w:cs="Times New Roman" w:ascii="Times New Roman" w:hAnsi="Times New Roman"/>
                <w:sz w:val="28"/>
                <w:lang w:val="en-US"/>
              </w:rPr>
              <w:t>%</w:t>
            </w:r>
          </w:p>
        </w:tc>
        <w:tc>
          <w:tcPr>
            <w:tcW w:w="306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Импульсы для быстрого счета</w:t>
            </w:r>
          </w:p>
        </w:tc>
        <w:tc>
          <w:tcPr>
            <w:tcW w:w="309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Код для аналогового масштабирования</w:t>
            </w:r>
          </w:p>
        </w:tc>
      </w:tr>
      <w:tr>
        <w:trPr/>
        <w:tc>
          <w:tcPr>
            <w:tcW w:w="318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30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3096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0000 0000 0000</w:t>
            </w:r>
          </w:p>
        </w:tc>
      </w:tr>
      <w:tr>
        <w:trPr/>
        <w:tc>
          <w:tcPr>
            <w:tcW w:w="318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0.0244</w:t>
            </w:r>
          </w:p>
        </w:tc>
        <w:tc>
          <w:tcPr>
            <w:tcW w:w="30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3096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0000 0000 0001</w:t>
            </w:r>
          </w:p>
        </w:tc>
      </w:tr>
      <w:tr>
        <w:trPr/>
        <w:tc>
          <w:tcPr>
            <w:tcW w:w="318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0.00098</w:t>
            </w:r>
          </w:p>
        </w:tc>
        <w:tc>
          <w:tcPr>
            <w:tcW w:w="30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3096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0000 0000 0010</w:t>
            </w:r>
          </w:p>
        </w:tc>
      </w:tr>
      <w:tr>
        <w:trPr/>
        <w:tc>
          <w:tcPr>
            <w:tcW w:w="318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…</w:t>
            </w:r>
          </w:p>
        </w:tc>
        <w:tc>
          <w:tcPr>
            <w:tcW w:w="30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…</w:t>
            </w:r>
          </w:p>
        </w:tc>
        <w:tc>
          <w:tcPr>
            <w:tcW w:w="3096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...</w:t>
            </w:r>
          </w:p>
        </w:tc>
      </w:tr>
      <w:tr>
        <w:trPr/>
        <w:tc>
          <w:tcPr>
            <w:tcW w:w="318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60</w:t>
            </w:r>
          </w:p>
        </w:tc>
        <w:tc>
          <w:tcPr>
            <w:tcW w:w="30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2459</w:t>
            </w:r>
          </w:p>
        </w:tc>
        <w:tc>
          <w:tcPr>
            <w:tcW w:w="3096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1001 1001 1011</w:t>
            </w:r>
          </w:p>
        </w:tc>
      </w:tr>
      <w:tr>
        <w:trPr/>
        <w:tc>
          <w:tcPr>
            <w:tcW w:w="318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90</w:t>
            </w:r>
          </w:p>
        </w:tc>
        <w:tc>
          <w:tcPr>
            <w:tcW w:w="30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3689</w:t>
            </w:r>
          </w:p>
        </w:tc>
        <w:tc>
          <w:tcPr>
            <w:tcW w:w="3096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1110 0110 1001</w:t>
            </w:r>
          </w:p>
        </w:tc>
      </w:tr>
      <w:tr>
        <w:trPr/>
        <w:tc>
          <w:tcPr>
            <w:tcW w:w="318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…</w:t>
            </w:r>
          </w:p>
        </w:tc>
        <w:tc>
          <w:tcPr>
            <w:tcW w:w="30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…</w:t>
            </w:r>
          </w:p>
        </w:tc>
        <w:tc>
          <w:tcPr>
            <w:tcW w:w="3096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...</w:t>
            </w:r>
          </w:p>
        </w:tc>
      </w:tr>
      <w:tr>
        <w:trPr/>
        <w:tc>
          <w:tcPr>
            <w:tcW w:w="318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100</w:t>
            </w:r>
          </w:p>
        </w:tc>
        <w:tc>
          <w:tcPr>
            <w:tcW w:w="30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4095</w:t>
            </w:r>
          </w:p>
        </w:tc>
        <w:tc>
          <w:tcPr>
            <w:tcW w:w="3096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1111 1111 1111</w:t>
            </w:r>
          </w:p>
        </w:tc>
      </w:tr>
    </w:tbl>
    <w:p>
      <w:pPr>
        <w:pStyle w:val="Normal"/>
        <w:widowControl w:val="false"/>
        <w:spacing w:lineRule="auto" w:line="360"/>
        <w:ind w:firstLine="709"/>
        <w:jc w:val="both"/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" w:hAnsi="Times New Roman"/>
          <w:sz w:val="28"/>
        </w:rPr>
      </w:r>
    </w:p>
    <w:p>
      <w:pPr>
        <w:pStyle w:val="Normal"/>
        <w:widowControl w:val="false"/>
        <w:spacing w:lineRule="auto" w:line="360"/>
        <w:ind w:firstLine="709"/>
        <w:jc w:val="both"/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" w:hAnsi="Times New Roman"/>
          <w:sz w:val="28"/>
        </w:rPr>
        <w:t>Для реализации операций сравнения фактической освещенности с константами необходимо выполнить ее масштабирование [5]. В таблице 7 представлено максимальное масштабирование с шагом дискретизации равным 0,0244.</w:t>
      </w:r>
    </w:p>
    <w:p>
      <w:pPr>
        <w:pStyle w:val="Normal"/>
        <w:widowControl w:val="false"/>
        <w:spacing w:lineRule="auto" w:line="360"/>
        <w:ind w:firstLine="709"/>
        <w:jc w:val="right"/>
        <w:rPr>
          <w:rFonts w:ascii="Times New Roman CYR" w:hAnsi="Times New Roman CYR" w:eastAsia="Calibri" w:cs="Times New Roman"/>
          <w:sz w:val="28"/>
        </w:rPr>
      </w:pPr>
      <w:r>
        <w:rPr>
          <w:rFonts w:eastAsia="Calibri" w:cs="Times New Roman" w:ascii="Times New Roman CYR" w:hAnsi="Times New Roman CYR"/>
          <w:sz w:val="28"/>
        </w:rPr>
      </w:r>
    </w:p>
    <w:p>
      <w:pPr>
        <w:pStyle w:val="Normal"/>
        <w:widowControl w:val="false"/>
        <w:spacing w:lineRule="auto" w:line="360"/>
        <w:ind w:firstLine="709"/>
        <w:jc w:val="right"/>
        <w:rPr>
          <w:rFonts w:ascii="Times New Roman CYR" w:hAnsi="Times New Roman CYR" w:eastAsia="Calibri" w:cs="Times New Roman"/>
          <w:sz w:val="28"/>
        </w:rPr>
      </w:pPr>
      <w:r>
        <w:rPr>
          <w:rFonts w:eastAsia="Calibri" w:cs="Times New Roman" w:ascii="Times New Roman CYR" w:hAnsi="Times New Roman CYR"/>
          <w:sz w:val="28"/>
        </w:rPr>
      </w:r>
    </w:p>
    <w:p>
      <w:pPr>
        <w:pStyle w:val="Normal"/>
        <w:widowControl w:val="false"/>
        <w:spacing w:lineRule="auto" w:line="360"/>
        <w:ind w:firstLine="709"/>
        <w:jc w:val="right"/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 CYR" w:hAnsi="Times New Roman CYR"/>
          <w:sz w:val="28"/>
        </w:rPr>
        <w:t>Таблица 7 – Масштабирование сигнала от датчика температуры</w:t>
      </w:r>
    </w:p>
    <w:tbl>
      <w:tblPr>
        <w:tblStyle w:val="14"/>
        <w:tblW w:w="935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091"/>
        <w:gridCol w:w="5264"/>
      </w:tblGrid>
      <w:tr>
        <w:trPr/>
        <w:tc>
          <w:tcPr>
            <w:tcW w:w="40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Освещённость</w:t>
            </w:r>
            <w:r>
              <w:rPr>
                <w:rFonts w:cs="Times New Roman" w:ascii="Times New Roman" w:hAnsi="Times New Roman"/>
                <w:sz w:val="28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sz w:val="28"/>
                <w:lang w:val="ru-RU"/>
              </w:rPr>
              <w:t>(Люкс)</w:t>
            </w:r>
          </w:p>
        </w:tc>
        <w:tc>
          <w:tcPr>
            <w:tcW w:w="526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Код</w:t>
            </w:r>
          </w:p>
        </w:tc>
      </w:tr>
      <w:tr>
        <w:trPr/>
        <w:tc>
          <w:tcPr>
            <w:tcW w:w="4091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2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0000 0000 0000</w:t>
            </w:r>
          </w:p>
        </w:tc>
      </w:tr>
      <w:tr>
        <w:trPr/>
        <w:tc>
          <w:tcPr>
            <w:tcW w:w="4091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sz w:val="28"/>
                <w:lang w:val="ru-RU"/>
              </w:rPr>
              <w:t>0,0733</w:t>
            </w:r>
          </w:p>
        </w:tc>
        <w:tc>
          <w:tcPr>
            <w:tcW w:w="52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0000 0000 0001</w:t>
            </w:r>
          </w:p>
        </w:tc>
      </w:tr>
      <w:tr>
        <w:trPr/>
        <w:tc>
          <w:tcPr>
            <w:tcW w:w="4091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0,1466</w:t>
            </w:r>
          </w:p>
        </w:tc>
        <w:tc>
          <w:tcPr>
            <w:tcW w:w="52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0000 0000 0010</w:t>
            </w:r>
          </w:p>
        </w:tc>
      </w:tr>
      <w:tr>
        <w:trPr/>
        <w:tc>
          <w:tcPr>
            <w:tcW w:w="4091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…</w:t>
            </w:r>
          </w:p>
        </w:tc>
        <w:tc>
          <w:tcPr>
            <w:tcW w:w="52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...</w:t>
            </w:r>
          </w:p>
        </w:tc>
      </w:tr>
      <w:tr>
        <w:trPr/>
        <w:tc>
          <w:tcPr>
            <w:tcW w:w="4091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000000"/>
                <w:sz w:val="28"/>
                <w:szCs w:val="28"/>
                <w:shd w:fill="FFFFFF" w:val="clear"/>
                <w:lang w:val="ru-RU"/>
              </w:rPr>
              <w:t>0,2932</w:t>
            </w:r>
          </w:p>
        </w:tc>
        <w:tc>
          <w:tcPr>
            <w:tcW w:w="52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000000"/>
                <w:sz w:val="28"/>
                <w:szCs w:val="28"/>
                <w:shd w:fill="FFFFFF" w:val="clear"/>
                <w:lang w:val="ru-RU"/>
              </w:rPr>
              <w:t>0000 0000 1011</w:t>
            </w:r>
          </w:p>
        </w:tc>
      </w:tr>
      <w:tr>
        <w:trPr/>
        <w:tc>
          <w:tcPr>
            <w:tcW w:w="4091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…</w:t>
            </w:r>
          </w:p>
        </w:tc>
        <w:tc>
          <w:tcPr>
            <w:tcW w:w="52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…</w:t>
            </w:r>
          </w:p>
        </w:tc>
      </w:tr>
      <w:tr>
        <w:trPr/>
        <w:tc>
          <w:tcPr>
            <w:tcW w:w="4091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000000"/>
                <w:sz w:val="28"/>
                <w:szCs w:val="28"/>
                <w:shd w:fill="FFFFFF" w:val="clear"/>
                <w:lang w:val="ru-RU"/>
              </w:rPr>
              <w:t>0,7332</w:t>
            </w:r>
          </w:p>
        </w:tc>
        <w:tc>
          <w:tcPr>
            <w:tcW w:w="52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000000"/>
                <w:sz w:val="28"/>
                <w:szCs w:val="28"/>
                <w:shd w:fill="FFFFFF" w:val="clear"/>
                <w:lang w:val="ru-RU"/>
              </w:rPr>
              <w:t>0000 0010 0111</w:t>
            </w:r>
          </w:p>
        </w:tc>
      </w:tr>
      <w:tr>
        <w:trPr/>
        <w:tc>
          <w:tcPr>
            <w:tcW w:w="4091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…</w:t>
            </w:r>
          </w:p>
        </w:tc>
        <w:tc>
          <w:tcPr>
            <w:tcW w:w="52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…</w:t>
            </w:r>
          </w:p>
        </w:tc>
      </w:tr>
      <w:tr>
        <w:trPr/>
        <w:tc>
          <w:tcPr>
            <w:tcW w:w="4091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000000"/>
                <w:sz w:val="28"/>
                <w:szCs w:val="28"/>
                <w:shd w:fill="FFFFFF" w:val="clear"/>
                <w:lang w:val="ru-RU"/>
              </w:rPr>
              <w:t>2,9332</w:t>
            </w:r>
          </w:p>
        </w:tc>
        <w:tc>
          <w:tcPr>
            <w:tcW w:w="52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000000"/>
                <w:sz w:val="28"/>
                <w:szCs w:val="28"/>
                <w:shd w:fill="FFFFFF" w:val="clear"/>
                <w:lang w:val="ru-RU"/>
              </w:rPr>
              <w:t>0011 0011 0111</w:t>
            </w:r>
          </w:p>
        </w:tc>
      </w:tr>
      <w:tr>
        <w:trPr/>
        <w:tc>
          <w:tcPr>
            <w:tcW w:w="4091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…</w:t>
            </w:r>
          </w:p>
        </w:tc>
        <w:tc>
          <w:tcPr>
            <w:tcW w:w="52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…</w:t>
            </w:r>
          </w:p>
        </w:tc>
      </w:tr>
      <w:tr>
        <w:trPr/>
        <w:tc>
          <w:tcPr>
            <w:tcW w:w="4091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299,9267</w:t>
            </w:r>
          </w:p>
        </w:tc>
        <w:tc>
          <w:tcPr>
            <w:tcW w:w="52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1111 1111 1110</w:t>
            </w:r>
          </w:p>
        </w:tc>
      </w:tr>
      <w:tr>
        <w:trPr/>
        <w:tc>
          <w:tcPr>
            <w:tcW w:w="4091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300</w:t>
            </w:r>
          </w:p>
        </w:tc>
        <w:tc>
          <w:tcPr>
            <w:tcW w:w="52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1111 1111 1111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Style19"/>
        <w:rPr/>
      </w:pPr>
      <w:bookmarkStart w:id="27" w:name="__RefHeading___Toc1958_3393805993"/>
      <w:bookmarkStart w:id="28" w:name="_Toc160888812"/>
      <w:bookmarkStart w:id="29" w:name="_Toc192481019"/>
      <w:bookmarkEnd w:id="27"/>
      <w:r>
        <w:rPr/>
        <w:t>7 Блок-схемы алгоритмов</w:t>
      </w:r>
      <w:bookmarkEnd w:id="28"/>
      <w:bookmarkEnd w:id="29"/>
      <w:r>
        <w:rPr/>
        <w:tab/>
      </w:r>
    </w:p>
    <w:p>
      <w:pPr>
        <w:pStyle w:val="Normal"/>
        <w:spacing w:lineRule="auto" w:line="360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На рисунке 2 представлены блок-схема алгоритма управления сигналами светофора.</w:t>
      </w:r>
    </w:p>
    <w:p>
      <w:pPr>
        <w:pStyle w:val="Normal"/>
        <w:spacing w:lineRule="auto" w:line="360"/>
        <w:jc w:val="center"/>
        <w:rPr/>
      </w:pPr>
      <w:r>
        <w:rPr/>
        <w:drawing>
          <wp:inline distT="0" distB="0" distL="0" distR="0">
            <wp:extent cx="6343015" cy="5430520"/>
            <wp:effectExtent l="0" t="0" r="0" b="0"/>
            <wp:docPr id="3" name="Рисунок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015" cy="5430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Рисунок 2 – Блок-схема главного цикла</w:t>
      </w:r>
    </w:p>
    <w:p>
      <w:pPr>
        <w:pStyle w:val="Style19"/>
        <w:rPr/>
      </w:pPr>
      <w:bookmarkStart w:id="30" w:name="__RefHeading___Toc1960_3393805993"/>
      <w:bookmarkStart w:id="31" w:name="_Toc160888813"/>
      <w:bookmarkStart w:id="32" w:name="_Toc192481020"/>
      <w:bookmarkEnd w:id="30"/>
      <w:r>
        <w:rPr/>
        <w:t xml:space="preserve">8 Программа автоматизации для ПЛК </w:t>
      </w:r>
      <w:r>
        <w:rPr>
          <w:lang w:val="en-US"/>
        </w:rPr>
        <w:t>S</w:t>
      </w:r>
      <w:r>
        <w:rPr/>
        <w:t>7-200</w:t>
      </w:r>
      <w:bookmarkEnd w:id="31"/>
      <w:bookmarkEnd w:id="32"/>
    </w:p>
    <w:p>
      <w:pPr>
        <w:pStyle w:val="Style19"/>
        <w:rPr/>
      </w:pPr>
      <w:bookmarkStart w:id="33" w:name="__RefHeading___Toc1962_3393805993"/>
      <w:bookmarkStart w:id="34" w:name="_Toc192481021"/>
      <w:bookmarkStart w:id="35" w:name="_Toc160888814"/>
      <w:bookmarkEnd w:id="33"/>
      <w:r>
        <w:rPr/>
        <w:t xml:space="preserve">8.1 Включение </w:t>
      </w:r>
      <w:bookmarkEnd w:id="35"/>
      <w:r>
        <w:rPr/>
        <w:t>пешеходного перехода</w:t>
      </w:r>
      <w:bookmarkEnd w:id="34"/>
    </w:p>
    <w:p>
      <w:pPr>
        <w:pStyle w:val="Style21"/>
        <w:ind w:firstLine="708"/>
        <w:rPr/>
      </w:pPr>
      <w:r>
        <w:rPr/>
        <w:t xml:space="preserve">На рисунке 3 представлена программа объявления прерывания присутствия пешеходов [6-8]. Блок-схема этого действия представлена на рисунке 2. Реализовано с обработкой сигнала, приходящего с адреса </w:t>
      </w:r>
      <w:r>
        <w:rPr>
          <w:lang w:val="en-US"/>
        </w:rPr>
        <w:t>SM</w:t>
      </w:r>
      <w:r>
        <w:rPr/>
        <w:t>0.0. Выходные сигналы датчиков представлены в таблице 4.</w:t>
      </w:r>
    </w:p>
    <w:p>
      <w:pPr>
        <w:pStyle w:val="Normal"/>
        <w:spacing w:lineRule="auto" w:line="360"/>
        <w:jc w:val="center"/>
        <w:rPr>
          <w:rFonts w:cs="Times New Roman"/>
          <w:b/>
        </w:rPr>
      </w:pPr>
      <w:r>
        <w:rPr/>
        <w:drawing>
          <wp:inline distT="0" distB="0" distL="0" distR="0">
            <wp:extent cx="5759450" cy="1874520"/>
            <wp:effectExtent l="0" t="0" r="0" b="0"/>
            <wp:docPr id="4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874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3 – Назначение прерываний для сигнала присутствии пешеходов</w:t>
      </w:r>
    </w:p>
    <w:p>
      <w:pPr>
        <w:pStyle w:val="Normal"/>
        <w:spacing w:lineRule="auto" w:line="360"/>
        <w:jc w:val="center"/>
        <w:rPr>
          <w:lang w:eastAsia="ru-RU" w:bidi="ar-SA"/>
        </w:rPr>
      </w:pPr>
      <w:r>
        <w:rPr/>
        <w:drawing>
          <wp:inline distT="0" distB="0" distL="0" distR="0">
            <wp:extent cx="5759450" cy="1641475"/>
            <wp:effectExtent l="0" t="0" r="0" b="0"/>
            <wp:docPr id="5" name="Рисунок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64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  <w:lang w:eastAsia="ru-RU" w:bidi="ar-SA"/>
        </w:rPr>
      </w:pPr>
      <w:r>
        <w:rPr>
          <w:rFonts w:cs="Times New Roman" w:ascii="Times New Roman" w:hAnsi="Times New Roman"/>
          <w:sz w:val="28"/>
          <w:szCs w:val="28"/>
          <w:lang w:eastAsia="ru-RU" w:bidi="ar-SA"/>
        </w:rPr>
        <w:t>Рисунок 4 – Программа обработки прерывания при присутствии пешеходов</w:t>
      </w:r>
    </w:p>
    <w:p>
      <w:pPr>
        <w:pStyle w:val="Normal"/>
        <w:spacing w:lineRule="auto" w:line="360"/>
        <w:jc w:val="center"/>
        <w:rPr>
          <w:lang w:eastAsia="ru-RU" w:bidi="ar-SA"/>
        </w:rPr>
      </w:pPr>
      <w:r>
        <w:rPr/>
        <w:drawing>
          <wp:inline distT="0" distB="0" distL="0" distR="0">
            <wp:extent cx="4515485" cy="1514475"/>
            <wp:effectExtent l="0" t="0" r="0" b="0"/>
            <wp:docPr id="6" name="Рисунок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5485" cy="1514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eastAsia="ru-RU" w:bidi="ar-SA"/>
        </w:rPr>
        <w:t xml:space="preserve"> </w:t>
      </w:r>
    </w:p>
    <w:p>
      <w:pPr>
        <w:pStyle w:val="Normal"/>
        <w:spacing w:lineRule="auto" w:line="360"/>
        <w:jc w:val="center"/>
        <w:rPr>
          <w:rFonts w:cs="Times New Roman"/>
        </w:rPr>
      </w:pPr>
      <w:r>
        <w:rPr>
          <w:rFonts w:cs="Times New Roman" w:ascii="Times New Roman" w:hAnsi="Times New Roman"/>
          <w:sz w:val="28"/>
          <w:szCs w:val="28"/>
          <w:lang w:eastAsia="ru-RU" w:bidi="ar-SA"/>
        </w:rPr>
        <w:t>Рисунок 5 – Программа обработки прерывания при отсутствии пешеходов</w:t>
      </w:r>
    </w:p>
    <w:p>
      <w:pPr>
        <w:pStyle w:val="Normal"/>
        <w:spacing w:lineRule="auto" w:line="36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lineRule="auto" w:line="36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lineRule="auto" w:line="36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lineRule="auto" w:line="36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lineRule="auto" w:line="36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lineRule="auto" w:line="36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lineRule="auto" w:line="36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lineRule="auto" w:line="36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lineRule="auto" w:line="36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lineRule="auto" w:line="36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lineRule="auto" w:line="360"/>
        <w:rPr>
          <w:rFonts w:cs="Times New Roman"/>
        </w:rPr>
      </w:pPr>
      <w:r>
        <w:rPr>
          <w:rFonts w:cs="Times New Roman"/>
        </w:rPr>
      </w:r>
    </w:p>
    <w:p>
      <w:pPr>
        <w:pStyle w:val="Style19"/>
        <w:rPr/>
      </w:pPr>
      <w:bookmarkStart w:id="36" w:name="__RefHeading___Toc1964_3393805993"/>
      <w:bookmarkStart w:id="37" w:name="_Toc192481022"/>
      <w:bookmarkStart w:id="38" w:name="_Toc160888815"/>
      <w:bookmarkEnd w:id="36"/>
      <w:r>
        <w:rPr/>
        <w:t xml:space="preserve">8.2 </w:t>
      </w:r>
      <w:bookmarkEnd w:id="38"/>
      <w:r>
        <w:rPr/>
        <w:t>Кнопка пешеходного перехода</w:t>
      </w:r>
      <w:bookmarkEnd w:id="37"/>
    </w:p>
    <w:p>
      <w:pPr>
        <w:pStyle w:val="Style21"/>
        <w:ind w:firstLine="708"/>
        <w:rPr/>
      </w:pPr>
      <w:r>
        <w:rPr>
          <w:rFonts w:cs="Times New Roman"/>
        </w:rPr>
        <w:t>На рисунке 6 представлен алгоритм программы для установки маркера 0.0.</w:t>
      </w:r>
      <w:r>
        <w:rPr/>
        <w:t xml:space="preserve"> Блок-схема этого действия представлена на рисунке 2.</w:t>
      </w:r>
      <w:r>
        <w:rPr>
          <w:rFonts w:cs="Times New Roman"/>
        </w:rPr>
        <w:t xml:space="preserve"> Он обрабатывает сигналы с </w:t>
      </w:r>
      <w:r>
        <w:rPr>
          <w:rFonts w:cs="Times New Roman"/>
          <w:lang w:val="en-US"/>
        </w:rPr>
        <w:t>I</w:t>
      </w:r>
      <w:r>
        <w:rPr>
          <w:rFonts w:cs="Times New Roman"/>
        </w:rPr>
        <w:t>0.0 и I0.1.</w:t>
      </w:r>
      <w:r>
        <w:rPr/>
        <w:t xml:space="preserve"> Выходные сигналы датчиков представлены в таблице 4.</w:t>
      </w:r>
    </w:p>
    <w:p>
      <w:pPr>
        <w:pStyle w:val="Normal"/>
        <w:spacing w:lineRule="auto" w:line="360"/>
        <w:jc w:val="center"/>
        <w:rPr>
          <w:rFonts w:cs="Times New Roman"/>
        </w:rPr>
      </w:pPr>
      <w:r>
        <w:rPr/>
        <w:drawing>
          <wp:inline distT="0" distB="0" distL="0" distR="0">
            <wp:extent cx="5759450" cy="4010025"/>
            <wp:effectExtent l="0" t="0" r="0" b="0"/>
            <wp:docPr id="7" name="Рисунок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9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010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6 – Установка маркера нажатия кнопки пешеходного перехода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Style19"/>
        <w:rPr/>
      </w:pPr>
      <w:bookmarkStart w:id="39" w:name="__RefHeading___Toc1966_3393805993"/>
      <w:bookmarkStart w:id="40" w:name="_Toc192481023"/>
      <w:bookmarkStart w:id="41" w:name="_Toc160888816"/>
      <w:bookmarkEnd w:id="39"/>
      <w:r>
        <w:rPr/>
        <w:t xml:space="preserve">8.3 </w:t>
      </w:r>
      <w:bookmarkEnd w:id="41"/>
      <w:r>
        <w:rPr/>
        <w:t>Желтый свет для автомобилей</w:t>
      </w:r>
      <w:bookmarkEnd w:id="40"/>
    </w:p>
    <w:p>
      <w:pPr>
        <w:pStyle w:val="Style21"/>
        <w:ind w:firstLine="708"/>
        <w:rPr/>
      </w:pPr>
      <w:r>
        <w:rPr>
          <w:rFonts w:cs="Times New Roman"/>
        </w:rPr>
        <w:t xml:space="preserve">На рисунке 7 представлен алгоритм запуска таймера желтой фазы, а также алгоритм самой желтой фазы для автомобилей. </w:t>
      </w:r>
      <w:r>
        <w:rPr/>
        <w:t>Блок-схема этого действия представлена на рисунке 2. Выходные сигналы датчиков представлены в таблице 4.</w:t>
      </w:r>
    </w:p>
    <w:p>
      <w:pPr>
        <w:pStyle w:val="Normal"/>
        <w:spacing w:lineRule="auto" w:line="360"/>
        <w:jc w:val="center"/>
        <w:rPr>
          <w:rFonts w:cs="Times New Roman"/>
        </w:rPr>
      </w:pPr>
      <w:r>
        <w:rPr/>
        <w:drawing>
          <wp:inline distT="0" distB="0" distL="0" distR="0">
            <wp:extent cx="5759450" cy="4369435"/>
            <wp:effectExtent l="0" t="0" r="0" b="0"/>
            <wp:docPr id="8" name="Рисунок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20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369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7 - Алгоритм обработки желтого света светофора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yle19"/>
        <w:rPr>
          <w:lang w:val="en-US"/>
        </w:rPr>
      </w:pPr>
      <w:bookmarkStart w:id="42" w:name="__RefHeading___Toc1968_3393805993"/>
      <w:bookmarkStart w:id="43" w:name="_Toc192481024"/>
      <w:bookmarkStart w:id="44" w:name="_Toc160888817"/>
      <w:bookmarkEnd w:id="42"/>
      <w:r>
        <w:rPr/>
        <w:t xml:space="preserve">8.4 </w:t>
      </w:r>
      <w:bookmarkEnd w:id="44"/>
      <w:r>
        <w:rPr/>
        <w:t>Зеленый свет для пешеходов</w:t>
      </w:r>
      <w:bookmarkEnd w:id="43"/>
    </w:p>
    <w:p>
      <w:pPr>
        <w:pStyle w:val="Style21"/>
        <w:ind w:firstLine="708"/>
        <w:rPr/>
      </w:pPr>
      <w:r>
        <w:rPr>
          <w:rFonts w:cs="Times New Roman"/>
        </w:rPr>
        <w:t xml:space="preserve">На рисунке 8 представлен алгоритм пуска таймера и самого процесса зеленой фазы для пешеходов. </w:t>
      </w:r>
      <w:r>
        <w:rPr/>
        <w:t>Блок-схема этого действия представлена на рисунке 2. Выходные сигналы датчиков представлены в таблице 4.</w:t>
      </w:r>
    </w:p>
    <w:p>
      <w:pPr>
        <w:pStyle w:val="Normal"/>
        <w:spacing w:lineRule="auto" w:line="360"/>
        <w:jc w:val="center"/>
        <w:rPr>
          <w:rFonts w:cs="Times New Roman"/>
          <w:lang w:val="en-US"/>
        </w:rPr>
      </w:pPr>
      <w:r>
        <w:rPr/>
        <w:drawing>
          <wp:inline distT="0" distB="0" distL="0" distR="0">
            <wp:extent cx="5759450" cy="3877945"/>
            <wp:effectExtent l="0" t="0" r="0" b="0"/>
            <wp:docPr id="9" name="Рисунок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21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87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Рисунок 8 - Зеленая фаза для пешеходов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Style19"/>
        <w:rPr/>
      </w:pPr>
      <w:bookmarkStart w:id="45" w:name="__RefHeading___Toc1970_3393805993"/>
      <w:bookmarkStart w:id="46" w:name="_Toc192481025"/>
      <w:bookmarkStart w:id="47" w:name="_Toc160888818"/>
      <w:bookmarkEnd w:id="45"/>
      <w:r>
        <w:rPr/>
        <w:t xml:space="preserve">8.5 </w:t>
      </w:r>
      <w:bookmarkEnd w:id="47"/>
      <w:r>
        <w:rPr/>
        <w:t>Красная фаза для пешеходов</w:t>
      </w:r>
      <w:bookmarkEnd w:id="46"/>
    </w:p>
    <w:p>
      <w:pPr>
        <w:pStyle w:val="Style21"/>
        <w:ind w:firstLine="708"/>
        <w:rPr/>
      </w:pPr>
      <w:r>
        <w:rPr>
          <w:rFonts w:cs="Times New Roman"/>
        </w:rPr>
        <w:t xml:space="preserve">На рисунке 9 представлен алгоритм пуска задержки желтой фазы для автомобилей и алгоритм красной фазы для пешеходов. </w:t>
      </w:r>
      <w:r>
        <w:rPr/>
        <w:t>Блок-схема этого действия представлена на рисунке 2. Выходные сигналы датчиков представлены в таблице 4.</w:t>
      </w:r>
    </w:p>
    <w:p>
      <w:pPr>
        <w:pStyle w:val="Normal"/>
        <w:spacing w:lineRule="auto" w:line="360"/>
        <w:jc w:val="center"/>
        <w:rPr>
          <w:rFonts w:cs="Times New Roman"/>
        </w:rPr>
      </w:pPr>
      <w:r>
        <w:rPr/>
        <w:drawing>
          <wp:inline distT="0" distB="0" distL="0" distR="0">
            <wp:extent cx="5759450" cy="4584065"/>
            <wp:effectExtent l="0" t="0" r="0" b="0"/>
            <wp:docPr id="10" name="Рисунок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22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584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Рисунок 9 — Пуск таймера задержки желтой фазы для авто и красная фаза для пешеходов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Style19"/>
        <w:rPr/>
      </w:pPr>
      <w:bookmarkStart w:id="48" w:name="__RefHeading___Toc1972_3393805993"/>
      <w:bookmarkStart w:id="49" w:name="_Toc192481026"/>
      <w:bookmarkStart w:id="50" w:name="_Toc160888819"/>
      <w:bookmarkEnd w:id="48"/>
      <w:r>
        <w:rPr/>
        <w:t xml:space="preserve">8.6 </w:t>
      </w:r>
      <w:bookmarkEnd w:id="50"/>
      <w:r>
        <w:rPr/>
        <w:t>Пуск таймера красно-желтой фазы для автомобилей</w:t>
      </w:r>
      <w:bookmarkEnd w:id="49"/>
    </w:p>
    <w:p>
      <w:pPr>
        <w:pStyle w:val="Style21"/>
        <w:ind w:firstLine="708"/>
        <w:rPr/>
      </w:pPr>
      <w:r>
        <w:rPr>
          <w:rFonts w:cs="Times New Roman"/>
        </w:rPr>
        <w:t xml:space="preserve">На рисунке 10 представлен алгоритм пуска таймера красно-желтой фазы для автомобилей. </w:t>
      </w:r>
      <w:r>
        <w:rPr/>
        <w:t>Блок-схема этого действия представлена на рисунке 2.</w:t>
      </w:r>
      <w:r>
        <w:rPr>
          <w:rFonts w:cs="Times New Roman"/>
        </w:rPr>
        <w:t xml:space="preserve"> В</w:t>
      </w:r>
      <w:r>
        <w:rPr/>
        <w:t>ыходные сигналы датчиков представлены в таблице 4.</w:t>
      </w:r>
    </w:p>
    <w:tbl>
      <w:tblPr>
        <w:tblStyle w:val="af9"/>
        <w:tblW w:w="93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73"/>
        <w:gridCol w:w="901"/>
      </w:tblGrid>
      <w:tr>
        <w:trPr/>
        <w:tc>
          <w:tcPr>
            <w:tcW w:w="84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drawing>
                <wp:anchor behindDoc="0" distT="0" distB="0" distL="114300" distR="114300" simplePos="0" locked="0" layoutInCell="1" allowOverlap="1" relativeHeight="14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-3175</wp:posOffset>
                  </wp:positionV>
                  <wp:extent cx="5242560" cy="2193290"/>
                  <wp:effectExtent l="0" t="0" r="0" b="0"/>
                  <wp:wrapTopAndBottom/>
                  <wp:docPr id="11" name="Рисунок 2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Рисунок 2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42560" cy="21932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/>
                <w:sz w:val="28"/>
                <w:lang w:val="ru-RU"/>
              </w:rPr>
              <w:t>Рисунок 10 — Пуск таймера красно-желтой фазы для автомобилей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</w:r>
          </w:p>
        </w:tc>
      </w:tr>
    </w:tbl>
    <w:p>
      <w:pPr>
        <w:pStyle w:val="Normal"/>
        <w:spacing w:lineRule="auto" w:line="360"/>
        <w:rPr>
          <w:rFonts w:cs="Times New Roman"/>
        </w:rPr>
      </w:pPr>
      <w:r>
        <w:rPr>
          <w:rFonts w:cs="Times New Roman"/>
        </w:rPr>
      </w:r>
    </w:p>
    <w:p>
      <w:pPr>
        <w:pStyle w:val="Style19"/>
        <w:rPr/>
      </w:pPr>
      <w:bookmarkStart w:id="51" w:name="__RefHeading___Toc1974_3393805993"/>
      <w:bookmarkStart w:id="52" w:name="_Toc192481027"/>
      <w:bookmarkStart w:id="53" w:name="_Toc160888819_Copy_2"/>
      <w:bookmarkEnd w:id="51"/>
      <w:r>
        <w:rPr/>
        <w:t xml:space="preserve">8.7 </w:t>
      </w:r>
      <w:bookmarkEnd w:id="53"/>
      <w:r>
        <w:rPr/>
        <w:t>Пуск задержки запроса на зеленый свет для пешеходов</w:t>
      </w:r>
      <w:bookmarkEnd w:id="52"/>
    </w:p>
    <w:p>
      <w:pPr>
        <w:pStyle w:val="Style21"/>
        <w:ind w:firstLine="708"/>
        <w:rPr/>
      </w:pPr>
      <w:r>
        <w:rPr/>
        <w:t>На рисунке 11 представлен алгоритм пуска задержки запроса на зеленый свет для пешеходов. Блок-схема этого действия представлена на рисунке 2. Выходные сигналы датчиков представлены в таблице 4.</w:t>
      </w:r>
    </w:p>
    <w:p>
      <w:pPr>
        <w:pStyle w:val="Normal"/>
        <w:spacing w:lineRule="auto" w:line="360"/>
        <w:jc w:val="center"/>
        <w:rPr>
          <w:rFonts w:cs="Times New Roman"/>
          <w:lang w:val="en-US"/>
        </w:rPr>
      </w:pPr>
      <w:r>
        <w:rPr/>
        <w:drawing>
          <wp:inline distT="0" distB="0" distL="0" distR="0">
            <wp:extent cx="4314825" cy="3529330"/>
            <wp:effectExtent l="0" t="0" r="0" b="0"/>
            <wp:docPr id="12" name="Рисунок 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25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3529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Рисунок 11 — Пуск задержки запроса на зеленый свет для пешеходов</w:t>
      </w:r>
    </w:p>
    <w:p>
      <w:pPr>
        <w:pStyle w:val="Style19"/>
        <w:rPr/>
      </w:pPr>
      <w:bookmarkStart w:id="54" w:name="__RefHeading___Toc1976_3393805993"/>
      <w:bookmarkStart w:id="55" w:name="_Toc192481028"/>
      <w:bookmarkStart w:id="56" w:name="_Toc160888819_Copy_2_Copy_1"/>
      <w:bookmarkEnd w:id="54"/>
      <w:r>
        <w:rPr/>
        <w:t xml:space="preserve">8.8 </w:t>
      </w:r>
      <w:bookmarkEnd w:id="56"/>
      <w:r>
        <w:rPr/>
        <w:t>Включение режима усиления сигнала освещения</w:t>
      </w:r>
      <w:bookmarkEnd w:id="55"/>
    </w:p>
    <w:p>
      <w:pPr>
        <w:pStyle w:val="Style21"/>
        <w:ind w:firstLine="708"/>
        <w:rPr/>
      </w:pPr>
      <w:r>
        <w:rPr/>
        <w:t>На рисунке 12 представлен алгоритм включения режима усиления сигнала освещения в зависимости от значения быстрого счетчика. Блок-схема этого действия представлена на рисунке 2. Выходные сигналы датчиков представлены в таблице 4.</w:t>
      </w:r>
    </w:p>
    <w:p>
      <w:pPr>
        <w:pStyle w:val="Normal"/>
        <w:spacing w:lineRule="auto" w:line="360"/>
        <w:rPr>
          <w:rFonts w:cs="Times New Roman"/>
          <w:lang w:val="en-US"/>
        </w:rPr>
      </w:pPr>
      <w:r>
        <w:rPr/>
        <w:drawing>
          <wp:inline distT="0" distB="0" distL="0" distR="0">
            <wp:extent cx="5759450" cy="3091815"/>
            <wp:effectExtent l="0" t="0" r="0" b="0"/>
            <wp:docPr id="13" name="Рисунок 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26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091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/>
          <w:sz w:val="28"/>
        </w:rPr>
        <w:t>Рисунок 12 — Включение режима усиления сигнала освещения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12"/>
        <w:rPr/>
      </w:pPr>
      <w:bookmarkStart w:id="57" w:name="__RefHeading___Toc1978_3393805993"/>
      <w:bookmarkStart w:id="58" w:name="_Toc160888820"/>
      <w:bookmarkStart w:id="59" w:name="_Toc129648803"/>
      <w:bookmarkStart w:id="60" w:name="_Toc192481029"/>
      <w:bookmarkEnd w:id="57"/>
      <w:r>
        <w:rPr/>
        <w:t>Вывод</w:t>
      </w:r>
      <w:bookmarkEnd w:id="58"/>
      <w:bookmarkEnd w:id="59"/>
      <w:bookmarkEnd w:id="60"/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 xml:space="preserve">В рамках данного курсового проекта была разработана система контроля трафика движения транспорта и пешеходов. 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Система предоставляет возможность управления параметрами светофоров с использованием датчиков, контроллеров и исполнительных устройств. Она обеспечивает эффективное управление пешеходными переходами, позволяя регулировать время работы светофоров в зависимости от плотности потока пешеходов и транспортных средств. Это улучшает безопасность на дорогах, предотвращая возможные аварийные ситуации и оптимизируя движение.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Style19"/>
        <w:rPr/>
      </w:pPr>
      <w:bookmarkStart w:id="61" w:name="__RefHeading___Toc1980_3393805993"/>
      <w:bookmarkStart w:id="62" w:name="_Toc160888821"/>
      <w:bookmarkStart w:id="63" w:name="_Toc192481030"/>
      <w:bookmarkEnd w:id="61"/>
      <w:r>
        <w:rPr/>
        <w:t>Список источников</w:t>
      </w:r>
      <w:bookmarkEnd w:id="62"/>
      <w:bookmarkEnd w:id="63"/>
    </w:p>
    <w:p>
      <w:pPr>
        <w:pStyle w:val="Style21"/>
        <w:numPr>
          <w:ilvl w:val="0"/>
          <w:numId w:val="5"/>
        </w:numPr>
        <w:rPr>
          <w:rFonts w:eastAsia="SimSun" w:cs="Mangal"/>
          <w:kern w:val="2"/>
          <w:szCs w:val="32"/>
        </w:rPr>
      </w:pPr>
      <w:r>
        <w:rPr/>
        <w:t>Введение в ПЛК [Электронный ресурс] - Электронные данные – Режим доступа к данным: https://www.compel.ru/lib/95591, свободный – Дата доступа: 06.03.2025.</w:t>
      </w:r>
    </w:p>
    <w:p>
      <w:pPr>
        <w:pStyle w:val="Style21"/>
        <w:numPr>
          <w:ilvl w:val="0"/>
          <w:numId w:val="5"/>
        </w:numPr>
        <w:rPr>
          <w:color w:themeColor="text1" w:val="000000"/>
        </w:rPr>
      </w:pPr>
      <w:r>
        <w:rPr/>
        <w:t xml:space="preserve">Автоматизированная система управления тепличным хозяйством на базе микроконтроллеров [Электронный ресурс] - Электронные данные – Режим доступа к  данным: </w:t>
      </w:r>
      <w:hyperlink r:id="rId15">
        <w:r>
          <w:rPr>
            <w:rStyle w:val="Hyperlink"/>
            <w:color w:val="auto"/>
          </w:rPr>
          <w:t>http://elar.uspu.ru/bitstream/uspu/15860/2/Kelsin2.pdf</w:t>
        </w:r>
      </w:hyperlink>
      <w:r>
        <w:rPr/>
        <w:t xml:space="preserve"> </w:t>
      </w:r>
      <w:r>
        <w:rPr>
          <w:color w:themeColor="text1" w:val="000000"/>
        </w:rPr>
        <w:t xml:space="preserve">свободный – Дата доступа: </w:t>
      </w:r>
      <w:r>
        <w:rPr/>
        <w:t>06.03.2025</w:t>
      </w:r>
      <w:r>
        <w:rPr>
          <w:color w:themeColor="text1" w:val="000000"/>
        </w:rPr>
        <w:t>.</w:t>
      </w:r>
    </w:p>
    <w:p>
      <w:pPr>
        <w:pStyle w:val="Style21"/>
        <w:numPr>
          <w:ilvl w:val="0"/>
          <w:numId w:val="5"/>
        </w:numPr>
        <w:rPr>
          <w:color w:themeColor="text1" w:val="000000"/>
        </w:rPr>
      </w:pPr>
      <w:r>
        <w:rPr>
          <w:color w:themeColor="text1" w:val="000000"/>
        </w:rPr>
        <w:t xml:space="preserve">Технические средства на примере семейства SIMATIC S7-200 // Изучаем цифровую технику </w:t>
      </w:r>
      <w:r>
        <w:rPr>
          <w:color w:themeColor="text1" w:val="000000"/>
          <w:szCs w:val="28"/>
        </w:rPr>
        <w:t>[Электронный ресурс] - Электронные данные – Режим доступа к данным:</w:t>
      </w:r>
      <w:r>
        <w:rPr>
          <w:color w:themeColor="text1" w:val="000000"/>
        </w:rPr>
        <w:t xml:space="preserve"> </w:t>
      </w:r>
      <w:hyperlink r:id="rId16">
        <w:r>
          <w:rPr>
            <w:rStyle w:val="Hyperlink"/>
            <w:rFonts w:eastAsia="SimSun" w:cs="Mangal"/>
            <w:color w:themeColor="text1" w:val="000000"/>
            <w:kern w:val="2"/>
          </w:rPr>
          <w:t>https://cifra.studentmiv.ru/wp-content/uploads/2020/12/2_Odnokorpusnyie-PLK_tehnicheskie-sredstva.pdf</w:t>
        </w:r>
      </w:hyperlink>
      <w:r>
        <w:rPr>
          <w:color w:themeColor="text1" w:val="000000"/>
        </w:rPr>
        <w:t xml:space="preserve"> , свободный – Дата доступа: </w:t>
      </w:r>
      <w:r>
        <w:rPr/>
        <w:t>06.03.2025</w:t>
      </w:r>
      <w:r>
        <w:rPr>
          <w:color w:themeColor="text1" w:val="000000"/>
        </w:rPr>
        <w:t>.</w:t>
      </w:r>
    </w:p>
    <w:p>
      <w:pPr>
        <w:pStyle w:val="Style21"/>
        <w:numPr>
          <w:ilvl w:val="0"/>
          <w:numId w:val="5"/>
        </w:numPr>
        <w:rPr>
          <w:color w:themeColor="text1" w:val="000000"/>
        </w:rPr>
      </w:pPr>
      <w:r>
        <w:rPr>
          <w:color w:themeColor="text1" w:val="000000"/>
        </w:rPr>
        <w:t xml:space="preserve">Программируемый контроллер S7-200 // Intechcom </w:t>
      </w:r>
      <w:r>
        <w:rPr>
          <w:color w:themeColor="text1" w:val="000000"/>
          <w:szCs w:val="28"/>
        </w:rPr>
        <w:t>[Электронный ресурс] - Электронные данные – Режим доступа к данным:</w:t>
      </w:r>
      <w:r>
        <w:rPr>
          <w:color w:themeColor="text1" w:val="000000"/>
        </w:rPr>
        <w:t xml:space="preserve"> </w:t>
      </w:r>
      <w:hyperlink r:id="rId17">
        <w:r>
          <w:rPr>
            <w:rStyle w:val="Hyperlink"/>
            <w:rFonts w:eastAsia="SimSun" w:cs="Mangal"/>
            <w:color w:themeColor="text1" w:val="000000"/>
            <w:kern w:val="2"/>
          </w:rPr>
          <w:t>http://www.intechcom.ru/sites/default/files/production_files/s7-200_man.pdf</w:t>
        </w:r>
      </w:hyperlink>
      <w:r>
        <w:rPr>
          <w:color w:themeColor="text1" w:val="000000"/>
        </w:rPr>
        <w:t xml:space="preserve"> , свободный – Дата доступа: </w:t>
      </w:r>
      <w:r>
        <w:rPr/>
        <w:t>06.03.2025</w:t>
      </w:r>
      <w:r>
        <w:rPr>
          <w:color w:themeColor="text1" w:val="000000"/>
        </w:rPr>
        <w:t>.</w:t>
      </w:r>
    </w:p>
    <w:p>
      <w:pPr>
        <w:pStyle w:val="Style21"/>
        <w:numPr>
          <w:ilvl w:val="0"/>
          <w:numId w:val="5"/>
        </w:numPr>
        <w:spacing w:lineRule="auto" w:line="259" w:before="0" w:after="160"/>
        <w:rPr>
          <w:rFonts w:eastAsia="SimSun" w:cs="Mangal"/>
          <w:kern w:val="2"/>
          <w:szCs w:val="32"/>
        </w:rPr>
      </w:pPr>
      <w:r>
        <w:rPr>
          <w:color w:themeColor="text1" w:val="000000"/>
        </w:rPr>
        <w:t xml:space="preserve">Музылева, И. В. Практическая работа в </w:t>
      </w:r>
      <w:r>
        <w:rPr>
          <w:color w:themeColor="text1" w:val="000000"/>
          <w:lang w:val="en-US"/>
        </w:rPr>
        <w:t>STEP</w:t>
      </w:r>
      <w:r>
        <w:rPr>
          <w:color w:themeColor="text1" w:val="000000"/>
        </w:rPr>
        <w:t xml:space="preserve">7 </w:t>
      </w:r>
      <w:r>
        <w:rPr>
          <w:color w:themeColor="text1" w:val="000000"/>
          <w:lang w:val="en-US"/>
        </w:rPr>
        <w:t>Micro</w:t>
      </w:r>
      <w:r>
        <w:rPr>
          <w:color w:themeColor="text1" w:val="000000"/>
        </w:rPr>
        <w:t>/</w:t>
      </w:r>
      <w:r>
        <w:rPr>
          <w:color w:themeColor="text1" w:val="000000"/>
          <w:lang w:val="en-US"/>
        </w:rPr>
        <w:t>Win</w:t>
      </w:r>
      <w:r>
        <w:rPr>
          <w:color w:themeColor="text1" w:val="000000"/>
        </w:rPr>
        <w:t xml:space="preserve"> промышленного программного обеспечения </w:t>
      </w:r>
      <w:r>
        <w:rPr>
          <w:color w:themeColor="text1" w:val="000000"/>
          <w:lang w:val="en-US"/>
        </w:rPr>
        <w:t>SIMATIC</w:t>
      </w:r>
      <w:r>
        <w:rPr>
          <w:color w:themeColor="text1" w:val="000000"/>
        </w:rPr>
        <w:t>. Учебное пособие. [Текст]: учебное пособие / И. В. Музылева. – Липецк: ЛГТУ, 2005.</w:t>
      </w:r>
    </w:p>
    <w:p>
      <w:pPr>
        <w:pStyle w:val="Style21"/>
        <w:numPr>
          <w:ilvl w:val="0"/>
          <w:numId w:val="5"/>
        </w:numPr>
        <w:rPr>
          <w:color w:themeColor="text1" w:val="000000"/>
        </w:rPr>
      </w:pPr>
      <w:r>
        <w:rPr>
          <w:color w:themeColor="text1" w:val="000000"/>
        </w:rPr>
        <w:t xml:space="preserve">Набор команд S7–200 // Siemens-ru </w:t>
      </w:r>
      <w:r>
        <w:rPr>
          <w:color w:themeColor="text1" w:val="000000"/>
          <w:szCs w:val="28"/>
        </w:rPr>
        <w:t>[Электронный ресурс] - Электронные данные – Режим доступа к данным:</w:t>
      </w:r>
      <w:r>
        <w:rPr>
          <w:color w:themeColor="text1" w:val="000000"/>
        </w:rPr>
        <w:t xml:space="preserve"> </w:t>
      </w:r>
      <w:hyperlink r:id="rId18">
        <w:r>
          <w:rPr>
            <w:rStyle w:val="Hyperlink"/>
            <w:rFonts w:eastAsia="SimSun" w:cs="Mangal"/>
            <w:color w:themeColor="text1" w:val="000000"/>
            <w:kern w:val="2"/>
          </w:rPr>
          <w:t>https://www.siemens-ru.com/doc/06_InstructionSet_r.pdf</w:t>
        </w:r>
      </w:hyperlink>
      <w:r>
        <w:rPr>
          <w:color w:themeColor="text1" w:val="000000"/>
        </w:rPr>
        <w:t xml:space="preserve"> , свободный – Дата доступа: </w:t>
      </w:r>
      <w:r>
        <w:rPr/>
        <w:t>06.03.2025</w:t>
      </w:r>
      <w:r>
        <w:rPr>
          <w:color w:themeColor="text1" w:val="000000"/>
        </w:rPr>
        <w:t>.</w:t>
      </w:r>
    </w:p>
    <w:p>
      <w:pPr>
        <w:pStyle w:val="Style21"/>
        <w:numPr>
          <w:ilvl w:val="0"/>
          <w:numId w:val="5"/>
        </w:numPr>
        <w:rPr>
          <w:color w:themeColor="text1" w:val="000000"/>
        </w:rPr>
      </w:pPr>
      <w:r>
        <w:rPr>
          <w:color w:themeColor="text1" w:val="000000"/>
        </w:rPr>
        <w:t xml:space="preserve">Музылева, И. В. Программирование промышленных логических контроллеров </w:t>
      </w:r>
      <w:r>
        <w:rPr>
          <w:color w:themeColor="text1" w:val="000000"/>
          <w:lang w:val="en-US"/>
        </w:rPr>
        <w:t>SIMATIC</w:t>
      </w:r>
      <w:r>
        <w:rPr>
          <w:color w:themeColor="text1" w:val="000000"/>
        </w:rPr>
        <w:t xml:space="preserve"> </w:t>
      </w:r>
      <w:r>
        <w:rPr>
          <w:color w:themeColor="text1" w:val="000000"/>
          <w:lang w:val="en-US"/>
        </w:rPr>
        <w:t>S</w:t>
      </w:r>
      <w:r>
        <w:rPr>
          <w:color w:themeColor="text1" w:val="000000"/>
        </w:rPr>
        <w:t xml:space="preserve">7. Часть 1. Семейство </w:t>
      </w:r>
      <w:r>
        <w:rPr>
          <w:color w:themeColor="text1" w:val="000000"/>
          <w:lang w:val="en-US"/>
        </w:rPr>
        <w:t>S</w:t>
      </w:r>
      <w:r>
        <w:rPr>
          <w:color w:themeColor="text1" w:val="000000"/>
        </w:rPr>
        <w:t>7-200 [Текст]: учебное пособие / И. В. Музылева. – Липецк: ЛГТУ, 2013. – 72 с.</w:t>
      </w:r>
    </w:p>
    <w:sectPr>
      <w:footerReference w:type="even" r:id="rId19"/>
      <w:footerReference w:type="default" r:id="rId20"/>
      <w:footerReference w:type="first" r:id="rId21"/>
      <w:type w:val="nextPage"/>
      <w:pgSz w:w="11906" w:h="16838"/>
      <w:pgMar w:left="1418" w:right="1418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erif">
    <w:altName w:val="Times New Roman"/>
    <w:charset w:val="01"/>
    <w:family w:val="roman"/>
    <w:pitch w:val="default"/>
  </w:font>
  <w:font w:name="Calibri Light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swiss"/>
    <w:pitch w:val="default"/>
  </w:font>
  <w:font w:name="Segoe UI">
    <w:charset w:val="01"/>
    <w:family w:val="swiss"/>
    <w:pitch w:val="default"/>
  </w:font>
  <w:font w:name="Times New Roman">
    <w:charset w:val="01"/>
    <w:family w:val="roman"/>
    <w:pitch w:val="default"/>
  </w:font>
  <w:font w:name="Times New Roman CYR">
    <w:charset w:val="01"/>
    <w:family w:val="roman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740096827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3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709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  <w:rPr/>
    </w:lvl>
  </w:abstractNum>
  <w:abstractNum w:abstractNumId="6"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  <w:rPr>
        <w:sz w:val="28"/>
        <w:b w:val="false"/>
        <w:rFonts w:ascii="Times New Roman" w:hAnsi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359c0"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Normal"/>
    <w:next w:val="Normal"/>
    <w:link w:val="11"/>
    <w:uiPriority w:val="9"/>
    <w:qFormat/>
    <w:rsid w:val="00a2625b"/>
    <w:pPr>
      <w:keepNext w:val="true"/>
      <w:keepLines/>
      <w:spacing w:before="240" w:after="0"/>
      <w:outlineLvl w:val="0"/>
    </w:pPr>
    <w:rPr>
      <w:rFonts w:ascii="Calibri Light" w:hAnsi="Calibri Light" w:eastAsia="" w:cs="Mangal" w:asciiTheme="majorHAnsi" w:eastAsiaTheme="majorEastAsia" w:hAnsiTheme="majorHAnsi"/>
      <w:color w:themeColor="accent1" w:themeShade="bf" w:val="2E74B5"/>
      <w:sz w:val="32"/>
      <w:szCs w:val="29"/>
    </w:rPr>
  </w:style>
  <w:style w:type="paragraph" w:styleId="Heading2">
    <w:name w:val="heading 2"/>
    <w:basedOn w:val="Title"/>
    <w:next w:val="BodyText"/>
    <w:link w:val="2"/>
    <w:uiPriority w:val="9"/>
    <w:unhideWhenUsed/>
    <w:qFormat/>
    <w:rsid w:val="00027c05"/>
    <w:pPr>
      <w:keepNext w:val="true"/>
      <w:numPr>
        <w:ilvl w:val="1"/>
        <w:numId w:val="2"/>
      </w:numPr>
      <w:spacing w:before="200" w:after="120"/>
      <w:contextualSpacing w:val="false"/>
      <w:outlineLvl w:val="1"/>
    </w:pPr>
    <w:rPr>
      <w:rFonts w:ascii="Liberation Sans" w:hAnsi="Liberation Sans" w:eastAsia="Noto Sans CJK SC" w:cs="Lohit Devanagari"/>
      <w:b/>
      <w:bCs/>
      <w:spacing w:val="0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2" w:customStyle="1">
    <w:name w:val="Основной текст Знак"/>
    <w:basedOn w:val="DefaultParagraphFont"/>
    <w:uiPriority w:val="99"/>
    <w:qFormat/>
    <w:rsid w:val="00e359c0"/>
    <w:rPr>
      <w:rFonts w:ascii="Liberation Serif" w:hAnsi="Liberation Serif" w:eastAsia="Noto Serif CJK SC" w:cs="Mangal"/>
      <w:kern w:val="2"/>
      <w:sz w:val="24"/>
      <w:szCs w:val="21"/>
      <w:lang w:eastAsia="zh-CN" w:bidi="hi-IN"/>
    </w:rPr>
  </w:style>
  <w:style w:type="character" w:styleId="Style13" w:customStyle="1">
    <w:name w:val="Верхний колонтитул Знак"/>
    <w:basedOn w:val="DefaultParagraphFont"/>
    <w:link w:val="Header"/>
    <w:uiPriority w:val="99"/>
    <w:qFormat/>
    <w:rsid w:val="00e359c0"/>
    <w:rPr>
      <w:rFonts w:ascii="Liberation Serif" w:hAnsi="Liberation Serif" w:eastAsia="Noto Serif CJK SC" w:cs="Mangal"/>
      <w:kern w:val="2"/>
      <w:sz w:val="24"/>
      <w:szCs w:val="21"/>
      <w:lang w:eastAsia="zh-CN" w:bidi="hi-IN"/>
    </w:rPr>
  </w:style>
  <w:style w:type="character" w:styleId="Style14" w:customStyle="1">
    <w:name w:val="Нижний колонтитул Знак"/>
    <w:basedOn w:val="DefaultParagraphFont"/>
    <w:link w:val="Footer"/>
    <w:uiPriority w:val="99"/>
    <w:qFormat/>
    <w:rsid w:val="00e359c0"/>
    <w:rPr>
      <w:rFonts w:ascii="Liberation Serif" w:hAnsi="Liberation Serif" w:eastAsia="Noto Serif CJK SC" w:cs="Mangal"/>
      <w:kern w:val="2"/>
      <w:sz w:val="24"/>
      <w:szCs w:val="21"/>
      <w:lang w:eastAsia="zh-CN" w:bidi="hi-IN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027c05"/>
    <w:rPr>
      <w:rFonts w:ascii="Liberation Sans" w:hAnsi="Liberation Sans" w:eastAsia="Noto Sans CJK SC" w:cs="Lohit Devanagari"/>
      <w:b/>
      <w:bCs/>
      <w:kern w:val="2"/>
      <w:sz w:val="32"/>
      <w:szCs w:val="32"/>
      <w:lang w:eastAsia="zh-CN" w:bidi="hi-IN"/>
    </w:rPr>
  </w:style>
  <w:style w:type="character" w:styleId="Style15" w:customStyle="1">
    <w:name w:val="Заголовок Знак"/>
    <w:basedOn w:val="DefaultParagraphFont"/>
    <w:link w:val="Title"/>
    <w:uiPriority w:val="10"/>
    <w:qFormat/>
    <w:rsid w:val="00027c05"/>
    <w:rPr>
      <w:rFonts w:ascii="Calibri Light" w:hAnsi="Calibri Light" w:eastAsia="" w:cs="Mangal" w:asciiTheme="majorHAnsi" w:eastAsiaTheme="majorEastAsia" w:hAnsiTheme="majorHAnsi"/>
      <w:spacing w:val="-10"/>
      <w:kern w:val="2"/>
      <w:sz w:val="56"/>
      <w:szCs w:val="50"/>
      <w:lang w:eastAsia="zh-CN" w:bidi="hi-IN"/>
    </w:rPr>
  </w:style>
  <w:style w:type="character" w:styleId="Style16" w:customStyle="1">
    <w:name w:val="Текст выноски Знак"/>
    <w:basedOn w:val="DefaultParagraphFont"/>
    <w:link w:val="BalloonText"/>
    <w:uiPriority w:val="99"/>
    <w:semiHidden/>
    <w:qFormat/>
    <w:rsid w:val="00ef6517"/>
    <w:rPr>
      <w:rFonts w:ascii="Segoe UI" w:hAnsi="Segoe UI" w:eastAsia="Noto Serif CJK SC" w:cs="Mangal"/>
      <w:kern w:val="2"/>
      <w:sz w:val="18"/>
      <w:szCs w:val="16"/>
      <w:lang w:eastAsia="zh-CN" w:bidi="hi-IN"/>
    </w:rPr>
  </w:style>
  <w:style w:type="character" w:styleId="1" w:customStyle="1">
    <w:name w:val="Стиль1 Знак"/>
    <w:basedOn w:val="DefaultParagraphFont"/>
    <w:link w:val="12"/>
    <w:qFormat/>
    <w:rsid w:val="00a2625b"/>
    <w:rPr>
      <w:rFonts w:ascii="Times New Roman" w:hAnsi="Times New Roman" w:eastAsia="" w:cs="" w:cstheme="majorBidi" w:eastAsiaTheme="majorEastAsia"/>
      <w:color w:themeColor="text1" w:val="000000"/>
      <w:sz w:val="28"/>
      <w:szCs w:val="32"/>
    </w:rPr>
  </w:style>
  <w:style w:type="character" w:styleId="11" w:customStyle="1">
    <w:name w:val="Заголовок 1 Знак"/>
    <w:basedOn w:val="DefaultParagraphFont"/>
    <w:link w:val="Heading1"/>
    <w:uiPriority w:val="9"/>
    <w:qFormat/>
    <w:rsid w:val="00a2625b"/>
    <w:rPr>
      <w:rFonts w:ascii="Calibri Light" w:hAnsi="Calibri Light" w:eastAsia="" w:cs="Mangal" w:asciiTheme="majorHAnsi" w:eastAsiaTheme="majorEastAsia" w:hAnsiTheme="majorHAnsi"/>
      <w:color w:themeColor="accent1" w:themeShade="bf" w:val="2E74B5"/>
      <w:kern w:val="2"/>
      <w:sz w:val="32"/>
      <w:szCs w:val="29"/>
      <w:lang w:eastAsia="zh-CN" w:bidi="hi-IN"/>
    </w:rPr>
  </w:style>
  <w:style w:type="character" w:styleId="Style17" w:customStyle="1">
    <w:name w:val="САНЯ СТО Знак"/>
    <w:basedOn w:val="DefaultParagraphFont"/>
    <w:link w:val="Style21"/>
    <w:qFormat/>
    <w:rsid w:val="00b962ba"/>
    <w:rPr>
      <w:rFonts w:ascii="Times New Roman" w:hAnsi="Times New Roman"/>
      <w:sz w:val="28"/>
    </w:rPr>
  </w:style>
  <w:style w:type="character" w:styleId="Style18" w:customStyle="1">
    <w:name w:val="Мой Основной Знак"/>
    <w:basedOn w:val="DefaultParagraphFont"/>
    <w:link w:val="Style22"/>
    <w:qFormat/>
    <w:rsid w:val="0001276f"/>
    <w:rPr>
      <w:rFonts w:ascii="Times New Roman" w:hAnsi="Times New Roman" w:eastAsia="SimSun" w:cs="Times New Roman"/>
      <w:color w:val="00000A"/>
      <w:kern w:val="2"/>
      <w:sz w:val="28"/>
      <w:szCs w:val="28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01276f"/>
    <w:rPr>
      <w:color w:themeColor="hyperlink" w:val="0563C1"/>
      <w:u w:val="single"/>
    </w:rPr>
  </w:style>
  <w:style w:type="character" w:styleId="IndexLink" w:customStyle="1">
    <w:name w:val="Index Link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Style12"/>
    <w:uiPriority w:val="99"/>
    <w:unhideWhenUsed/>
    <w:rsid w:val="00e359c0"/>
    <w:pPr>
      <w:spacing w:before="0" w:after="120"/>
    </w:pPr>
    <w:rPr>
      <w:rFonts w:cs="Mangal"/>
      <w:szCs w:val="21"/>
    </w:rPr>
  </w:style>
  <w:style w:type="paragraph" w:styleId="List">
    <w:name w:val="List"/>
    <w:basedOn w:val="BodyText"/>
    <w:pPr/>
    <w:rPr>
      <w:rFonts w:ascii="Times New Roman" w:hAnsi="Times New Roman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Noto Sans Devanagari"/>
      <w:i/>
      <w:iCs/>
    </w:rPr>
  </w:style>
  <w:style w:type="paragraph" w:styleId="Index" w:customStyle="1">
    <w:name w:val="Index"/>
    <w:basedOn w:val="Normal"/>
    <w:qFormat/>
    <w:pPr>
      <w:suppressLineNumbers/>
    </w:pPr>
    <w:rPr>
      <w:rFonts w:ascii="Times New Roman" w:hAnsi="Times New Roman" w:cs="Noto Sans Devanagari"/>
    </w:rPr>
  </w:style>
  <w:style w:type="paragraph" w:styleId="Title">
    <w:name w:val="Title"/>
    <w:basedOn w:val="Normal"/>
    <w:next w:val="Normal"/>
    <w:link w:val="Style15"/>
    <w:uiPriority w:val="10"/>
    <w:qFormat/>
    <w:rsid w:val="00027c05"/>
    <w:pPr>
      <w:spacing w:before="0" w:after="0"/>
      <w:contextualSpacing/>
    </w:pPr>
    <w:rPr>
      <w:rFonts w:ascii="Calibri Light" w:hAnsi="Calibri Light" w:eastAsia="" w:cs="Mangal" w:asciiTheme="majorHAnsi" w:eastAsiaTheme="majorEastAsia" w:hAnsiTheme="majorHAnsi"/>
      <w:spacing w:val="-10"/>
      <w:sz w:val="56"/>
      <w:szCs w:val="50"/>
    </w:rPr>
  </w:style>
  <w:style w:type="paragraph" w:styleId="ListParagraph">
    <w:name w:val="List Paragraph"/>
    <w:basedOn w:val="BodyText"/>
    <w:qFormat/>
    <w:rsid w:val="00e359c0"/>
    <w:pPr>
      <w:spacing w:lineRule="auto" w:line="427" w:before="0" w:after="0"/>
      <w:ind w:firstLine="709"/>
      <w:jc w:val="both"/>
    </w:pPr>
    <w:rPr>
      <w:rFonts w:ascii="Times New Roman" w:hAnsi="Times New Roman" w:cs="Lohit Devanagari"/>
      <w:color w:val="000000"/>
      <w:sz w:val="28"/>
      <w:szCs w:val="24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Style13"/>
    <w:uiPriority w:val="99"/>
    <w:unhideWhenUsed/>
    <w:rsid w:val="00e359c0"/>
    <w:pPr>
      <w:tabs>
        <w:tab w:val="clear" w:pos="708"/>
        <w:tab w:val="center" w:pos="4677" w:leader="none"/>
        <w:tab w:val="right" w:pos="9355" w:leader="none"/>
      </w:tabs>
    </w:pPr>
    <w:rPr>
      <w:rFonts w:cs="Mangal"/>
      <w:szCs w:val="21"/>
    </w:rPr>
  </w:style>
  <w:style w:type="paragraph" w:styleId="Footer">
    <w:name w:val="footer"/>
    <w:basedOn w:val="Normal"/>
    <w:link w:val="Style14"/>
    <w:uiPriority w:val="99"/>
    <w:unhideWhenUsed/>
    <w:rsid w:val="00e359c0"/>
    <w:pPr>
      <w:tabs>
        <w:tab w:val="clear" w:pos="708"/>
        <w:tab w:val="center" w:pos="4677" w:leader="none"/>
        <w:tab w:val="right" w:pos="9355" w:leader="none"/>
      </w:tabs>
    </w:pPr>
    <w:rPr>
      <w:rFonts w:cs="Mangal"/>
      <w:szCs w:val="21"/>
    </w:rPr>
  </w:style>
  <w:style w:type="paragraph" w:styleId="Style19" w:customStyle="1">
    <w:name w:val="Заголовок таблицы"/>
    <w:basedOn w:val="BodyText"/>
    <w:qFormat/>
    <w:rsid w:val="00c4037c"/>
    <w:pPr>
      <w:tabs>
        <w:tab w:val="clear" w:pos="708"/>
        <w:tab w:val="left" w:pos="1039" w:leader="none"/>
      </w:tabs>
      <w:spacing w:lineRule="auto" w:line="360" w:before="0" w:after="0"/>
      <w:ind w:firstLine="737"/>
      <w:jc w:val="both"/>
      <w:outlineLvl w:val="0"/>
    </w:pPr>
    <w:rPr>
      <w:rFonts w:ascii="Times New Roman" w:hAnsi="Times New Roman" w:cs="Times New Roman"/>
      <w:sz w:val="28"/>
      <w:szCs w:val="24"/>
    </w:rPr>
  </w:style>
  <w:style w:type="paragraph" w:styleId="Style20" w:customStyle="1">
    <w:name w:val="СТО"/>
    <w:basedOn w:val="Normal"/>
    <w:qFormat/>
    <w:rsid w:val="00c4037c"/>
    <w:pPr>
      <w:spacing w:lineRule="auto" w:line="360"/>
      <w:ind w:firstLine="709"/>
      <w:jc w:val="both"/>
    </w:pPr>
    <w:rPr>
      <w:rFonts w:ascii="Times New Roman" w:hAnsi="Times New Roman" w:eastAsia="Times New Roman" w:cs="Times New Roman"/>
      <w:sz w:val="28"/>
      <w:lang w:eastAsia="en-US" w:bidi="ar-SA"/>
    </w:rPr>
  </w:style>
  <w:style w:type="paragraph" w:styleId="TableParagraph" w:customStyle="1">
    <w:name w:val="Table Paragraph"/>
    <w:basedOn w:val="Normal"/>
    <w:qFormat/>
    <w:rsid w:val="00027c05"/>
    <w:pPr>
      <w:spacing w:before="93" w:after="0"/>
      <w:ind w:left="22"/>
      <w:jc w:val="center"/>
    </w:pPr>
    <w:rPr>
      <w:rFonts w:ascii="Times New Roman" w:hAnsi="Times New Roman" w:eastAsia="Times New Roman" w:cs="Times New Roman"/>
      <w:lang w:eastAsia="en-US" w:bidi="ar-SA"/>
    </w:rPr>
  </w:style>
  <w:style w:type="paragraph" w:styleId="BalloonText">
    <w:name w:val="Balloon Text"/>
    <w:basedOn w:val="Normal"/>
    <w:link w:val="Style16"/>
    <w:uiPriority w:val="99"/>
    <w:semiHidden/>
    <w:unhideWhenUsed/>
    <w:qFormat/>
    <w:rsid w:val="00ef6517"/>
    <w:pPr/>
    <w:rPr>
      <w:rFonts w:ascii="Segoe UI" w:hAnsi="Segoe UI" w:cs="Mangal"/>
      <w:sz w:val="18"/>
      <w:szCs w:val="16"/>
    </w:rPr>
  </w:style>
  <w:style w:type="paragraph" w:styleId="12" w:customStyle="1">
    <w:name w:val="Стиль1"/>
    <w:basedOn w:val="Heading1"/>
    <w:link w:val="1"/>
    <w:qFormat/>
    <w:rsid w:val="00a2625b"/>
    <w:pPr>
      <w:suppressAutoHyphens w:val="false"/>
      <w:spacing w:lineRule="auto" w:line="360" w:before="0" w:after="0"/>
      <w:ind w:firstLine="709"/>
      <w:jc w:val="both"/>
    </w:pPr>
    <w:rPr>
      <w:rFonts w:ascii="Times New Roman" w:hAnsi="Times New Roman" w:cs="" w:cstheme="majorBidi"/>
      <w:color w:themeColor="text1" w:val="000000"/>
      <w:kern w:val="0"/>
      <w:sz w:val="28"/>
      <w:szCs w:val="32"/>
      <w:lang w:eastAsia="en-US" w:bidi="ar-SA"/>
    </w:rPr>
  </w:style>
  <w:style w:type="paragraph" w:styleId="Style21" w:customStyle="1">
    <w:name w:val="САНЯ СТО"/>
    <w:basedOn w:val="Normal"/>
    <w:link w:val="Style17"/>
    <w:qFormat/>
    <w:rsid w:val="00b962ba"/>
    <w:pPr>
      <w:suppressAutoHyphens w:val="false"/>
      <w:spacing w:lineRule="auto" w:line="360"/>
      <w:ind w:firstLine="709"/>
      <w:jc w:val="both"/>
    </w:pPr>
    <w:rPr>
      <w:rFonts w:ascii="Times New Roman" w:hAnsi="Times New Roman" w:eastAsia="Calibri" w:cs="" w:cstheme="minorBidi" w:eastAsiaTheme="minorHAnsi"/>
      <w:kern w:val="0"/>
      <w:sz w:val="28"/>
      <w:szCs w:val="22"/>
      <w:lang w:eastAsia="en-US" w:bidi="ar-SA"/>
    </w:rPr>
  </w:style>
  <w:style w:type="paragraph" w:styleId="Style22" w:customStyle="1">
    <w:name w:val="Мой Основной"/>
    <w:basedOn w:val="Normal"/>
    <w:link w:val="Style18"/>
    <w:qFormat/>
    <w:rsid w:val="0001276f"/>
    <w:pPr>
      <w:suppressAutoHyphens w:val="false"/>
      <w:spacing w:lineRule="auto" w:line="360"/>
      <w:ind w:firstLine="709"/>
      <w:jc w:val="both"/>
    </w:pPr>
    <w:rPr>
      <w:rFonts w:ascii="Times New Roman" w:hAnsi="Times New Roman" w:eastAsia="SimSun" w:cs="Times New Roman"/>
      <w:color w:val="00000A"/>
      <w:sz w:val="28"/>
      <w:szCs w:val="28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9e288b"/>
    <w:pPr>
      <w:suppressAutoHyphens w:val="false"/>
      <w:spacing w:lineRule="auto" w:line="259"/>
      <w:outlineLvl w:val="9"/>
    </w:pPr>
    <w:rPr>
      <w:rFonts w:cs="" w:cstheme="majorBidi"/>
      <w:kern w:val="0"/>
      <w:szCs w:val="32"/>
      <w:lang w:eastAsia="ru-RU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9e288b"/>
    <w:pPr>
      <w:spacing w:before="0" w:after="100"/>
    </w:pPr>
    <w:rPr>
      <w:rFonts w:cs="Mangal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9e288b"/>
    <w:pPr>
      <w:spacing w:before="0" w:after="100"/>
      <w:ind w:left="240"/>
    </w:pPr>
    <w:rPr>
      <w:rFonts w:cs="Mangal"/>
      <w:szCs w:val="21"/>
    </w:rPr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9">
    <w:name w:val="Table Grid"/>
    <w:basedOn w:val="a3"/>
    <w:uiPriority w:val="39"/>
    <w:rsid w:val="005c165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Сетка таблицы1"/>
    <w:basedOn w:val="a3"/>
    <w:uiPriority w:val="39"/>
    <w:rsid w:val="00dc3b27"/>
    <w:rPr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hyperlink" Target="http://elar.uspu.ru/bitstream/uspu/15860/2/Kelsin2.pdf" TargetMode="External"/><Relationship Id="rId16" Type="http://schemas.openxmlformats.org/officeDocument/2006/relationships/hyperlink" Target="https://cifra.studentmiv.ru/wp-content/uploads/2020/12/2_Odnokorpusnyie-PLK_tehnicheskie-sredstva.pdf" TargetMode="External"/><Relationship Id="rId17" Type="http://schemas.openxmlformats.org/officeDocument/2006/relationships/hyperlink" Target="http://www.intechcom.ru/sites/default/files/production_files/s7-200_man.pdf%20" TargetMode="External"/><Relationship Id="rId18" Type="http://schemas.openxmlformats.org/officeDocument/2006/relationships/hyperlink" Target="https://www.siemens-ru.com/doc/06_InstructionSet_r.pdf%20" TargetMode="External"/><Relationship Id="rId19" Type="http://schemas.openxmlformats.org/officeDocument/2006/relationships/footer" Target="footer1.xml"/><Relationship Id="rId20" Type="http://schemas.openxmlformats.org/officeDocument/2006/relationships/footer" Target="footer2.xml"/><Relationship Id="rId21" Type="http://schemas.openxmlformats.org/officeDocument/2006/relationships/footer" Target="footer3.xml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<Relationship Id="rId2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4737E0-7A5D-47F9-BC97-318DD05CA2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1392</TotalTime>
  <Application>LibreOffice/24.8.5.2$Linux_X86_64 LibreOffice_project/480$Build-2</Application>
  <AppVersion>15.0000</AppVersion>
  <Pages>22</Pages>
  <Words>1637</Words>
  <Characters>10775</Characters>
  <CharactersWithSpaces>12339</CharactersWithSpaces>
  <Paragraphs>348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2023-11-19T14:29:00Z</dcterms:created>
  <dc:creator>Деметрий</dc:creator>
  <dc:description/>
  <dc:language>en-US</dc:language>
  <cp:lastModifiedBy/>
  <cp:lastPrinted>2025-03-10T02:10:00Z</cp:lastPrinted>
  <dcterms:modified xsi:type="dcterms:W3CDTF">2025-03-10T10:11:03Z</dcterms:modified>
  <cp:revision>471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