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4E588">
      <w:pPr>
        <w:spacing w:line="560" w:lineRule="exact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附件</w:t>
      </w:r>
      <w:r>
        <w:rPr>
          <w:rFonts w:ascii="Times New Roman" w:hAnsi="Times New Roman" w:eastAsia="黑体"/>
          <w:sz w:val="32"/>
          <w:szCs w:val="32"/>
        </w:rPr>
        <w:t>1</w:t>
      </w:r>
    </w:p>
    <w:p w14:paraId="04A22051">
      <w:pPr>
        <w:spacing w:line="487" w:lineRule="atLeast"/>
        <w:jc w:val="center"/>
        <w:rPr>
          <w:rFonts w:ascii="Times New Roman" w:hAnsi="Times New Roman"/>
          <w:sz w:val="20"/>
          <w:szCs w:val="20"/>
        </w:rPr>
      </w:pPr>
    </w:p>
    <w:p w14:paraId="5ABE70AE">
      <w:pPr>
        <w:spacing w:line="464" w:lineRule="atLeast"/>
        <w:jc w:val="center"/>
        <w:rPr>
          <w:rStyle w:val="6"/>
          <w:rFonts w:ascii="Times New Roman" w:hAnsi="Times New Roman" w:eastAsia="黑体"/>
          <w:sz w:val="44"/>
          <w:szCs w:val="44"/>
        </w:rPr>
      </w:pPr>
    </w:p>
    <w:p w14:paraId="56F5B853">
      <w:pPr>
        <w:spacing w:line="464" w:lineRule="atLeast"/>
        <w:jc w:val="center"/>
        <w:rPr>
          <w:rStyle w:val="6"/>
          <w:rFonts w:ascii="Times New Roman" w:hAnsi="Times New Roman" w:eastAsia="黑体"/>
          <w:sz w:val="48"/>
          <w:szCs w:val="48"/>
        </w:rPr>
      </w:pPr>
      <w:r>
        <w:rPr>
          <w:rStyle w:val="6"/>
          <w:rFonts w:hint="eastAsia" w:ascii="Times New Roman" w:hAnsi="Times New Roman" w:eastAsia="黑体"/>
          <w:sz w:val="48"/>
          <w:szCs w:val="48"/>
          <w:lang w:val="en-US" w:eastAsia="zh-CN"/>
        </w:rPr>
        <w:t>2025年河南大学</w:t>
      </w:r>
      <w:r>
        <w:rPr>
          <w:rStyle w:val="6"/>
          <w:rFonts w:ascii="Times New Roman" w:hAnsi="Times New Roman" w:eastAsia="黑体"/>
          <w:sz w:val="48"/>
          <w:szCs w:val="48"/>
        </w:rPr>
        <w:t>节能减排</w:t>
      </w:r>
    </w:p>
    <w:p w14:paraId="2BAD1E52">
      <w:pPr>
        <w:spacing w:line="464" w:lineRule="atLeast"/>
        <w:jc w:val="center"/>
        <w:rPr>
          <w:rFonts w:ascii="Times New Roman" w:hAnsi="Times New Roman" w:eastAsia="黑体"/>
          <w:sz w:val="48"/>
          <w:szCs w:val="48"/>
        </w:rPr>
      </w:pPr>
      <w:r>
        <w:rPr>
          <w:rStyle w:val="6"/>
          <w:rFonts w:ascii="Times New Roman" w:hAnsi="Times New Roman" w:eastAsia="黑体"/>
          <w:sz w:val="48"/>
          <w:szCs w:val="48"/>
        </w:rPr>
        <w:t>社会实践与科技竞赛作品申报书</w:t>
      </w:r>
    </w:p>
    <w:p w14:paraId="2B710549">
      <w:pPr>
        <w:spacing w:line="476" w:lineRule="atLeast"/>
        <w:ind w:firstLine="1566" w:firstLineChars="650"/>
        <w:rPr>
          <w:rFonts w:ascii="Times New Roman" w:hAnsi="Times New Roman" w:eastAsia="仿宋_GB2312"/>
          <w:b/>
          <w:sz w:val="24"/>
          <w:szCs w:val="24"/>
        </w:rPr>
      </w:pPr>
      <w:r>
        <w:rPr>
          <w:rFonts w:ascii="Times New Roman" w:hAnsi="Times New Roman" w:eastAsia="仿宋_GB2312"/>
          <w:b/>
          <w:sz w:val="24"/>
          <w:szCs w:val="24"/>
        </w:rPr>
        <w:t>【科技作品类（含实物制作、软件、设计等）】</w:t>
      </w:r>
    </w:p>
    <w:p w14:paraId="3DDBFBA0">
      <w:pPr>
        <w:spacing w:line="476" w:lineRule="atLeast"/>
        <w:rPr>
          <w:rFonts w:ascii="Times New Roman" w:hAnsi="Times New Roman" w:eastAsia="楷体_GB2312"/>
          <w:b/>
          <w:sz w:val="28"/>
          <w:szCs w:val="28"/>
        </w:rPr>
      </w:pPr>
    </w:p>
    <w:p w14:paraId="3B5107FC">
      <w:pPr>
        <w:spacing w:line="560" w:lineRule="exact"/>
        <w:ind w:firstLine="547" w:firstLineChars="19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楷体_GB2312"/>
          <w:b/>
          <w:sz w:val="28"/>
          <w:szCs w:val="28"/>
        </w:rPr>
        <w:t>作品名称：</w:t>
      </w:r>
      <w:r>
        <w:rPr>
          <w:rFonts w:ascii="Times New Roman" w:hAnsi="Times New Roman" w:eastAsia="楷体_GB2312"/>
          <w:b/>
          <w:sz w:val="28"/>
          <w:szCs w:val="28"/>
          <w:u w:val="single"/>
        </w:rPr>
        <w:t xml:space="preserve">                              </w:t>
      </w:r>
    </w:p>
    <w:p w14:paraId="2EAC26BD">
      <w:pPr>
        <w:spacing w:line="560" w:lineRule="exact"/>
        <w:rPr>
          <w:rFonts w:ascii="Times New Roman" w:hAnsi="Times New Roman"/>
          <w:sz w:val="20"/>
          <w:szCs w:val="20"/>
        </w:rPr>
      </w:pPr>
    </w:p>
    <w:p w14:paraId="1D56F27C">
      <w:pPr>
        <w:spacing w:line="560" w:lineRule="exact"/>
        <w:ind w:firstLine="561" w:firstLineChars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楷体_GB2312"/>
          <w:b/>
          <w:sz w:val="28"/>
          <w:szCs w:val="28"/>
        </w:rPr>
        <w:t>学</w:t>
      </w:r>
      <w:r>
        <w:rPr>
          <w:rFonts w:hint="eastAsia" w:ascii="Times New Roman" w:hAnsi="Times New Roman" w:eastAsia="楷体_GB2312"/>
          <w:b/>
          <w:sz w:val="28"/>
          <w:szCs w:val="28"/>
          <w:lang w:val="en-US" w:eastAsia="zh-CN"/>
        </w:rPr>
        <w:t>院</w:t>
      </w:r>
      <w:r>
        <w:rPr>
          <w:rFonts w:ascii="Times New Roman" w:hAnsi="Times New Roman" w:eastAsia="楷体_GB2312"/>
          <w:b/>
          <w:sz w:val="28"/>
          <w:szCs w:val="28"/>
        </w:rPr>
        <w:t>全称：</w:t>
      </w:r>
      <w:r>
        <w:rPr>
          <w:rFonts w:ascii="Times New Roman" w:hAnsi="Times New Roman" w:eastAsia="楷体_GB2312"/>
          <w:b/>
          <w:sz w:val="28"/>
          <w:szCs w:val="28"/>
          <w:u w:val="single"/>
        </w:rPr>
        <w:t xml:space="preserve">                              </w:t>
      </w:r>
    </w:p>
    <w:p w14:paraId="2BA14003">
      <w:pPr>
        <w:spacing w:line="560" w:lineRule="exact"/>
        <w:rPr>
          <w:rFonts w:ascii="Times New Roman" w:hAnsi="Times New Roman"/>
          <w:sz w:val="20"/>
          <w:szCs w:val="20"/>
        </w:rPr>
      </w:pPr>
    </w:p>
    <w:p w14:paraId="64217912">
      <w:pPr>
        <w:spacing w:line="560" w:lineRule="exact"/>
        <w:ind w:firstLine="561" w:firstLineChars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楷体_GB2312"/>
          <w:b/>
          <w:sz w:val="28"/>
          <w:szCs w:val="28"/>
        </w:rPr>
        <w:t>申报者姓名</w:t>
      </w:r>
      <w:r>
        <w:rPr>
          <w:rFonts w:ascii="Times New Roman" w:hAnsi="Times New Roman"/>
          <w:sz w:val="20"/>
          <w:szCs w:val="20"/>
        </w:rPr>
        <w:t>：</w:t>
      </w:r>
      <w:r>
        <w:rPr>
          <w:rFonts w:ascii="Times New Roman" w:hAnsi="Times New Roman" w:eastAsia="楷体_GB2312"/>
          <w:b/>
          <w:sz w:val="28"/>
          <w:szCs w:val="28"/>
          <w:u w:val="single"/>
        </w:rPr>
        <w:t xml:space="preserve">                             </w:t>
      </w:r>
    </w:p>
    <w:p w14:paraId="732E9A67">
      <w:pPr>
        <w:spacing w:line="560" w:lineRule="exact"/>
        <w:rPr>
          <w:rFonts w:ascii="Times New Roman" w:hAnsi="Times New Roman"/>
          <w:sz w:val="20"/>
          <w:szCs w:val="20"/>
        </w:rPr>
      </w:pPr>
    </w:p>
    <w:p w14:paraId="5DE64CB7">
      <w:pPr>
        <w:spacing w:line="560" w:lineRule="exact"/>
        <w:rPr>
          <w:rFonts w:ascii="Times New Roman" w:hAnsi="Times New Roman" w:eastAsia="楷体_GB2312"/>
          <w:b/>
          <w:sz w:val="28"/>
          <w:szCs w:val="28"/>
          <w:u w:val="single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 w:eastAsia="楷体_GB2312"/>
          <w:b/>
          <w:sz w:val="28"/>
          <w:szCs w:val="28"/>
          <w:u w:val="single"/>
        </w:rPr>
        <w:t xml:space="preserve">                              </w:t>
      </w:r>
    </w:p>
    <w:p w14:paraId="6719E683">
      <w:pPr>
        <w:spacing w:line="560" w:lineRule="exact"/>
        <w:rPr>
          <w:rFonts w:ascii="Times New Roman" w:hAnsi="Times New Roman" w:eastAsia="楷体_GB2312"/>
          <w:b/>
          <w:sz w:val="28"/>
          <w:szCs w:val="28"/>
          <w:u w:val="single"/>
        </w:rPr>
      </w:pPr>
    </w:p>
    <w:p w14:paraId="67AD2E37">
      <w:pPr>
        <w:spacing w:line="56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楷体_GB2312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楷体_GB2312"/>
          <w:b/>
          <w:sz w:val="28"/>
          <w:szCs w:val="28"/>
        </w:rPr>
        <w:t>指导教师</w:t>
      </w:r>
      <w:r>
        <w:rPr>
          <w:rFonts w:ascii="Times New Roman" w:hAnsi="Times New Roman" w:eastAsia="楷体_GB2312"/>
          <w:b/>
          <w:sz w:val="28"/>
          <w:szCs w:val="28"/>
        </w:rPr>
        <w:t>：</w:t>
      </w:r>
      <w:r>
        <w:rPr>
          <w:rFonts w:ascii="Times New Roman" w:hAnsi="Times New Roman" w:eastAsia="楷体_GB2312"/>
          <w:b/>
          <w:sz w:val="28"/>
          <w:szCs w:val="28"/>
          <w:u w:val="single"/>
        </w:rPr>
        <w:t xml:space="preserve">                              </w:t>
      </w:r>
    </w:p>
    <w:p w14:paraId="79D2F321">
      <w:pPr>
        <w:spacing w:line="560" w:lineRule="exact"/>
        <w:ind w:firstLine="561" w:firstLineChars="200"/>
        <w:rPr>
          <w:rFonts w:ascii="Times New Roman" w:hAnsi="Times New Roman" w:eastAsia="楷体_GB2312"/>
          <w:b/>
          <w:sz w:val="28"/>
          <w:szCs w:val="28"/>
        </w:rPr>
      </w:pPr>
    </w:p>
    <w:p w14:paraId="2CC6428F">
      <w:pPr>
        <w:spacing w:line="560" w:lineRule="exact"/>
        <w:ind w:firstLine="561" w:firstLineChars="200"/>
        <w:rPr>
          <w:rFonts w:ascii="Times New Roman" w:hAnsi="Times New Roman"/>
          <w:sz w:val="20"/>
          <w:szCs w:val="20"/>
        </w:rPr>
      </w:pPr>
      <w:r>
        <w:rPr>
          <w:rFonts w:hint="eastAsia" w:ascii="Times New Roman" w:hAnsi="Times New Roman" w:eastAsia="楷体_GB2312"/>
          <w:b/>
          <w:sz w:val="28"/>
          <w:szCs w:val="28"/>
        </w:rPr>
        <w:t>团队类型</w:t>
      </w:r>
      <w:r>
        <w:rPr>
          <w:rFonts w:ascii="Times New Roman" w:hAnsi="Times New Roman" w:eastAsia="楷体_GB2312"/>
          <w:b/>
          <w:sz w:val="28"/>
          <w:szCs w:val="28"/>
        </w:rPr>
        <w:t>：</w:t>
      </w:r>
      <w:r>
        <w:rPr>
          <w:rFonts w:ascii="Times New Roman" w:hAnsi="Times New Roman" w:eastAsia="楷体_GB2312"/>
          <w:b/>
          <w:sz w:val="28"/>
          <w:szCs w:val="28"/>
          <w:u w:val="single"/>
        </w:rPr>
        <w:t xml:space="preserve">                              </w:t>
      </w:r>
    </w:p>
    <w:p w14:paraId="4CF42E4E">
      <w:pPr>
        <w:spacing w:line="476" w:lineRule="atLeast"/>
        <w:rPr>
          <w:rFonts w:ascii="Times New Roman" w:hAnsi="Times New Roman"/>
          <w:sz w:val="20"/>
          <w:szCs w:val="20"/>
        </w:rPr>
      </w:pPr>
    </w:p>
    <w:p w14:paraId="4EA155AE">
      <w:pPr>
        <w:spacing w:line="476" w:lineRule="atLeast"/>
        <w:rPr>
          <w:rFonts w:ascii="Times New Roman" w:hAnsi="Times New Roman"/>
          <w:sz w:val="20"/>
          <w:szCs w:val="20"/>
        </w:rPr>
      </w:pPr>
    </w:p>
    <w:p w14:paraId="0D1B8EAD">
      <w:pPr>
        <w:spacing w:line="476" w:lineRule="atLeast"/>
        <w:rPr>
          <w:rFonts w:ascii="Times New Roman" w:hAnsi="Times New Roman"/>
          <w:sz w:val="20"/>
          <w:szCs w:val="20"/>
        </w:rPr>
      </w:pPr>
    </w:p>
    <w:p w14:paraId="3FCF1EA9">
      <w:pPr>
        <w:spacing w:line="460" w:lineRule="exact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  <w:r>
        <w:rPr>
          <w:rFonts w:ascii="Times New Roman" w:hAnsi="Times New Roman" w:eastAsia="黑体"/>
          <w:sz w:val="34"/>
          <w:szCs w:val="34"/>
        </w:rPr>
        <w:t>申报作品情况（</w:t>
      </w:r>
      <w:r>
        <w:rPr>
          <w:rFonts w:ascii="Times New Roman" w:hAnsi="Times New Roman" w:eastAsia="黑体"/>
          <w:sz w:val="28"/>
          <w:szCs w:val="28"/>
        </w:rPr>
        <w:t>科技作品类，含实物制作、软件、设计等</w:t>
      </w:r>
      <w:r>
        <w:rPr>
          <w:rFonts w:ascii="Times New Roman" w:hAnsi="Times New Roman" w:eastAsia="黑体"/>
          <w:sz w:val="34"/>
          <w:szCs w:val="34"/>
        </w:rPr>
        <w:t>）</w:t>
      </w:r>
    </w:p>
    <w:p w14:paraId="07D80946">
      <w:pPr>
        <w:spacing w:line="460" w:lineRule="exact"/>
        <w:ind w:firstLine="1077"/>
        <w:jc w:val="center"/>
        <w:rPr>
          <w:rFonts w:ascii="Times New Roman" w:hAnsi="Times New Roman"/>
          <w:sz w:val="20"/>
          <w:szCs w:val="20"/>
        </w:rPr>
      </w:pPr>
    </w:p>
    <w:p w14:paraId="05E867AC">
      <w:pPr>
        <w:spacing w:line="46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仿宋_GB2312"/>
          <w:sz w:val="26"/>
          <w:szCs w:val="26"/>
        </w:rPr>
        <w:t>说明：1．必须由申报者本人填写；</w:t>
      </w:r>
    </w:p>
    <w:p w14:paraId="3FDDEF86">
      <w:pPr>
        <w:spacing w:line="460" w:lineRule="exact"/>
        <w:rPr>
          <w:rFonts w:ascii="Times New Roman" w:hAnsi="Times New Roman" w:eastAsia="仿宋_GB2312"/>
          <w:sz w:val="26"/>
          <w:szCs w:val="26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 w:eastAsia="仿宋_GB2312"/>
          <w:sz w:val="26"/>
          <w:szCs w:val="26"/>
        </w:rPr>
        <w:t>2．本表必须附有研究报告，并提供图表、曲线、试验数据、原理结构图、</w:t>
      </w:r>
      <w:r>
        <w:rPr>
          <w:rFonts w:ascii="Times New Roman" w:hAnsi="Times New Roman" w:eastAsia="仿宋_GB2312"/>
          <w:sz w:val="26"/>
          <w:szCs w:val="26"/>
          <w:highlight w:val="none"/>
        </w:rPr>
        <w:t>外观图（</w:t>
      </w:r>
      <w:r>
        <w:rPr>
          <w:rFonts w:ascii="Times New Roman" w:hAnsi="Times New Roman" w:eastAsia="仿宋_GB2312"/>
          <w:sz w:val="26"/>
          <w:szCs w:val="26"/>
        </w:rPr>
        <w:t>照片）等必要的说明资料；</w:t>
      </w:r>
    </w:p>
    <w:p w14:paraId="403AD0CE">
      <w:pPr>
        <w:spacing w:line="46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 w:eastAsia="仿宋_GB2312"/>
          <w:sz w:val="26"/>
          <w:szCs w:val="26"/>
        </w:rPr>
        <w:t>3．本部分中的管理部门签章视为对申报者所填内容的确认。</w:t>
      </w:r>
    </w:p>
    <w:tbl>
      <w:tblPr>
        <w:tblStyle w:val="4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380"/>
      </w:tblGrid>
      <w:tr w14:paraId="67746E8E">
        <w:trPr>
          <w:trHeight w:val="658" w:hRule="atLeast"/>
          <w:jc w:val="center"/>
        </w:trPr>
        <w:tc>
          <w:tcPr>
            <w:tcW w:w="1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B69429B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作品名称</w:t>
            </w:r>
          </w:p>
        </w:tc>
        <w:tc>
          <w:tcPr>
            <w:tcW w:w="7380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02D1100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BF1D490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2BC9D6A1">
        <w:trPr>
          <w:trHeight w:val="8557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C2286E">
            <w:pPr>
              <w:spacing w:line="460" w:lineRule="exact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作品摘要</w:t>
            </w:r>
          </w:p>
          <w:p w14:paraId="4B9604EA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（500字以内；含作品设计、发明的目的和基本思路，创新点，技术关键和主要技术指标）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9DDC4CD">
            <w:pPr>
              <w:spacing w:line="460" w:lineRule="exact"/>
              <w:jc w:val="left"/>
              <w:rPr>
                <w:rFonts w:hint="eastAsia" w:ascii="Times New Roman" w:hAnsi="Times New Roman"/>
                <w:sz w:val="20"/>
                <w:szCs w:val="20"/>
              </w:rPr>
            </w:pPr>
          </w:p>
          <w:p w14:paraId="759EEC96">
            <w:pPr>
              <w:spacing w:line="460" w:lineRule="exact"/>
              <w:ind w:firstLine="520" w:firstLineChars="200"/>
              <w:rPr>
                <w:rFonts w:hint="default" w:ascii="Times New Roman" w:hAnsi="Times New Roman" w:eastAsia="仿宋_GB2312"/>
                <w:sz w:val="26"/>
                <w:szCs w:val="26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本作品面向校园网络运维场景，研发校园交换机智能体节能平台，聚焦校园网络高能耗痛点：大量交换机</w:t>
            </w:r>
            <w:r>
              <w:rPr>
                <w:rFonts w:hint="eastAsia" w:ascii="Times New Roman" w:hAnsi="Times New Roman" w:eastAsia="仿宋_GB2312"/>
                <w:sz w:val="26"/>
                <w:szCs w:val="26"/>
                <w:lang w:eastAsia="zh-CN"/>
              </w:rPr>
              <w:t>接口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因设备闲置、假期无人使用长期处于空载/低负载状态，却维持全功率运行，造成电能浪费；传统人工巡检效率低、周期长，难以及时处置闲置</w:t>
            </w:r>
            <w:r>
              <w:rPr>
                <w:rFonts w:hint="eastAsia" w:ascii="Times New Roman" w:hAnsi="Times New Roman" w:eastAsia="仿宋_GB2312"/>
                <w:sz w:val="26"/>
                <w:szCs w:val="26"/>
                <w:lang w:eastAsia="zh-CN"/>
              </w:rPr>
              <w:t>接口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，无法形成持续节能闭环；同时校园运维缺乏能耗数据量化与减碳成果可视化，节能工作难以落地考核，无法为绿色校园建设提供支撑。</w:t>
            </w:r>
          </w:p>
          <w:p w14:paraId="4ACCBA71">
            <w:pPr>
              <w:pStyle w:val="3"/>
              <w:keepNext w:val="0"/>
              <w:keepLines w:val="0"/>
              <w:widowControl/>
              <w:suppressLineNumbers w:val="0"/>
              <w:ind w:firstLine="520" w:firstLineChars="200"/>
              <w:rPr>
                <w:rFonts w:hint="eastAsia" w:ascii="仿宋_GB2312" w:hAnsi="仿宋_GB2312" w:eastAsia="仿宋_GB2312" w:cs="仿宋_GB2312"/>
                <w:sz w:val="26"/>
                <w:szCs w:val="26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为破解难题，本平台构建“数据接入—</w:t>
            </w:r>
            <w:r>
              <w:rPr>
                <w:rFonts w:hint="eastAsia" w:ascii="仿宋_GB2312" w:hAnsi="仿宋_GB2312" w:eastAsia="仿宋_GB2312" w:cs="仿宋_GB2312"/>
              </w:rPr>
              <w:t>RAG知识检索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—智能判断—自动执行—结果统计—审计追踪”的完整智能体业务闭环，在保障网络安全稳定的前提下，实现</w:t>
            </w:r>
            <w:r>
              <w:rPr>
                <w:rFonts w:hint="eastAsia" w:ascii="Times New Roman" w:hAnsi="Times New Roman" w:eastAsia="仿宋_GB2312"/>
                <w:sz w:val="26"/>
                <w:szCs w:val="26"/>
                <w:lang w:eastAsia="zh-CN"/>
              </w:rPr>
              <w:t>接口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能耗精细化智能治理。平台通过接口数据管理、智能体护栏配置、自治巡检、自动执行与结果回写、统计分析与审计追踪五大核心功能，统一接入交换机</w:t>
            </w:r>
            <w:r>
              <w:rPr>
                <w:rFonts w:hint="eastAsia" w:ascii="Times New Roman" w:hAnsi="Times New Roman" w:eastAsia="仿宋_GB2312"/>
                <w:sz w:val="26"/>
                <w:szCs w:val="26"/>
                <w:lang w:eastAsia="zh-CN"/>
              </w:rPr>
              <w:t>接口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数据；通过阈值、时间窗、风险筛选等护栏机制约束执行边界，按周期巡检</w:t>
            </w:r>
            <w:r>
              <w:rPr>
                <w:rFonts w:hint="eastAsia" w:ascii="Times New Roman" w:hAnsi="Times New Roman" w:eastAsia="仿宋_GB2312"/>
                <w:sz w:val="26"/>
                <w:szCs w:val="26"/>
                <w:lang w:eastAsia="zh-CN"/>
              </w:rPr>
              <w:t>接口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状态，智能识别并处置可节能</w:t>
            </w:r>
            <w:r>
              <w:rPr>
                <w:rFonts w:hint="eastAsia" w:ascii="Times New Roman" w:hAnsi="Times New Roman" w:eastAsia="仿宋_GB2312"/>
                <w:sz w:val="26"/>
                <w:szCs w:val="26"/>
                <w:lang w:eastAsia="zh-CN"/>
              </w:rPr>
              <w:t>接口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，同时实时量化节电量、减碳量等环保成果，全程留痕可追溯。</w:t>
            </w:r>
            <w:r>
              <w:rPr>
                <w:rFonts w:hint="eastAsia" w:ascii="仿宋_GB2312" w:hAnsi="仿宋_GB2312" w:eastAsia="仿宋_GB2312" w:cs="仿宋_GB2312"/>
              </w:rPr>
              <w:t>同时引入RAG知识库依据层，将设备手册、运维制度、历史复盘与风险规则作为智能体策略生成的依据，提升节能决策的可解释性和可追溯性</w:t>
            </w:r>
            <w:r>
              <w:rPr>
                <w:rFonts w:hint="eastAsia" w:ascii="仿宋_GB2312" w:hAnsi="仿宋_GB2312" w:eastAsia="仿宋_GB2312" w:cs="仿宋_GB2312"/>
                <w:lang w:eastAsia="zh-CN"/>
              </w:rPr>
              <w:t>。</w:t>
            </w:r>
          </w:p>
          <w:p w14:paraId="55474FB6">
            <w:pPr>
              <w:spacing w:line="460" w:lineRule="exact"/>
              <w:ind w:firstLine="520" w:firstLineChars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与传统人工巡检相比，本平台大幅降低运维工作量，将节能治理升级为主动智能管控，实现能耗管理标准化、自动化与可视化。项目已完成前后端一体化开发与业务闭环验证，具备落地能力，为校园网络绿色低碳运维提供了可复制、可推广的智能化解决方案。</w:t>
            </w:r>
          </w:p>
        </w:tc>
      </w:tr>
      <w:tr w14:paraId="5B781C78">
        <w:trPr>
          <w:trHeight w:val="13694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93BAC56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作品的科学性先进性（500字以内；必须说明与现有技术相比、该作品是否具有节能减排的实质性技术特点和显著效果。请提供技术经济分析说明。）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5787F5DC">
            <w:pPr>
              <w:spacing w:line="460" w:lineRule="exact"/>
              <w:rPr>
                <w:rFonts w:hint="eastAsia" w:ascii="Times New Roman" w:hAnsi="Times New Roman" w:eastAsia="仿宋_GB2312"/>
                <w:sz w:val="26"/>
                <w:szCs w:val="26"/>
              </w:rPr>
            </w:pPr>
          </w:p>
          <w:p w14:paraId="5A689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180" w:lineRule="atLeast"/>
              <w:ind w:left="0" w:right="0" w:firstLine="440" w:firstLineChars="200"/>
              <w:jc w:val="left"/>
              <w:rPr>
                <w:rFonts w:hint="eastAsia" w:ascii="Times New Roman" w:hAnsi="Times New Roman" w:eastAsia="仿宋_GB2312"/>
                <w:sz w:val="26"/>
                <w:szCs w:val="26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highlight w:val="yellow"/>
                <w:lang w:val="en-US" w:eastAsia="zh-CN" w:bidi="ar"/>
              </w:rPr>
              <w:t>在双碳战略与绿色校园建设背景下，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highlight w:val="yellow"/>
                <w:lang w:val="en-US" w:eastAsia="zh-CN" w:bidi="ar"/>
              </w:rPr>
              <w:t>以我校为例，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highlight w:val="yellow"/>
                <w:lang w:val="en-US" w:eastAsia="zh-CN" w:bidi="ar"/>
              </w:rPr>
              <w:t>河南大学已将机房能耗管控纳入 2024-2026 智慧校园建设规划。校园机房能耗结构中，IT 设备占比达 44%，网络交换机设备约占 IT 能耗的 30%，其中接入层交换机能耗占比超 85%，是节能改造的核心环节。</w:t>
            </w:r>
          </w:p>
          <w:p w14:paraId="78C37F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180" w:lineRule="atLeast"/>
              <w:ind w:left="0" w:right="0" w:firstLine="520" w:firstLineChars="200"/>
              <w:jc w:val="left"/>
              <w:rPr>
                <w:rFonts w:hint="eastAsia" w:ascii="Times New Roman" w:hAnsi="Times New Roman" w:eastAsia="仿宋_GB2312"/>
                <w:sz w:val="26"/>
                <w:szCs w:val="26"/>
                <w:highlight w:val="yellow"/>
              </w:rPr>
            </w:pPr>
          </w:p>
          <w:p w14:paraId="2BE3CC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180" w:lineRule="atLeast"/>
              <w:ind w:left="0" w:right="0" w:firstLine="440" w:firstLineChars="20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highlight w:val="yellow"/>
                <w:lang w:val="en-US" w:eastAsia="zh-CN" w:bidi="ar"/>
              </w:rPr>
              <w:t>本项目依托智能体技术，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突破传统方案局限：一是首创“可控自治+护栏约束”的智能节能模式，通过阈值校验、风险筛选等机制，实现闲置</w:t>
            </w:r>
            <w:r>
              <w:rPr>
                <w:rFonts w:hint="eastAsia" w:ascii="Times New Roman" w:hAnsi="Times New Roman" w:eastAsia="仿宋_GB2312"/>
                <w:sz w:val="26"/>
                <w:szCs w:val="26"/>
                <w:lang w:eastAsia="zh-CN"/>
              </w:rPr>
              <w:t>接口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自动低功耗管控，大幅降低无效电能消耗；二是实现节能效果全链条量化，可实时测算节电量、减碳量，形成与“双碳”目标挂钩的可视化成果；三是轻量化架构适配现有网络环境，无需大规模硬件改造，部署成本低。</w:t>
            </w:r>
          </w:p>
          <w:p w14:paraId="3A12FCCF">
            <w:pPr>
              <w:spacing w:line="460" w:lineRule="exact"/>
              <w:ind w:firstLine="520" w:firstLineChars="200"/>
              <w:rPr>
                <w:rFonts w:hint="eastAsia" w:ascii="Times New Roman" w:hAnsi="Times New Roman" w:eastAsia="仿宋_GB2312"/>
                <w:sz w:val="26"/>
                <w:szCs w:val="26"/>
              </w:rPr>
            </w:pPr>
          </w:p>
          <w:p w14:paraId="014F54E2">
            <w:pPr>
              <w:spacing w:line="460" w:lineRule="exact"/>
              <w:ind w:firstLine="480" w:firstLineChars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yellow"/>
              </w:rPr>
              <w:t>2025 年 12 月 CSDN 基于高校机房实际用电分配调研发布</w:t>
            </w: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val="en-US" w:eastAsia="zh-CN"/>
              </w:rPr>
              <w:t>了</w:t>
            </w:r>
            <w:r>
              <w:rPr>
                <w:rFonts w:ascii="宋体" w:hAnsi="宋体" w:eastAsia="宋体" w:cs="宋体"/>
                <w:sz w:val="24"/>
                <w:szCs w:val="24"/>
                <w:highlight w:val="yellow"/>
              </w:rPr>
              <w:t>《校园网络设备能耗分析》，从能耗数据看，校园机房 IT 设备能耗占总能耗 44%，网络设备占其中 30%</w:t>
            </w: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val="en-US" w:eastAsia="zh-CN"/>
              </w:rPr>
              <w:t>同时</w:t>
            </w:r>
            <w:r>
              <w:rPr>
                <w:rFonts w:ascii="宋体" w:hAnsi="宋体" w:eastAsia="宋体" w:cs="宋体"/>
                <w:sz w:val="24"/>
                <w:szCs w:val="24"/>
                <w:highlight w:val="yellow"/>
              </w:rPr>
              <w:t>参考华为 CloudEngine S5735-L 系列交换机的官方参数</w:t>
            </w: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val="en-US" w:eastAsia="zh-CN"/>
              </w:rPr>
              <w:t>可知</w:t>
            </w:r>
            <w:r>
              <w:rPr>
                <w:rFonts w:ascii="宋体" w:hAnsi="宋体" w:eastAsia="宋体" w:cs="宋体"/>
                <w:sz w:val="24"/>
                <w:szCs w:val="24"/>
                <w:highlight w:val="yellow"/>
              </w:rPr>
              <w:t>软件通过动态调节能让接入层交换机功耗降低约 20%-30%</w:t>
            </w: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val="en-US" w:eastAsia="zh-CN"/>
              </w:rPr>
              <w:t>。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平台可使校园交换机</w:t>
            </w:r>
            <w:r>
              <w:rPr>
                <w:rFonts w:hint="eastAsia" w:ascii="Times New Roman" w:hAnsi="Times New Roman" w:eastAsia="仿宋_GB2312"/>
                <w:sz w:val="26"/>
                <w:szCs w:val="26"/>
                <w:lang w:eastAsia="zh-CN"/>
              </w:rPr>
              <w:t>接口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空载能耗降低</w:t>
            </w:r>
            <w:r>
              <w:rPr>
                <w:rFonts w:hint="eastAsia" w:ascii="Times New Roman" w:hAnsi="Times New Roman" w:eastAsia="仿宋_GB2312"/>
                <w:sz w:val="26"/>
                <w:szCs w:val="26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0%以上，</w:t>
            </w: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val="en-US" w:eastAsia="zh-CN"/>
              </w:rPr>
              <w:t>单台设备年节电约3300度，年节约电费2000余元，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单校区年节电量可达数万度，对应减少碳排放数十吨，</w:t>
            </w:r>
            <w:r>
              <w:rPr>
                <w:rFonts w:hint="eastAsia" w:ascii="Times New Roman" w:hAnsi="Times New Roman" w:eastAsia="仿宋_GB2312"/>
                <w:sz w:val="26"/>
                <w:szCs w:val="26"/>
                <w:lang w:val="en-US" w:eastAsia="zh-CN"/>
              </w:rPr>
              <w:t>年节约电费数万元。</w:t>
            </w:r>
            <w:r>
              <w:rPr>
                <w:rFonts w:hint="eastAsia" w:ascii="Times New Roman" w:hAnsi="Times New Roman" w:eastAsia="仿宋_GB2312"/>
                <w:sz w:val="26"/>
                <w:szCs w:val="26"/>
              </w:rPr>
              <w:t>兼具显著的环保效益与运维降本价值，为校园绿色低碳运维提供可复制的技术路径。</w:t>
            </w:r>
          </w:p>
        </w:tc>
      </w:tr>
      <w:tr w14:paraId="446F27D2">
        <w:trPr>
          <w:trHeight w:val="3642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9E9148B">
            <w:pPr>
              <w:spacing w:line="460" w:lineRule="exact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作品推广应用的可行性分析</w:t>
            </w:r>
          </w:p>
          <w:p w14:paraId="6DC5DB7B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(200字以内)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5A81E65B">
            <w:pPr>
              <w:spacing w:line="460" w:lineRule="exact"/>
              <w:ind w:firstLine="400" w:firstLineChars="20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>本平台推广应用可行性高、落地门槛低。技术层面，已完成完整原型开发，轻量化架构无需大规模硬件改造，可快速对接各类校园交换机设备与现有网络环境。场景层面，适配高校、中小学等校园网络运维需求，解决普遍存在的</w:t>
            </w:r>
            <w:r>
              <w:rPr>
                <w:rFonts w:hint="eastAsia" w:ascii="Times New Roman" w:hAnsi="Times New Roman"/>
                <w:sz w:val="20"/>
                <w:szCs w:val="20"/>
                <w:lang w:eastAsia="zh-CN"/>
              </w:rPr>
              <w:t>接口</w:t>
            </w:r>
            <w:r>
              <w:rPr>
                <w:rFonts w:hint="eastAsia" w:ascii="Times New Roman" w:hAnsi="Times New Roman"/>
                <w:sz w:val="20"/>
                <w:szCs w:val="20"/>
              </w:rPr>
              <w:t>闲置、人工低效问题。经济与社会效益显著，可降低设备能耗与人力成本，形成可量化减碳成果，契合绿色校园建设政策导向，具备广阔的复制推广前景。</w:t>
            </w:r>
          </w:p>
        </w:tc>
      </w:tr>
      <w:tr w14:paraId="2AF81F95">
        <w:trPr>
          <w:trHeight w:val="2144" w:hRule="exac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757794E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作品可展示的</w:t>
            </w:r>
          </w:p>
          <w:p w14:paraId="71D59341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形  式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97F1070">
            <w:pPr>
              <w:spacing w:line="460" w:lineRule="exact"/>
              <w:ind w:firstLine="280" w:firstLineChars="100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实物、产品  □模型  □图纸  □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 xml:space="preserve">光盘 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☑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现场演示</w:t>
            </w:r>
          </w:p>
          <w:p w14:paraId="0AA65ADA">
            <w:pPr>
              <w:spacing w:line="460" w:lineRule="exact"/>
              <w:ind w:firstLine="280" w:firstLineChars="10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☑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图片  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视频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☑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样品</w:t>
            </w:r>
          </w:p>
        </w:tc>
      </w:tr>
      <w:tr w14:paraId="19A7B6A0">
        <w:trPr>
          <w:trHeight w:val="3411" w:hRule="exact"/>
          <w:jc w:val="center"/>
        </w:trPr>
        <w:tc>
          <w:tcPr>
            <w:tcW w:w="9180" w:type="dxa"/>
            <w:gridSpan w:val="2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BE06E6D">
            <w:pPr>
              <w:spacing w:line="460" w:lineRule="exact"/>
              <w:ind w:firstLine="280" w:firstLineChars="100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作品的真实性及原创性声明：</w:t>
            </w:r>
          </w:p>
          <w:p w14:paraId="3BF8F02A">
            <w:pPr>
              <w:spacing w:line="460" w:lineRule="exact"/>
              <w:ind w:firstLine="280" w:firstLineChars="100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申请者郑重声明：所呈交的作品是由申请者完成的原创性课外科技成果。除了报告中特别加以标注引用的内容外，本作品不包含任何其他个人或集体创作的成果作品。申请者对申报内容的真实性负责，申请者完全意识到本声明的法律后果由本人承担。</w:t>
            </w:r>
          </w:p>
          <w:p w14:paraId="5822474F">
            <w:pPr>
              <w:spacing w:line="460" w:lineRule="exact"/>
              <w:ind w:firstLine="280" w:firstLineChars="100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申请者（签名）</w:t>
            </w:r>
          </w:p>
          <w:p w14:paraId="3616898D">
            <w:pPr>
              <w:spacing w:line="460" w:lineRule="exact"/>
              <w:ind w:firstLine="280" w:firstLineChars="100"/>
              <w:jc w:val="righ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</w:tr>
      <w:tr w14:paraId="0597B855">
        <w:trPr>
          <w:trHeight w:val="3025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E51A33">
            <w:pPr>
              <w:spacing w:line="460" w:lineRule="exact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学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院团委</w:t>
            </w:r>
          </w:p>
          <w:p w14:paraId="5215C7C7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推荐意见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89E0B37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21025D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7648B44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73F959B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D5B3658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F40C268">
            <w:pPr>
              <w:spacing w:line="460" w:lineRule="exact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                            签字（盖章）</w:t>
            </w:r>
          </w:p>
          <w:p w14:paraId="526EF41C">
            <w:pPr>
              <w:spacing w:line="460" w:lineRule="exact"/>
              <w:ind w:firstLine="5320" w:firstLineChars="190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年   月   日</w:t>
            </w:r>
          </w:p>
        </w:tc>
      </w:tr>
    </w:tbl>
    <w:p w14:paraId="1B6CDBDA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E3AF3"/>
    <w:rsid w:val="07701543"/>
    <w:rsid w:val="0E5C414B"/>
    <w:rsid w:val="1F5D53A5"/>
    <w:rsid w:val="21805301"/>
    <w:rsid w:val="35AA111A"/>
    <w:rsid w:val="37AB1B65"/>
    <w:rsid w:val="44973997"/>
    <w:rsid w:val="4AC565F9"/>
    <w:rsid w:val="4B87444E"/>
    <w:rsid w:val="4F396F09"/>
    <w:rsid w:val="520E31AE"/>
    <w:rsid w:val="580E3AF3"/>
    <w:rsid w:val="5B965C5B"/>
    <w:rsid w:val="5DE970B0"/>
    <w:rsid w:val="5F67737A"/>
    <w:rsid w:val="64B472D0"/>
    <w:rsid w:val="6EC07540"/>
    <w:rsid w:val="6F0C4B15"/>
    <w:rsid w:val="735D0BD3"/>
    <w:rsid w:val="BFFFB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2784</Words>
  <Characters>3043</Characters>
  <Lines>0</Lines>
  <Paragraphs>0</Paragraphs>
  <TotalTime>7</TotalTime>
  <ScaleCrop>false</ScaleCrop>
  <LinksUpToDate>false</LinksUpToDate>
  <CharactersWithSpaces>3365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2025-04-11T21:18:00Z</dcterms:created>
  <dc:creator>王欢欢</dc:creator>
  <cp:lastModifiedBy>念</cp:lastModifiedBy>
  <dcterms:modified xsi:type="dcterms:W3CDTF">2026-04-24T19:25:24Z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257128D57EA14F2499ECD7FFA907B31D_13</vt:lpwstr>
  </property>
  <property fmtid="{D5CDD505-2E9C-101B-9397-08002B2CF9AE}" pid="4" name="KSOTemplateDocerSaveRecord">
    <vt:lpwstr>eyJoZGlkIjoiMzEwNTM5NzYwMDRjMzkwZTVkZjY2ODkwMGIxNGU0OTUiLCJ1c2VySWQiOiIxMTU4NTAwMzU2In0=</vt:lpwstr>
  </property>
</Properties>
</file>