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-387972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-620382</wp:posOffset>
                </wp:positionH>
                <wp:positionV relativeFrom="line">
                  <wp:posOffset>-732149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工程学院学院《组件化开发课程》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B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296" w:hanging="1296"/>
        <w:jc w:val="center"/>
      </w:pPr>
    </w:p>
    <w:p>
      <w:pPr>
        <w:pStyle w:val="正文 A"/>
        <w:ind w:left="1188" w:hanging="1188"/>
        <w:jc w:val="center"/>
      </w:pPr>
    </w:p>
    <w:p>
      <w:pPr>
        <w:pStyle w:val="正文 A"/>
        <w:ind w:left="1080" w:hanging="1080"/>
        <w:jc w:val="center"/>
      </w:pPr>
    </w:p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-2198040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封装首页</w:t>
      </w:r>
      <w:r>
        <w:rPr>
          <w:rFonts w:ascii="宋体" w:cs="宋体" w:hAnsi="宋体" w:eastAsia="宋体"/>
          <w:rtl w:val="0"/>
          <w:lang w:val="zh-CN" w:eastAsia="zh-CN"/>
        </w:rPr>
        <w:t>轮播组件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本周特价区域商品封装成可滚动的组件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点击购物车按钮增加到购物，并且底部</w:t>
      </w:r>
      <w:r>
        <w:rPr>
          <w:rFonts w:ascii="宋体" w:cs="宋体" w:hAnsi="宋体" w:eastAsia="宋体"/>
          <w:rtl w:val="0"/>
          <w:lang w:val="zh-CN" w:eastAsia="zh-CN"/>
        </w:rPr>
        <w:t>icon</w:t>
      </w:r>
      <w:r>
        <w:rPr>
          <w:rFonts w:ascii="宋体" w:cs="宋体" w:hAnsi="宋体" w:eastAsia="宋体"/>
          <w:rtl w:val="0"/>
          <w:lang w:val="zh-CN" w:eastAsia="zh-CN"/>
        </w:rPr>
        <w:t>数量增加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完成购物车功能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将轮播</w:t>
      </w:r>
      <w:r>
        <w:rPr>
          <w:rFonts w:ascii="宋体" w:cs="宋体" w:hAnsi="宋体" w:eastAsia="宋体"/>
          <w:rtl w:val="0"/>
          <w:lang w:val="zh-CN" w:eastAsia="zh-CN"/>
        </w:rPr>
        <w:t>及本周特价滚动区域划分单独组件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实现项目的基本排版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本周特价区域的购物车</w:t>
      </w:r>
      <w:r>
        <w:rPr>
          <w:rFonts w:ascii="宋体" w:cs="宋体" w:hAnsi="宋体" w:eastAsia="宋体"/>
          <w:rtl w:val="0"/>
          <w:lang w:val="zh-CN" w:eastAsia="zh-CN"/>
        </w:rPr>
        <w:t>icon</w:t>
      </w:r>
      <w:r>
        <w:rPr>
          <w:rFonts w:ascii="宋体" w:cs="宋体" w:hAnsi="宋体" w:eastAsia="宋体"/>
          <w:rtl w:val="0"/>
          <w:lang w:val="zh-CN" w:eastAsia="zh-CN"/>
        </w:rPr>
        <w:t>加入到购物车内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加入</w:t>
      </w:r>
      <w:r>
        <w:rPr>
          <w:rFonts w:ascii="宋体" w:cs="宋体" w:hAnsi="宋体" w:eastAsia="宋体"/>
          <w:rtl w:val="0"/>
          <w:lang w:val="zh-CN" w:eastAsia="zh-CN"/>
        </w:rPr>
        <w:t>购物车的数量底部购物车跟着数量变化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进入</w:t>
      </w:r>
      <w:r>
        <w:rPr>
          <w:rFonts w:ascii="宋体" w:cs="宋体" w:hAnsi="宋体" w:eastAsia="宋体"/>
          <w:rtl w:val="0"/>
          <w:lang w:val="zh-CN" w:eastAsia="zh-CN"/>
        </w:rPr>
        <w:t>购物车页面完成基本排版渲染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加减按钮对数量进行增加和删减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总价</w:t>
      </w:r>
      <w:r>
        <w:rPr>
          <w:rFonts w:ascii="宋体" w:cs="宋体" w:hAnsi="宋体" w:eastAsia="宋体"/>
          <w:rtl w:val="0"/>
          <w:lang w:val="zh-CN" w:eastAsia="zh-CN"/>
        </w:rPr>
        <w:t>跟着数量做相应的改变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自行</w:t>
      </w:r>
      <w:r>
        <w:rPr>
          <w:rFonts w:ascii="宋体" w:cs="宋体" w:hAnsi="宋体" w:eastAsia="宋体"/>
          <w:rtl w:val="0"/>
          <w:lang w:val="zh-CN" w:eastAsia="zh-CN"/>
        </w:rPr>
        <w:t>mock</w:t>
      </w:r>
      <w:r>
        <w:rPr>
          <w:rFonts w:ascii="宋体" w:cs="宋体" w:hAnsi="宋体" w:eastAsia="宋体"/>
          <w:rtl w:val="0"/>
          <w:lang w:val="zh-CN" w:eastAsia="zh-CN"/>
        </w:rPr>
        <w:t>数据合理划分组件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组件代码规范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目录代码结构清晰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