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240"/>
        <w:jc w:val="center"/>
      </w:pPr>
      <w:r>
        <w:rPr>
          <w:rFonts w:ascii="Times New Roman" w:hAnsi="Times New Roman"/>
          <w:b/>
          <w:color w:val="1F4E79"/>
          <w:sz w:val="56"/>
        </w:rPr>
        <w:t>CLOUDREST WINES</w:t>
      </w:r>
    </w:p>
    <w:p>
      <w:pPr>
        <w:jc w:val="center"/>
      </w:pPr>
      <w:r>
        <w:rPr>
          <w:rFonts w:ascii="Times New Roman" w:hAnsi="Times New Roman"/>
          <w:b/>
          <w:color w:val="1F2937"/>
          <w:sz w:val="34"/>
        </w:rPr>
        <w:t>MySQL Database System Design and Implementation</w:t>
      </w:r>
    </w:p>
    <w:p>
      <w:pPr>
        <w:spacing w:after="760"/>
        <w:jc w:val="center"/>
      </w:pPr>
      <w:r>
        <w:rPr>
          <w:rFonts w:ascii="Times New Roman" w:hAnsi="Times New Roman"/>
          <w:i/>
          <w:color w:val="5B6573"/>
          <w:sz w:val="26"/>
        </w:rPr>
        <w:t>Human Resources, Workforce Planning and Wellbeing Perspective</w:t>
      </w:r>
    </w:p>
    <w:p>
      <w:pPr>
        <w:jc w:val="center"/>
      </w:pPr>
      <w:r>
        <w:rPr>
          <w:rFonts w:ascii="Times New Roman" w:hAnsi="Times New Roman"/>
          <w:b/>
          <w:sz w:val="24"/>
        </w:rPr>
        <w:t xml:space="preserve">Course: </w:t>
      </w:r>
      <w:r>
        <w:rPr>
          <w:rFonts w:ascii="Times New Roman" w:hAnsi="Times New Roman"/>
          <w:sz w:val="24"/>
        </w:rPr>
        <w:t>BISM2207 System Development</w:t>
      </w:r>
    </w:p>
    <w:p>
      <w:pPr>
        <w:jc w:val="center"/>
      </w:pPr>
      <w:r>
        <w:rPr>
          <w:rFonts w:ascii="Times New Roman" w:hAnsi="Times New Roman"/>
          <w:b/>
          <w:sz w:val="24"/>
        </w:rPr>
        <w:t xml:space="preserve">Team / company: </w:t>
      </w:r>
      <w:r>
        <w:rPr>
          <w:rFonts w:ascii="Times New Roman" w:hAnsi="Times New Roman"/>
          <w:sz w:val="24"/>
        </w:rPr>
        <w:t>Cloudrest Wines</w:t>
      </w:r>
    </w:p>
    <w:p>
      <w:pPr>
        <w:jc w:val="center"/>
      </w:pPr>
      <w:r>
        <w:rPr>
          <w:rFonts w:ascii="Times New Roman" w:hAnsi="Times New Roman"/>
          <w:b/>
          <w:sz w:val="24"/>
        </w:rPr>
        <w:t xml:space="preserve">Contributors: </w:t>
      </w:r>
      <w:r>
        <w:rPr>
          <w:rFonts w:ascii="Times New Roman" w:hAnsi="Times New Roman"/>
          <w:sz w:val="24"/>
        </w:rPr>
        <w:t>Mia | Zora | Rianna | 1</w:t>
      </w:r>
    </w:p>
    <w:p>
      <w:pPr>
        <w:jc w:val="center"/>
      </w:pPr>
      <w:r>
        <w:rPr>
          <w:rFonts w:ascii="Times New Roman" w:hAnsi="Times New Roman"/>
          <w:b/>
          <w:sz w:val="24"/>
        </w:rPr>
        <w:t xml:space="preserve">Database: </w:t>
      </w:r>
      <w:r>
        <w:rPr>
          <w:rFonts w:ascii="Times New Roman" w:hAnsi="Times New Roman"/>
          <w:sz w:val="24"/>
        </w:rPr>
        <w:t>MySQL 8.4.x / MySQL Workbench</w:t>
      </w:r>
    </w:p>
    <w:p>
      <w:pPr>
        <w:jc w:val="center"/>
      </w:pPr>
      <w:r>
        <w:rPr>
          <w:rFonts w:ascii="Times New Roman" w:hAnsi="Times New Roman"/>
          <w:b/>
          <w:sz w:val="24"/>
        </w:rPr>
        <w:t xml:space="preserve">Submission date: </w:t>
      </w:r>
      <w:r>
        <w:rPr>
          <w:rFonts w:ascii="Times New Roman" w:hAnsi="Times New Roman"/>
          <w:sz w:val="24"/>
        </w:rPr>
        <w:t>[STUDENT TO COMPLETE]</w:t>
      </w:r>
    </w:p>
    <w:p>
      <w:pPr>
        <w:spacing w:before="1000"/>
        <w:jc w:val="center"/>
      </w:pPr>
      <w:r>
        <w:rPr>
          <w:rFonts w:ascii="Times New Roman" w:hAnsi="Times New Roman"/>
          <w:i/>
          <w:color w:val="9B1C1C"/>
          <w:sz w:val="20"/>
        </w:rPr>
        <w:t>Assessment draft — replace all bracketed course-dependent items before submission</w:t>
      </w:r>
    </w:p>
    <w:p>
      <w:r>
        <w:br w:type="page"/>
      </w:r>
    </w:p>
    <w:p>
      <w:pPr>
        <w:pStyle w:val="Heading1"/>
      </w:pPr>
      <w:r>
        <w:t>Document status and required student completion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Important: </w:t>
            </w:r>
            <w:r>
              <w:rPr>
                <w:rFonts w:ascii="Times New Roman" w:hAnsi="Times New Roman"/>
                <w:sz w:val="20"/>
              </w:rPr>
              <w:t>This report contains all work currently possible from the supplied PDFs and validated local database. The official A2 workbook, Week 11 scenario, final Workbench screenshots, genuine group contribution dates, video and RiPPlE peer reviews are not available and are explicitly marked rather than fabricated.</w:t>
            </w:r>
          </w:p>
        </w:tc>
        <w:trPr>
          <w:tblHeader/>
        </w:trPr>
      </w:tr>
    </w:tbl>
    <w:p>
      <w:pPr>
        <w:spacing w:after="0"/>
      </w:pPr>
    </w:p>
    <w:p>
      <w:pPr>
        <w:pStyle w:val="Heading2"/>
      </w:pPr>
      <w:r>
        <w:t>AI use declaration</w:t>
      </w:r>
    </w:p>
    <w:tbl>
      <w:tblPr>
        <w:tblStyle w:val="TableGrid"/>
        <w:tblW w:type="dxa" w:w="9360"/>
        <w:tblLayout w:type="fixed"/>
        <w:tblLook w:firstColumn="1" w:firstRow="1" w:lastColumn="0" w:lastRow="0" w:noHBand="0" w:noVBand="1" w:val="04A0"/>
        <w:tblInd w:w="120" w:type="dxa"/>
      </w:tblPr>
      <w:tblGrid>
        <w:gridCol w:w="600"/>
        <w:gridCol w:w="2200"/>
        <w:gridCol w:w="6560"/>
      </w:tblGrid>
      <w:tr>
        <w:trPr>
          <w:tblHeader w:val="true"/>
        </w:trPr>
        <w:tc>
          <w:tcPr>
            <w:tcW w:type="dxa" w:w="600"/>
            <w:shd w:fill="DCE6F1"/>
            <w:vAlign w:val="center"/>
            <w:tcMar>
              <w:top w:w="80" w:type="dxa"/>
              <w:start w:w="100" w:type="dxa"/>
              <w:bottom w:w="80" w:type="dxa"/>
              <w:end w:w="100" w:type="dxa"/>
            </w:tcMar>
          </w:tcPr>
          <w:p>
            <w:pPr>
              <w:jc w:val="center"/>
            </w:pPr>
            <w:r>
              <w:rPr>
                <w:rFonts w:ascii="Times New Roman" w:hAnsi="Times New Roman"/>
                <w:b/>
                <w:color w:val="1F2937"/>
                <w:sz w:val="18"/>
              </w:rPr>
              <w:t>Task</w:t>
            </w:r>
          </w:p>
        </w:tc>
        <w:tc>
          <w:tcPr>
            <w:tcW w:type="dxa" w:w="2200"/>
            <w:shd w:fill="DCE6F1"/>
            <w:vAlign w:val="center"/>
            <w:tcMar>
              <w:top w:w="80" w:type="dxa"/>
              <w:start w:w="100" w:type="dxa"/>
              <w:bottom w:w="80" w:type="dxa"/>
              <w:end w:w="100" w:type="dxa"/>
            </w:tcMar>
          </w:tcPr>
          <w:p>
            <w:pPr>
              <w:jc w:val="center"/>
            </w:pPr>
            <w:r>
              <w:rPr>
                <w:rFonts w:ascii="Times New Roman" w:hAnsi="Times New Roman"/>
                <w:b/>
                <w:color w:val="1F2937"/>
                <w:sz w:val="18"/>
              </w:rPr>
              <w:t>AI used for</w:t>
            </w:r>
          </w:p>
        </w:tc>
        <w:tc>
          <w:tcPr>
            <w:tcW w:type="dxa" w:w="6560"/>
            <w:shd w:fill="DCE6F1"/>
            <w:vAlign w:val="center"/>
            <w:tcMar>
              <w:top w:w="80" w:type="dxa"/>
              <w:start w:w="100" w:type="dxa"/>
              <w:bottom w:w="80" w:type="dxa"/>
              <w:end w:w="100" w:type="dxa"/>
            </w:tcMar>
          </w:tcPr>
          <w:p>
            <w:pPr>
              <w:jc w:val="center"/>
            </w:pPr>
            <w:r>
              <w:rPr>
                <w:rFonts w:ascii="Times New Roman" w:hAnsi="Times New Roman"/>
                <w:b/>
                <w:color w:val="1F2937"/>
                <w:sz w:val="18"/>
              </w:rPr>
              <w:t>Human validation / limitation</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1</w:t>
            </w:r>
          </w:p>
        </w:tc>
        <w:tc>
          <w:tcPr>
            <w:tcW w:type="dxa" w:w="2200"/>
            <w:vAlign w:val="center"/>
            <w:tcMar>
              <w:top w:w="80" w:type="dxa"/>
              <w:start w:w="100" w:type="dxa"/>
              <w:bottom w:w="80" w:type="dxa"/>
              <w:end w:w="100" w:type="dxa"/>
            </w:tcMar>
          </w:tcPr>
          <w:p>
            <w:pPr>
              <w:spacing w:after="0"/>
            </w:pPr>
            <w:r>
              <w:rPr>
                <w:rFonts w:ascii="Times New Roman" w:hAnsi="Times New Roman"/>
                <w:sz w:val="18"/>
              </w:rPr>
              <w:t>Planning</w:t>
            </w:r>
          </w:p>
        </w:tc>
        <w:tc>
          <w:tcPr>
            <w:tcW w:type="dxa" w:w="6560"/>
            <w:vAlign w:val="center"/>
            <w:tcMar>
              <w:top w:w="80" w:type="dxa"/>
              <w:start w:w="100" w:type="dxa"/>
              <w:bottom w:w="80" w:type="dxa"/>
              <w:end w:w="100" w:type="dxa"/>
            </w:tcMar>
          </w:tcPr>
          <w:p>
            <w:pPr>
              <w:spacing w:after="0"/>
            </w:pPr>
            <w:r>
              <w:rPr>
                <w:rFonts w:ascii="Times New Roman" w:hAnsi="Times New Roman"/>
                <w:sz w:val="18"/>
              </w:rPr>
              <w:t>Sequencing/risk suggestions; team must confirm dates and ownership.</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2</w:t>
            </w:r>
          </w:p>
        </w:tc>
        <w:tc>
          <w:tcPr>
            <w:tcW w:type="dxa" w:w="2200"/>
            <w:vAlign w:val="center"/>
            <w:tcMar>
              <w:top w:w="80" w:type="dxa"/>
              <w:start w:w="100" w:type="dxa"/>
              <w:bottom w:w="80" w:type="dxa"/>
              <w:end w:w="100" w:type="dxa"/>
            </w:tcMar>
          </w:tcPr>
          <w:p>
            <w:pPr>
              <w:spacing w:after="0"/>
            </w:pPr>
            <w:r>
              <w:rPr>
                <w:rFonts w:ascii="Times New Roman" w:hAnsi="Times New Roman"/>
                <w:sz w:val="18"/>
              </w:rPr>
              <w:t>Design decisions</w:t>
            </w:r>
          </w:p>
        </w:tc>
        <w:tc>
          <w:tcPr>
            <w:tcW w:type="dxa" w:w="6560"/>
            <w:vAlign w:val="center"/>
            <w:tcMar>
              <w:top w:w="80" w:type="dxa"/>
              <w:start w:w="100" w:type="dxa"/>
              <w:bottom w:w="80" w:type="dxa"/>
              <w:end w:w="100" w:type="dxa"/>
            </w:tcMar>
          </w:tcPr>
          <w:p>
            <w:pPr>
              <w:spacing w:after="0"/>
            </w:pPr>
            <w:r>
              <w:rPr>
                <w:rFonts w:ascii="Times New Roman" w:hAnsi="Times New Roman"/>
                <w:sz w:val="18"/>
              </w:rPr>
              <w:t>Alternatives and critique; decisions validated against case and schema.</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3</w:t>
            </w:r>
          </w:p>
        </w:tc>
        <w:tc>
          <w:tcPr>
            <w:tcW w:type="dxa" w:w="2200"/>
            <w:vAlign w:val="center"/>
            <w:tcMar>
              <w:top w:w="80" w:type="dxa"/>
              <w:start w:w="100" w:type="dxa"/>
              <w:bottom w:w="80" w:type="dxa"/>
              <w:end w:w="100" w:type="dxa"/>
            </w:tcMar>
          </w:tcPr>
          <w:p>
            <w:pPr>
              <w:spacing w:after="0"/>
            </w:pPr>
            <w:r>
              <w:rPr>
                <w:rFonts w:ascii="Times New Roman" w:hAnsi="Times New Roman"/>
                <w:sz w:val="18"/>
              </w:rPr>
              <w:t>Functionality/rules</w:t>
            </w:r>
          </w:p>
        </w:tc>
        <w:tc>
          <w:tcPr>
            <w:tcW w:type="dxa" w:w="6560"/>
            <w:vAlign w:val="center"/>
            <w:tcMar>
              <w:top w:w="80" w:type="dxa"/>
              <w:start w:w="100" w:type="dxa"/>
              <w:bottom w:w="80" w:type="dxa"/>
              <w:end w:w="100" w:type="dxa"/>
            </w:tcMar>
          </w:tcPr>
          <w:p>
            <w:pPr>
              <w:spacing w:after="0"/>
            </w:pPr>
            <w:r>
              <w:rPr>
                <w:rFonts w:ascii="Times New Roman" w:hAnsi="Times New Roman"/>
                <w:sz w:val="18"/>
              </w:rPr>
              <w:t>Drafting and SQL alternatives; rules executed in MySQL.</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4</w:t>
            </w:r>
          </w:p>
        </w:tc>
        <w:tc>
          <w:tcPr>
            <w:tcW w:type="dxa" w:w="2200"/>
            <w:vAlign w:val="center"/>
            <w:tcMar>
              <w:top w:w="80" w:type="dxa"/>
              <w:start w:w="100" w:type="dxa"/>
              <w:bottom w:w="80" w:type="dxa"/>
              <w:end w:w="100" w:type="dxa"/>
            </w:tcMar>
          </w:tcPr>
          <w:p>
            <w:pPr>
              <w:spacing w:after="0"/>
            </w:pPr>
            <w:r>
              <w:rPr>
                <w:rFonts w:ascii="Times New Roman" w:hAnsi="Times New Roman"/>
                <w:sz w:val="18"/>
              </w:rPr>
              <w:t>ER model</w:t>
            </w:r>
          </w:p>
        </w:tc>
        <w:tc>
          <w:tcPr>
            <w:tcW w:type="dxa" w:w="6560"/>
            <w:vAlign w:val="center"/>
            <w:tcMar>
              <w:top w:w="80" w:type="dxa"/>
              <w:start w:w="100" w:type="dxa"/>
              <w:bottom w:w="80" w:type="dxa"/>
              <w:end w:w="100" w:type="dxa"/>
            </w:tcMar>
          </w:tcPr>
          <w:p>
            <w:pPr>
              <w:spacing w:after="0"/>
            </w:pPr>
            <w:r>
              <w:rPr>
                <w:rFonts w:ascii="Times New Roman" w:hAnsi="Times New Roman"/>
                <w:sz w:val="18"/>
              </w:rPr>
              <w:t>Schema-to-Workbench automation; structure derived from validated SQL.</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5</w:t>
            </w:r>
          </w:p>
        </w:tc>
        <w:tc>
          <w:tcPr>
            <w:tcW w:type="dxa" w:w="2200"/>
            <w:vAlign w:val="center"/>
            <w:tcMar>
              <w:top w:w="80" w:type="dxa"/>
              <w:start w:w="100" w:type="dxa"/>
              <w:bottom w:w="80" w:type="dxa"/>
              <w:end w:w="100" w:type="dxa"/>
            </w:tcMar>
          </w:tcPr>
          <w:p>
            <w:pPr>
              <w:spacing w:after="0"/>
            </w:pPr>
            <w:r>
              <w:rPr>
                <w:rFonts w:ascii="Times New Roman" w:hAnsi="Times New Roman"/>
                <w:sz w:val="18"/>
              </w:rPr>
              <w:t>Data dictionary</w:t>
            </w:r>
          </w:p>
        </w:tc>
        <w:tc>
          <w:tcPr>
            <w:tcW w:type="dxa" w:w="6560"/>
            <w:vAlign w:val="center"/>
            <w:tcMar>
              <w:top w:w="80" w:type="dxa"/>
              <w:start w:w="100" w:type="dxa"/>
              <w:bottom w:w="80" w:type="dxa"/>
              <w:end w:w="100" w:type="dxa"/>
            </w:tcMar>
          </w:tcPr>
          <w:p>
            <w:pPr>
              <w:spacing w:after="0"/>
            </w:pPr>
            <w:r>
              <w:rPr>
                <w:rFonts w:ascii="Times New Roman" w:hAnsi="Times New Roman"/>
                <w:sz w:val="18"/>
              </w:rPr>
              <w:t>Mechanical extraction from information_schema; wording reviewed.</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6</w:t>
            </w:r>
          </w:p>
        </w:tc>
        <w:tc>
          <w:tcPr>
            <w:tcW w:type="dxa" w:w="2200"/>
            <w:vAlign w:val="center"/>
            <w:tcMar>
              <w:top w:w="80" w:type="dxa"/>
              <w:start w:w="100" w:type="dxa"/>
              <w:bottom w:w="80" w:type="dxa"/>
              <w:end w:w="100" w:type="dxa"/>
            </w:tcMar>
          </w:tcPr>
          <w:p>
            <w:pPr>
              <w:spacing w:after="0"/>
            </w:pPr>
            <w:r>
              <w:rPr>
                <w:rFonts w:ascii="Times New Roman" w:hAnsi="Times New Roman"/>
                <w:sz w:val="18"/>
              </w:rPr>
              <w:t>Data quality</w:t>
            </w:r>
          </w:p>
        </w:tc>
        <w:tc>
          <w:tcPr>
            <w:tcW w:type="dxa" w:w="6560"/>
            <w:vAlign w:val="center"/>
            <w:tcMar>
              <w:top w:w="80" w:type="dxa"/>
              <w:start w:w="100" w:type="dxa"/>
              <w:bottom w:w="80" w:type="dxa"/>
              <w:end w:w="100" w:type="dxa"/>
            </w:tcMar>
          </w:tcPr>
          <w:p>
            <w:pPr>
              <w:spacing w:after="0"/>
            </w:pPr>
            <w:r>
              <w:rPr>
                <w:rFonts w:ascii="Times New Roman" w:hAnsi="Times New Roman"/>
                <w:sz w:val="18"/>
              </w:rPr>
              <w:t>Framework/test data; official workbook analysis pending.</w:t>
            </w:r>
          </w:p>
        </w:tc>
      </w:tr>
      <w:tr>
        <w:tc>
          <w:tcPr>
            <w:tcW w:type="dxa" w:w="600"/>
            <w:vAlign w:val="center"/>
            <w:tcMar>
              <w:top w:w="80" w:type="dxa"/>
              <w:start w:w="100" w:type="dxa"/>
              <w:bottom w:w="80" w:type="dxa"/>
              <w:end w:w="100" w:type="dxa"/>
            </w:tcMar>
          </w:tcPr>
          <w:p>
            <w:pPr>
              <w:spacing w:after="0"/>
            </w:pPr>
            <w:r>
              <w:rPr>
                <w:rFonts w:ascii="Times New Roman" w:hAnsi="Times New Roman"/>
                <w:sz w:val="18"/>
              </w:rPr>
              <w:t>7</w:t>
            </w:r>
          </w:p>
        </w:tc>
        <w:tc>
          <w:tcPr>
            <w:tcW w:type="dxa" w:w="2200"/>
            <w:vAlign w:val="center"/>
            <w:tcMar>
              <w:top w:w="80" w:type="dxa"/>
              <w:start w:w="100" w:type="dxa"/>
              <w:bottom w:w="80" w:type="dxa"/>
              <w:end w:w="100" w:type="dxa"/>
            </w:tcMar>
          </w:tcPr>
          <w:p>
            <w:pPr>
              <w:spacing w:after="0"/>
            </w:pPr>
            <w:r>
              <w:rPr>
                <w:rFonts w:ascii="Times New Roman" w:hAnsi="Times New Roman"/>
                <w:sz w:val="18"/>
              </w:rPr>
              <w:t>Queries</w:t>
            </w:r>
          </w:p>
        </w:tc>
        <w:tc>
          <w:tcPr>
            <w:tcW w:type="dxa" w:w="6560"/>
            <w:vAlign w:val="center"/>
            <w:tcMar>
              <w:top w:w="80" w:type="dxa"/>
              <w:start w:w="100" w:type="dxa"/>
              <w:bottom w:w="80" w:type="dxa"/>
              <w:end w:w="100" w:type="dxa"/>
            </w:tcMar>
          </w:tcPr>
          <w:p>
            <w:pPr>
              <w:spacing w:after="0"/>
            </w:pPr>
            <w:r>
              <w:rPr>
                <w:rFonts w:ascii="Times New Roman" w:hAnsi="Times New Roman"/>
                <w:sz w:val="18"/>
              </w:rPr>
              <w:t>SQL drafting/critique; all outputs independently executed.</w:t>
            </w:r>
          </w:p>
        </w:tc>
      </w:tr>
    </w:tbl>
    <w:p>
      <w:pPr>
        <w:spacing w:after="0"/>
      </w:pPr>
    </w:p>
    <w:p>
      <w:r>
        <w:br w:type="page"/>
      </w:r>
    </w:p>
    <w:p>
      <w:pPr>
        <w:pStyle w:val="Heading1"/>
      </w:pPr>
      <w:r>
        <w:t>Task 1 — Project Plan with Risk Register</w:t>
      </w:r>
    </w:p>
    <w:tbl>
      <w:tblPr>
        <w:tblStyle w:val="TableGrid"/>
        <w:tblW w:type="dxa" w:w="9360"/>
        <w:tblLayout w:type="fixed"/>
        <w:tblLook w:firstColumn="1" w:firstRow="1" w:lastColumn="0" w:lastRow="0" w:noHBand="0" w:noVBand="1" w:val="04A0"/>
        <w:tblInd w:w="120" w:type="dxa"/>
      </w:tblPr>
      <w:tblGrid>
        <w:gridCol w:w="1150"/>
        <w:gridCol w:w="850"/>
        <w:gridCol w:w="350"/>
        <w:gridCol w:w="550"/>
        <w:gridCol w:w="900"/>
        <w:gridCol w:w="950"/>
        <w:gridCol w:w="2800"/>
        <w:gridCol w:w="1810"/>
      </w:tblGrid>
      <w:tr>
        <w:trPr>
          <w:tblHeader w:val="true"/>
        </w:trPr>
        <w:tc>
          <w:tcPr>
            <w:tcW w:type="dxa" w:w="1150"/>
            <w:shd w:fill="DCE6F1"/>
            <w:vAlign w:val="center"/>
            <w:tcMar>
              <w:top w:w="80" w:type="dxa"/>
              <w:start w:w="100" w:type="dxa"/>
              <w:bottom w:w="80" w:type="dxa"/>
              <w:end w:w="100" w:type="dxa"/>
            </w:tcMar>
          </w:tcPr>
          <w:p>
            <w:pPr>
              <w:jc w:val="center"/>
            </w:pPr>
            <w:r>
              <w:rPr>
                <w:rFonts w:ascii="Times New Roman" w:hAnsi="Times New Roman"/>
                <w:b/>
                <w:color w:val="1F2937"/>
                <w:sz w:val="14"/>
              </w:rPr>
              <w:t>Task</w:t>
            </w:r>
          </w:p>
        </w:tc>
        <w:tc>
          <w:tcPr>
            <w:tcW w:type="dxa" w:w="850"/>
            <w:shd w:fill="DCE6F1"/>
            <w:vAlign w:val="center"/>
            <w:tcMar>
              <w:top w:w="80" w:type="dxa"/>
              <w:start w:w="100" w:type="dxa"/>
              <w:bottom w:w="80" w:type="dxa"/>
              <w:end w:w="100" w:type="dxa"/>
            </w:tcMar>
          </w:tcPr>
          <w:p>
            <w:pPr>
              <w:jc w:val="center"/>
            </w:pPr>
            <w:r>
              <w:rPr>
                <w:rFonts w:ascii="Times New Roman" w:hAnsi="Times New Roman"/>
                <w:b/>
                <w:color w:val="1F2937"/>
                <w:sz w:val="14"/>
              </w:rPr>
              <w:t>Owner</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4"/>
              </w:rPr>
              <w:t>h</w:t>
            </w:r>
          </w:p>
        </w:tc>
        <w:tc>
          <w:tcPr>
            <w:tcW w:type="dxa" w:w="550"/>
            <w:shd w:fill="DCE6F1"/>
            <w:vAlign w:val="center"/>
            <w:tcMar>
              <w:top w:w="80" w:type="dxa"/>
              <w:start w:w="100" w:type="dxa"/>
              <w:bottom w:w="80" w:type="dxa"/>
              <w:end w:w="100" w:type="dxa"/>
            </w:tcMar>
          </w:tcPr>
          <w:p>
            <w:pPr>
              <w:jc w:val="center"/>
            </w:pPr>
            <w:r>
              <w:rPr>
                <w:rFonts w:ascii="Times New Roman" w:hAnsi="Times New Roman"/>
                <w:b/>
                <w:color w:val="1F2937"/>
                <w:sz w:val="14"/>
              </w:rPr>
              <w:t>Target</w:t>
            </w:r>
          </w:p>
        </w:tc>
        <w:tc>
          <w:tcPr>
            <w:tcW w:type="dxa" w:w="900"/>
            <w:shd w:fill="DCE6F1"/>
            <w:vAlign w:val="center"/>
            <w:tcMar>
              <w:top w:w="80" w:type="dxa"/>
              <w:start w:w="100" w:type="dxa"/>
              <w:bottom w:w="80" w:type="dxa"/>
              <w:end w:w="100" w:type="dxa"/>
            </w:tcMar>
          </w:tcPr>
          <w:p>
            <w:pPr>
              <w:jc w:val="center"/>
            </w:pPr>
            <w:r>
              <w:rPr>
                <w:rFonts w:ascii="Times New Roman" w:hAnsi="Times New Roman"/>
                <w:b/>
                <w:color w:val="1F2937"/>
                <w:sz w:val="14"/>
              </w:rPr>
              <w:t>Status</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4"/>
              </w:rPr>
              <w:t>Risk</w:t>
            </w:r>
          </w:p>
        </w:tc>
        <w:tc>
          <w:tcPr>
            <w:tcW w:type="dxa" w:w="2800"/>
            <w:shd w:fill="DCE6F1"/>
            <w:vAlign w:val="center"/>
            <w:tcMar>
              <w:top w:w="80" w:type="dxa"/>
              <w:start w:w="100" w:type="dxa"/>
              <w:bottom w:w="80" w:type="dxa"/>
              <w:end w:w="100" w:type="dxa"/>
            </w:tcMar>
          </w:tcPr>
          <w:p>
            <w:pPr>
              <w:jc w:val="center"/>
            </w:pPr>
            <w:r>
              <w:rPr>
                <w:rFonts w:ascii="Times New Roman" w:hAnsi="Times New Roman"/>
                <w:b/>
                <w:color w:val="1F2937"/>
                <w:sz w:val="14"/>
              </w:rPr>
              <w:t>Mitigation</w:t>
            </w:r>
          </w:p>
        </w:tc>
        <w:tc>
          <w:tcPr>
            <w:tcW w:type="dxa" w:w="1810"/>
            <w:shd w:fill="DCE6F1"/>
            <w:vAlign w:val="center"/>
            <w:tcMar>
              <w:top w:w="80" w:type="dxa"/>
              <w:start w:w="100" w:type="dxa"/>
              <w:bottom w:w="80" w:type="dxa"/>
              <w:end w:w="100" w:type="dxa"/>
            </w:tcMar>
          </w:tcPr>
          <w:p>
            <w:pPr>
              <w:jc w:val="center"/>
            </w:pPr>
            <w:r>
              <w:rPr>
                <w:rFonts w:ascii="Times New Roman" w:hAnsi="Times New Roman"/>
                <w:b/>
                <w:color w:val="1F2937"/>
                <w:sz w:val="14"/>
              </w:rPr>
              <w:t>AI use</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Case requirements</w:t>
            </w:r>
          </w:p>
        </w:tc>
        <w:tc>
          <w:tcPr>
            <w:tcW w:type="dxa" w:w="850"/>
            <w:vAlign w:val="center"/>
            <w:tcMar>
              <w:top w:w="80" w:type="dxa"/>
              <w:start w:w="100" w:type="dxa"/>
              <w:bottom w:w="80" w:type="dxa"/>
              <w:end w:w="100" w:type="dxa"/>
            </w:tcMar>
          </w:tcPr>
          <w:p>
            <w:pPr>
              <w:spacing w:after="0"/>
            </w:pPr>
            <w:r>
              <w:rPr>
                <w:rFonts w:ascii="Times New Roman" w:hAnsi="Times New Roman"/>
                <w:sz w:val="14"/>
              </w:rPr>
              <w:t>Mia</w:t>
            </w:r>
          </w:p>
        </w:tc>
        <w:tc>
          <w:tcPr>
            <w:tcW w:type="dxa" w:w="350"/>
            <w:vAlign w:val="center"/>
            <w:tcMar>
              <w:top w:w="80" w:type="dxa"/>
              <w:start w:w="100" w:type="dxa"/>
              <w:bottom w:w="80" w:type="dxa"/>
              <w:end w:w="100" w:type="dxa"/>
            </w:tcMar>
          </w:tcPr>
          <w:p>
            <w:pPr>
              <w:spacing w:after="0"/>
            </w:pPr>
            <w:r>
              <w:rPr>
                <w:rFonts w:ascii="Times New Roman" w:hAnsi="Times New Roman"/>
                <w:sz w:val="14"/>
              </w:rPr>
              <w:t>8</w:t>
            </w:r>
          </w:p>
        </w:tc>
        <w:tc>
          <w:tcPr>
            <w:tcW w:type="dxa" w:w="550"/>
            <w:vAlign w:val="center"/>
            <w:tcMar>
              <w:top w:w="80" w:type="dxa"/>
              <w:start w:w="100" w:type="dxa"/>
              <w:bottom w:w="80" w:type="dxa"/>
              <w:end w:w="100" w:type="dxa"/>
            </w:tcMar>
          </w:tcPr>
          <w:p>
            <w:pPr>
              <w:spacing w:after="0"/>
            </w:pPr>
            <w:r>
              <w:rPr>
                <w:rFonts w:ascii="Times New Roman" w:hAnsi="Times New Roman"/>
                <w:sz w:val="14"/>
              </w:rPr>
              <w:t>W4</w:t>
            </w:r>
          </w:p>
        </w:tc>
        <w:tc>
          <w:tcPr>
            <w:tcW w:type="dxa" w:w="900"/>
            <w:vAlign w:val="center"/>
            <w:tcMar>
              <w:top w:w="80" w:type="dxa"/>
              <w:start w:w="100" w:type="dxa"/>
              <w:bottom w:w="80" w:type="dxa"/>
              <w:end w:w="100" w:type="dxa"/>
            </w:tcMar>
          </w:tcPr>
          <w:p>
            <w:pPr>
              <w:spacing w:after="0"/>
            </w:pPr>
            <w:r>
              <w:rPr>
                <w:rFonts w:ascii="Times New Roman" w:hAnsi="Times New Roman"/>
                <w:sz w:val="14"/>
              </w:rPr>
              <w:t>Pending</w:t>
            </w:r>
          </w:p>
        </w:tc>
        <w:tc>
          <w:tcPr>
            <w:tcW w:type="dxa" w:w="950"/>
            <w:vAlign w:val="center"/>
            <w:tcMar>
              <w:top w:w="80" w:type="dxa"/>
              <w:start w:w="100" w:type="dxa"/>
              <w:bottom w:w="80" w:type="dxa"/>
              <w:end w:w="100" w:type="dxa"/>
            </w:tcMar>
          </w:tcPr>
          <w:p>
            <w:pPr>
              <w:spacing w:after="0"/>
            </w:pPr>
            <w:r>
              <w:rPr>
                <w:rFonts w:ascii="Times New Roman" w:hAnsi="Times New Roman"/>
                <w:sz w:val="14"/>
              </w:rPr>
              <w:t>Omission</w:t>
            </w:r>
          </w:p>
        </w:tc>
        <w:tc>
          <w:tcPr>
            <w:tcW w:type="dxa" w:w="2800"/>
            <w:vAlign w:val="center"/>
            <w:tcMar>
              <w:top w:w="80" w:type="dxa"/>
              <w:start w:w="100" w:type="dxa"/>
              <w:bottom w:w="80" w:type="dxa"/>
              <w:end w:w="100" w:type="dxa"/>
            </w:tcMar>
          </w:tcPr>
          <w:p>
            <w:pPr>
              <w:spacing w:after="0"/>
            </w:pPr>
            <w:r>
              <w:rPr>
                <w:rFonts w:ascii="Times New Roman" w:hAnsi="Times New Roman"/>
                <w:sz w:val="14"/>
              </w:rPr>
              <w:t>Traceability matrix</w:t>
            </w:r>
          </w:p>
        </w:tc>
        <w:tc>
          <w:tcPr>
            <w:tcW w:type="dxa" w:w="1810"/>
            <w:vAlign w:val="center"/>
            <w:tcMar>
              <w:top w:w="80" w:type="dxa"/>
              <w:start w:w="100" w:type="dxa"/>
              <w:bottom w:w="80" w:type="dxa"/>
              <w:end w:w="100" w:type="dxa"/>
            </w:tcMar>
          </w:tcPr>
          <w:p>
            <w:pPr>
              <w:spacing w:after="0"/>
            </w:pPr>
            <w:r>
              <w:rPr>
                <w:rFonts w:ascii="Times New Roman" w:hAnsi="Times New Roman"/>
                <w:sz w:val="14"/>
              </w:rPr>
              <w:t>Extraction/check</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HR scope/KPIs</w:t>
            </w:r>
          </w:p>
        </w:tc>
        <w:tc>
          <w:tcPr>
            <w:tcW w:type="dxa" w:w="850"/>
            <w:vAlign w:val="center"/>
            <w:tcMar>
              <w:top w:w="80" w:type="dxa"/>
              <w:start w:w="100" w:type="dxa"/>
              <w:bottom w:w="80" w:type="dxa"/>
              <w:end w:w="100" w:type="dxa"/>
            </w:tcMar>
          </w:tcPr>
          <w:p>
            <w:pPr>
              <w:spacing w:after="0"/>
            </w:pPr>
            <w:r>
              <w:rPr>
                <w:rFonts w:ascii="Times New Roman" w:hAnsi="Times New Roman"/>
                <w:sz w:val="14"/>
              </w:rPr>
              <w:t>Mia / Rianna</w:t>
            </w:r>
          </w:p>
        </w:tc>
        <w:tc>
          <w:tcPr>
            <w:tcW w:type="dxa" w:w="350"/>
            <w:vAlign w:val="center"/>
            <w:tcMar>
              <w:top w:w="80" w:type="dxa"/>
              <w:start w:w="100" w:type="dxa"/>
              <w:bottom w:w="80" w:type="dxa"/>
              <w:end w:w="100" w:type="dxa"/>
            </w:tcMar>
          </w:tcPr>
          <w:p>
            <w:pPr>
              <w:spacing w:after="0"/>
            </w:pPr>
            <w:r>
              <w:rPr>
                <w:rFonts w:ascii="Times New Roman" w:hAnsi="Times New Roman"/>
                <w:sz w:val="14"/>
              </w:rPr>
              <w:t>5</w:t>
            </w:r>
          </w:p>
        </w:tc>
        <w:tc>
          <w:tcPr>
            <w:tcW w:type="dxa" w:w="550"/>
            <w:vAlign w:val="center"/>
            <w:tcMar>
              <w:top w:w="80" w:type="dxa"/>
              <w:start w:w="100" w:type="dxa"/>
              <w:bottom w:w="80" w:type="dxa"/>
              <w:end w:w="100" w:type="dxa"/>
            </w:tcMar>
          </w:tcPr>
          <w:p>
            <w:pPr>
              <w:spacing w:after="0"/>
            </w:pPr>
            <w:r>
              <w:rPr>
                <w:rFonts w:ascii="Times New Roman" w:hAnsi="Times New Roman"/>
                <w:sz w:val="14"/>
              </w:rPr>
              <w:t>W4</w:t>
            </w:r>
          </w:p>
        </w:tc>
        <w:tc>
          <w:tcPr>
            <w:tcW w:type="dxa" w:w="900"/>
            <w:vAlign w:val="center"/>
            <w:tcMar>
              <w:top w:w="80" w:type="dxa"/>
              <w:start w:w="100" w:type="dxa"/>
              <w:bottom w:w="80" w:type="dxa"/>
              <w:end w:w="100" w:type="dxa"/>
            </w:tcMar>
          </w:tcPr>
          <w:p>
            <w:pPr>
              <w:spacing w:after="0"/>
            </w:pPr>
            <w:r>
              <w:rPr>
                <w:rFonts w:ascii="Times New Roman" w:hAnsi="Times New Roman"/>
                <w:sz w:val="14"/>
              </w:rPr>
              <w:t>Pending</w:t>
            </w:r>
          </w:p>
        </w:tc>
        <w:tc>
          <w:tcPr>
            <w:tcW w:type="dxa" w:w="950"/>
            <w:vAlign w:val="center"/>
            <w:tcMar>
              <w:top w:w="80" w:type="dxa"/>
              <w:start w:w="100" w:type="dxa"/>
              <w:bottom w:w="80" w:type="dxa"/>
              <w:end w:w="100" w:type="dxa"/>
            </w:tcMar>
          </w:tcPr>
          <w:p>
            <w:pPr>
              <w:spacing w:after="0"/>
            </w:pPr>
            <w:r>
              <w:rPr>
                <w:rFonts w:ascii="Times New Roman" w:hAnsi="Times New Roman"/>
                <w:sz w:val="14"/>
              </w:rPr>
              <w:t>Not calculable</w:t>
            </w:r>
          </w:p>
        </w:tc>
        <w:tc>
          <w:tcPr>
            <w:tcW w:type="dxa" w:w="2800"/>
            <w:vAlign w:val="center"/>
            <w:tcMar>
              <w:top w:w="80" w:type="dxa"/>
              <w:start w:w="100" w:type="dxa"/>
              <w:bottom w:w="80" w:type="dxa"/>
              <w:end w:w="100" w:type="dxa"/>
            </w:tcMar>
          </w:tcPr>
          <w:p>
            <w:pPr>
              <w:spacing w:after="0"/>
            </w:pPr>
            <w:r>
              <w:rPr>
                <w:rFonts w:ascii="Times New Roman" w:hAnsi="Times New Roman"/>
                <w:sz w:val="14"/>
              </w:rPr>
              <w:t>Define measures</w:t>
            </w:r>
          </w:p>
        </w:tc>
        <w:tc>
          <w:tcPr>
            <w:tcW w:type="dxa" w:w="1810"/>
            <w:vAlign w:val="center"/>
            <w:tcMar>
              <w:top w:w="80" w:type="dxa"/>
              <w:start w:w="100" w:type="dxa"/>
              <w:bottom w:w="80" w:type="dxa"/>
              <w:end w:w="100" w:type="dxa"/>
            </w:tcMar>
          </w:tcPr>
          <w:p>
            <w:pPr>
              <w:spacing w:after="0"/>
            </w:pPr>
            <w:r>
              <w:rPr>
                <w:rFonts w:ascii="Times New Roman" w:hAnsi="Times New Roman"/>
                <w:sz w:val="14"/>
              </w:rPr>
              <w:t>Critique</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Base + HR ER model</w:t>
            </w:r>
          </w:p>
        </w:tc>
        <w:tc>
          <w:tcPr>
            <w:tcW w:type="dxa" w:w="850"/>
            <w:vAlign w:val="center"/>
            <w:tcMar>
              <w:top w:w="80" w:type="dxa"/>
              <w:start w:w="100" w:type="dxa"/>
              <w:bottom w:w="80" w:type="dxa"/>
              <w:end w:w="100" w:type="dxa"/>
            </w:tcMar>
          </w:tcPr>
          <w:p>
            <w:pPr>
              <w:spacing w:after="0"/>
            </w:pPr>
            <w:r>
              <w:rPr>
                <w:rFonts w:ascii="Times New Roman" w:hAnsi="Times New Roman"/>
                <w:sz w:val="14"/>
              </w:rPr>
              <w:t>Zora</w:t>
            </w:r>
          </w:p>
        </w:tc>
        <w:tc>
          <w:tcPr>
            <w:tcW w:type="dxa" w:w="350"/>
            <w:vAlign w:val="center"/>
            <w:tcMar>
              <w:top w:w="80" w:type="dxa"/>
              <w:start w:w="100" w:type="dxa"/>
              <w:bottom w:w="80" w:type="dxa"/>
              <w:end w:w="100" w:type="dxa"/>
            </w:tcMar>
          </w:tcPr>
          <w:p>
            <w:pPr>
              <w:spacing w:after="0"/>
            </w:pPr>
            <w:r>
              <w:rPr>
                <w:rFonts w:ascii="Times New Roman" w:hAnsi="Times New Roman"/>
                <w:sz w:val="14"/>
              </w:rPr>
              <w:t>28</w:t>
            </w:r>
          </w:p>
        </w:tc>
        <w:tc>
          <w:tcPr>
            <w:tcW w:type="dxa" w:w="550"/>
            <w:vAlign w:val="center"/>
            <w:tcMar>
              <w:top w:w="80" w:type="dxa"/>
              <w:start w:w="100" w:type="dxa"/>
              <w:bottom w:w="80" w:type="dxa"/>
              <w:end w:w="100" w:type="dxa"/>
            </w:tcMar>
          </w:tcPr>
          <w:p>
            <w:pPr>
              <w:spacing w:after="0"/>
            </w:pPr>
            <w:r>
              <w:rPr>
                <w:rFonts w:ascii="Times New Roman" w:hAnsi="Times New Roman"/>
                <w:sz w:val="14"/>
              </w:rPr>
              <w:t>W7</w:t>
            </w:r>
          </w:p>
        </w:tc>
        <w:tc>
          <w:tcPr>
            <w:tcW w:type="dxa" w:w="900"/>
            <w:vAlign w:val="center"/>
            <w:tcMar>
              <w:top w:w="80" w:type="dxa"/>
              <w:start w:w="100" w:type="dxa"/>
              <w:bottom w:w="80" w:type="dxa"/>
              <w:end w:w="100" w:type="dxa"/>
            </w:tcMar>
          </w:tcPr>
          <w:p>
            <w:pPr>
              <w:spacing w:after="0"/>
            </w:pPr>
            <w:r>
              <w:rPr>
                <w:rFonts w:ascii="Times New Roman" w:hAnsi="Times New Roman"/>
                <w:sz w:val="14"/>
              </w:rPr>
              <w:t>Completed draft</w:t>
            </w:r>
          </w:p>
        </w:tc>
        <w:tc>
          <w:tcPr>
            <w:tcW w:type="dxa" w:w="950"/>
            <w:vAlign w:val="center"/>
            <w:tcMar>
              <w:top w:w="80" w:type="dxa"/>
              <w:start w:w="100" w:type="dxa"/>
              <w:bottom w:w="80" w:type="dxa"/>
              <w:end w:w="100" w:type="dxa"/>
            </w:tcMar>
          </w:tcPr>
          <w:p>
            <w:pPr>
              <w:spacing w:after="0"/>
            </w:pPr>
            <w:r>
              <w:rPr>
                <w:rFonts w:ascii="Times New Roman" w:hAnsi="Times New Roman"/>
                <w:sz w:val="14"/>
              </w:rPr>
              <w:t>Cardinality errors</w:t>
            </w:r>
          </w:p>
        </w:tc>
        <w:tc>
          <w:tcPr>
            <w:tcW w:type="dxa" w:w="2800"/>
            <w:vAlign w:val="center"/>
            <w:tcMar>
              <w:top w:w="80" w:type="dxa"/>
              <w:start w:w="100" w:type="dxa"/>
              <w:bottom w:w="80" w:type="dxa"/>
              <w:end w:w="100" w:type="dxa"/>
            </w:tcMar>
          </w:tcPr>
          <w:p>
            <w:pPr>
              <w:spacing w:after="0"/>
            </w:pPr>
            <w:r>
              <w:rPr>
                <w:rFonts w:ascii="Times New Roman" w:hAnsi="Times New Roman"/>
                <w:sz w:val="14"/>
              </w:rPr>
              <w:t>Workbench + review</w:t>
            </w:r>
          </w:p>
        </w:tc>
        <w:tc>
          <w:tcPr>
            <w:tcW w:type="dxa" w:w="1810"/>
            <w:vAlign w:val="center"/>
            <w:tcMar>
              <w:top w:w="80" w:type="dxa"/>
              <w:start w:w="100" w:type="dxa"/>
              <w:bottom w:w="80" w:type="dxa"/>
              <w:end w:w="100" w:type="dxa"/>
            </w:tcMar>
          </w:tcPr>
          <w:p>
            <w:pPr>
              <w:spacing w:after="0"/>
            </w:pPr>
            <w:r>
              <w:rPr>
                <w:rFonts w:ascii="Times New Roman" w:hAnsi="Times New Roman"/>
                <w:sz w:val="14"/>
              </w:rPr>
              <w:t>Alternatives</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Design decisions</w:t>
            </w:r>
          </w:p>
        </w:tc>
        <w:tc>
          <w:tcPr>
            <w:tcW w:type="dxa" w:w="850"/>
            <w:vAlign w:val="center"/>
            <w:tcMar>
              <w:top w:w="80" w:type="dxa"/>
              <w:start w:w="100" w:type="dxa"/>
              <w:bottom w:w="80" w:type="dxa"/>
              <w:end w:w="100" w:type="dxa"/>
            </w:tcMar>
          </w:tcPr>
          <w:p>
            <w:pPr>
              <w:spacing w:after="0"/>
            </w:pPr>
            <w:r>
              <w:rPr>
                <w:rFonts w:ascii="Times New Roman" w:hAnsi="Times New Roman"/>
                <w:sz w:val="14"/>
              </w:rPr>
              <w:t>Mia / Zora</w:t>
            </w:r>
          </w:p>
        </w:tc>
        <w:tc>
          <w:tcPr>
            <w:tcW w:type="dxa" w:w="350"/>
            <w:vAlign w:val="center"/>
            <w:tcMar>
              <w:top w:w="80" w:type="dxa"/>
              <w:start w:w="100" w:type="dxa"/>
              <w:bottom w:w="80" w:type="dxa"/>
              <w:end w:w="100" w:type="dxa"/>
            </w:tcMar>
          </w:tcPr>
          <w:p>
            <w:pPr>
              <w:spacing w:after="0"/>
            </w:pPr>
            <w:r>
              <w:rPr>
                <w:rFonts w:ascii="Times New Roman" w:hAnsi="Times New Roman"/>
                <w:sz w:val="14"/>
              </w:rPr>
              <w:t>10</w:t>
            </w:r>
          </w:p>
        </w:tc>
        <w:tc>
          <w:tcPr>
            <w:tcW w:type="dxa" w:w="550"/>
            <w:vAlign w:val="center"/>
            <w:tcMar>
              <w:top w:w="80" w:type="dxa"/>
              <w:start w:w="100" w:type="dxa"/>
              <w:bottom w:w="80" w:type="dxa"/>
              <w:end w:w="100" w:type="dxa"/>
            </w:tcMar>
          </w:tcPr>
          <w:p>
            <w:pPr>
              <w:spacing w:after="0"/>
            </w:pPr>
            <w:r>
              <w:rPr>
                <w:rFonts w:ascii="Times New Roman" w:hAnsi="Times New Roman"/>
                <w:sz w:val="14"/>
              </w:rPr>
              <w:t>W8</w:t>
            </w:r>
          </w:p>
        </w:tc>
        <w:tc>
          <w:tcPr>
            <w:tcW w:type="dxa" w:w="900"/>
            <w:vAlign w:val="center"/>
            <w:tcMar>
              <w:top w:w="80" w:type="dxa"/>
              <w:start w:w="100" w:type="dxa"/>
              <w:bottom w:w="80" w:type="dxa"/>
              <w:end w:w="100" w:type="dxa"/>
            </w:tcMar>
          </w:tcPr>
          <w:p>
            <w:pPr>
              <w:spacing w:after="0"/>
            </w:pPr>
            <w:r>
              <w:rPr>
                <w:rFonts w:ascii="Times New Roman" w:hAnsi="Times New Roman"/>
                <w:sz w:val="14"/>
              </w:rPr>
              <w:t>Draft complete</w:t>
            </w:r>
          </w:p>
        </w:tc>
        <w:tc>
          <w:tcPr>
            <w:tcW w:type="dxa" w:w="950"/>
            <w:vAlign w:val="center"/>
            <w:tcMar>
              <w:top w:w="80" w:type="dxa"/>
              <w:start w:w="100" w:type="dxa"/>
              <w:bottom w:w="80" w:type="dxa"/>
              <w:end w:w="100" w:type="dxa"/>
            </w:tcMar>
          </w:tcPr>
          <w:p>
            <w:pPr>
              <w:spacing w:after="0"/>
            </w:pPr>
            <w:r>
              <w:rPr>
                <w:rFonts w:ascii="Times New Roman" w:hAnsi="Times New Roman"/>
                <w:sz w:val="14"/>
              </w:rPr>
              <w:t>Weak trade-offs</w:t>
            </w:r>
          </w:p>
        </w:tc>
        <w:tc>
          <w:tcPr>
            <w:tcW w:type="dxa" w:w="2800"/>
            <w:vAlign w:val="center"/>
            <w:tcMar>
              <w:top w:w="80" w:type="dxa"/>
              <w:start w:w="100" w:type="dxa"/>
              <w:bottom w:w="80" w:type="dxa"/>
              <w:end w:w="100" w:type="dxa"/>
            </w:tcMar>
          </w:tcPr>
          <w:p>
            <w:pPr>
              <w:spacing w:after="0"/>
            </w:pPr>
            <w:r>
              <w:rPr>
                <w:rFonts w:ascii="Times New Roman" w:hAnsi="Times New Roman"/>
                <w:sz w:val="14"/>
              </w:rPr>
              <w:t>Trace to model</w:t>
            </w:r>
          </w:p>
        </w:tc>
        <w:tc>
          <w:tcPr>
            <w:tcW w:type="dxa" w:w="1810"/>
            <w:vAlign w:val="center"/>
            <w:tcMar>
              <w:top w:w="80" w:type="dxa"/>
              <w:start w:w="100" w:type="dxa"/>
              <w:bottom w:w="80" w:type="dxa"/>
              <w:end w:w="100" w:type="dxa"/>
            </w:tcMar>
          </w:tcPr>
          <w:p>
            <w:pPr>
              <w:spacing w:after="0"/>
            </w:pPr>
            <w:r>
              <w:rPr>
                <w:rFonts w:ascii="Times New Roman" w:hAnsi="Times New Roman"/>
                <w:sz w:val="14"/>
              </w:rPr>
              <w:t>Draft/critique</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Schema / rules</w:t>
            </w:r>
          </w:p>
        </w:tc>
        <w:tc>
          <w:tcPr>
            <w:tcW w:type="dxa" w:w="850"/>
            <w:vAlign w:val="center"/>
            <w:tcMar>
              <w:top w:w="80" w:type="dxa"/>
              <w:start w:w="100" w:type="dxa"/>
              <w:bottom w:w="80" w:type="dxa"/>
              <w:end w:w="100" w:type="dxa"/>
            </w:tcMar>
          </w:tcPr>
          <w:p>
            <w:pPr>
              <w:spacing w:after="0"/>
            </w:pPr>
            <w:r>
              <w:rPr>
                <w:rFonts w:ascii="Times New Roman" w:hAnsi="Times New Roman"/>
                <w:sz w:val="14"/>
              </w:rPr>
              <w:t>1</w:t>
            </w:r>
          </w:p>
        </w:tc>
        <w:tc>
          <w:tcPr>
            <w:tcW w:type="dxa" w:w="350"/>
            <w:vAlign w:val="center"/>
            <w:tcMar>
              <w:top w:w="80" w:type="dxa"/>
              <w:start w:w="100" w:type="dxa"/>
              <w:bottom w:w="80" w:type="dxa"/>
              <w:end w:w="100" w:type="dxa"/>
            </w:tcMar>
          </w:tcPr>
          <w:p>
            <w:pPr>
              <w:spacing w:after="0"/>
            </w:pPr>
            <w:r>
              <w:rPr>
                <w:rFonts w:ascii="Times New Roman" w:hAnsi="Times New Roman"/>
                <w:sz w:val="14"/>
              </w:rPr>
              <w:t>32</w:t>
            </w:r>
          </w:p>
        </w:tc>
        <w:tc>
          <w:tcPr>
            <w:tcW w:type="dxa" w:w="550"/>
            <w:vAlign w:val="center"/>
            <w:tcMar>
              <w:top w:w="80" w:type="dxa"/>
              <w:start w:w="100" w:type="dxa"/>
              <w:bottom w:w="80" w:type="dxa"/>
              <w:end w:w="100" w:type="dxa"/>
            </w:tcMar>
          </w:tcPr>
          <w:p>
            <w:pPr>
              <w:spacing w:after="0"/>
            </w:pPr>
            <w:r>
              <w:rPr>
                <w:rFonts w:ascii="Times New Roman" w:hAnsi="Times New Roman"/>
                <w:sz w:val="14"/>
              </w:rPr>
              <w:t>W10</w:t>
            </w:r>
          </w:p>
        </w:tc>
        <w:tc>
          <w:tcPr>
            <w:tcW w:type="dxa" w:w="900"/>
            <w:vAlign w:val="center"/>
            <w:tcMar>
              <w:top w:w="80" w:type="dxa"/>
              <w:start w:w="100" w:type="dxa"/>
              <w:bottom w:w="80" w:type="dxa"/>
              <w:end w:w="100" w:type="dxa"/>
            </w:tcMar>
          </w:tcPr>
          <w:p>
            <w:pPr>
              <w:spacing w:after="0"/>
            </w:pPr>
            <w:r>
              <w:rPr>
                <w:rFonts w:ascii="Times New Roman" w:hAnsi="Times New Roman"/>
                <w:sz w:val="14"/>
              </w:rPr>
              <w:t>Validated</w:t>
            </w:r>
          </w:p>
        </w:tc>
        <w:tc>
          <w:tcPr>
            <w:tcW w:type="dxa" w:w="950"/>
            <w:vAlign w:val="center"/>
            <w:tcMar>
              <w:top w:w="80" w:type="dxa"/>
              <w:start w:w="100" w:type="dxa"/>
              <w:bottom w:w="80" w:type="dxa"/>
              <w:end w:w="100" w:type="dxa"/>
            </w:tcMar>
          </w:tcPr>
          <w:p>
            <w:pPr>
              <w:spacing w:after="0"/>
            </w:pPr>
            <w:r>
              <w:rPr>
                <w:rFonts w:ascii="Times New Roman" w:hAnsi="Times New Roman"/>
                <w:sz w:val="14"/>
              </w:rPr>
              <w:t>Build failure</w:t>
            </w:r>
          </w:p>
        </w:tc>
        <w:tc>
          <w:tcPr>
            <w:tcW w:type="dxa" w:w="2800"/>
            <w:vAlign w:val="center"/>
            <w:tcMar>
              <w:top w:w="80" w:type="dxa"/>
              <w:start w:w="100" w:type="dxa"/>
              <w:bottom w:w="80" w:type="dxa"/>
              <w:end w:w="100" w:type="dxa"/>
            </w:tcMar>
          </w:tcPr>
          <w:p>
            <w:pPr>
              <w:spacing w:after="0"/>
            </w:pPr>
            <w:r>
              <w:rPr>
                <w:rFonts w:ascii="Times New Roman" w:hAnsi="Times New Roman"/>
                <w:sz w:val="14"/>
              </w:rPr>
              <w:t>Clean rebuild/tests</w:t>
            </w:r>
          </w:p>
        </w:tc>
        <w:tc>
          <w:tcPr>
            <w:tcW w:type="dxa" w:w="1810"/>
            <w:vAlign w:val="center"/>
            <w:tcMar>
              <w:top w:w="80" w:type="dxa"/>
              <w:start w:w="100" w:type="dxa"/>
              <w:bottom w:w="80" w:type="dxa"/>
              <w:end w:w="100" w:type="dxa"/>
            </w:tcMar>
          </w:tcPr>
          <w:p>
            <w:pPr>
              <w:spacing w:after="0"/>
            </w:pPr>
            <w:r>
              <w:rPr>
                <w:rFonts w:ascii="Times New Roman" w:hAnsi="Times New Roman"/>
                <w:sz w:val="14"/>
              </w:rPr>
              <w:t>SQL review</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Data dictionary</w:t>
            </w:r>
          </w:p>
        </w:tc>
        <w:tc>
          <w:tcPr>
            <w:tcW w:type="dxa" w:w="850"/>
            <w:vAlign w:val="center"/>
            <w:tcMar>
              <w:top w:w="80" w:type="dxa"/>
              <w:start w:w="100" w:type="dxa"/>
              <w:bottom w:w="80" w:type="dxa"/>
              <w:end w:w="100" w:type="dxa"/>
            </w:tcMar>
          </w:tcPr>
          <w:p>
            <w:pPr>
              <w:spacing w:after="0"/>
            </w:pPr>
            <w:r>
              <w:rPr>
                <w:rFonts w:ascii="Times New Roman" w:hAnsi="Times New Roman"/>
                <w:sz w:val="14"/>
              </w:rPr>
              <w:t>Zora / 1</w:t>
            </w:r>
          </w:p>
        </w:tc>
        <w:tc>
          <w:tcPr>
            <w:tcW w:type="dxa" w:w="350"/>
            <w:vAlign w:val="center"/>
            <w:tcMar>
              <w:top w:w="80" w:type="dxa"/>
              <w:start w:w="100" w:type="dxa"/>
              <w:bottom w:w="80" w:type="dxa"/>
              <w:end w:w="100" w:type="dxa"/>
            </w:tcMar>
          </w:tcPr>
          <w:p>
            <w:pPr>
              <w:spacing w:after="0"/>
            </w:pPr>
            <w:r>
              <w:rPr>
                <w:rFonts w:ascii="Times New Roman" w:hAnsi="Times New Roman"/>
                <w:sz w:val="14"/>
              </w:rPr>
              <w:t>16</w:t>
            </w:r>
          </w:p>
        </w:tc>
        <w:tc>
          <w:tcPr>
            <w:tcW w:type="dxa" w:w="550"/>
            <w:vAlign w:val="center"/>
            <w:tcMar>
              <w:top w:w="80" w:type="dxa"/>
              <w:start w:w="100" w:type="dxa"/>
              <w:bottom w:w="80" w:type="dxa"/>
              <w:end w:w="100" w:type="dxa"/>
            </w:tcMar>
          </w:tcPr>
          <w:p>
            <w:pPr>
              <w:spacing w:after="0"/>
            </w:pPr>
            <w:r>
              <w:rPr>
                <w:rFonts w:ascii="Times New Roman" w:hAnsi="Times New Roman"/>
                <w:sz w:val="14"/>
              </w:rPr>
              <w:t>W10</w:t>
            </w:r>
          </w:p>
        </w:tc>
        <w:tc>
          <w:tcPr>
            <w:tcW w:type="dxa" w:w="900"/>
            <w:vAlign w:val="center"/>
            <w:tcMar>
              <w:top w:w="80" w:type="dxa"/>
              <w:start w:w="100" w:type="dxa"/>
              <w:bottom w:w="80" w:type="dxa"/>
              <w:end w:w="100" w:type="dxa"/>
            </w:tcMar>
          </w:tcPr>
          <w:p>
            <w:pPr>
              <w:spacing w:after="0"/>
            </w:pPr>
            <w:r>
              <w:rPr>
                <w:rFonts w:ascii="Times New Roman" w:hAnsi="Times New Roman"/>
                <w:sz w:val="14"/>
              </w:rPr>
              <w:t>Generated</w:t>
            </w:r>
          </w:p>
        </w:tc>
        <w:tc>
          <w:tcPr>
            <w:tcW w:type="dxa" w:w="950"/>
            <w:vAlign w:val="center"/>
            <w:tcMar>
              <w:top w:w="80" w:type="dxa"/>
              <w:start w:w="100" w:type="dxa"/>
              <w:bottom w:w="80" w:type="dxa"/>
              <w:end w:w="100" w:type="dxa"/>
            </w:tcMar>
          </w:tcPr>
          <w:p>
            <w:pPr>
              <w:spacing w:after="0"/>
            </w:pPr>
            <w:r>
              <w:rPr>
                <w:rFonts w:ascii="Times New Roman" w:hAnsi="Times New Roman"/>
                <w:sz w:val="14"/>
              </w:rPr>
              <w:t>Schema drift</w:t>
            </w:r>
          </w:p>
        </w:tc>
        <w:tc>
          <w:tcPr>
            <w:tcW w:type="dxa" w:w="2800"/>
            <w:vAlign w:val="center"/>
            <w:tcMar>
              <w:top w:w="80" w:type="dxa"/>
              <w:start w:w="100" w:type="dxa"/>
              <w:bottom w:w="80" w:type="dxa"/>
              <w:end w:w="100" w:type="dxa"/>
            </w:tcMar>
          </w:tcPr>
          <w:p>
            <w:pPr>
              <w:spacing w:after="0"/>
            </w:pPr>
            <w:r>
              <w:rPr>
                <w:rFonts w:ascii="Times New Roman" w:hAnsi="Times New Roman"/>
                <w:sz w:val="14"/>
              </w:rPr>
              <w:t>Generate from schema</w:t>
            </w:r>
          </w:p>
        </w:tc>
        <w:tc>
          <w:tcPr>
            <w:tcW w:type="dxa" w:w="1810"/>
            <w:vAlign w:val="center"/>
            <w:tcMar>
              <w:top w:w="80" w:type="dxa"/>
              <w:start w:w="100" w:type="dxa"/>
              <w:bottom w:w="80" w:type="dxa"/>
              <w:end w:w="100" w:type="dxa"/>
            </w:tcMar>
          </w:tcPr>
          <w:p>
            <w:pPr>
              <w:spacing w:after="0"/>
            </w:pPr>
            <w:r>
              <w:rPr>
                <w:rFonts w:ascii="Times New Roman" w:hAnsi="Times New Roman"/>
                <w:sz w:val="14"/>
              </w:rPr>
              <w:t>Mechanical</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Official cleaning</w:t>
            </w:r>
          </w:p>
        </w:tc>
        <w:tc>
          <w:tcPr>
            <w:tcW w:type="dxa" w:w="850"/>
            <w:vAlign w:val="center"/>
            <w:tcMar>
              <w:top w:w="80" w:type="dxa"/>
              <w:start w:w="100" w:type="dxa"/>
              <w:bottom w:w="80" w:type="dxa"/>
              <w:end w:w="100" w:type="dxa"/>
            </w:tcMar>
          </w:tcPr>
          <w:p>
            <w:pPr>
              <w:spacing w:after="0"/>
            </w:pPr>
            <w:r>
              <w:rPr>
                <w:rFonts w:ascii="Times New Roman" w:hAnsi="Times New Roman"/>
                <w:sz w:val="14"/>
              </w:rPr>
              <w:t>1</w:t>
            </w:r>
          </w:p>
        </w:tc>
        <w:tc>
          <w:tcPr>
            <w:tcW w:type="dxa" w:w="350"/>
            <w:vAlign w:val="center"/>
            <w:tcMar>
              <w:top w:w="80" w:type="dxa"/>
              <w:start w:w="100" w:type="dxa"/>
              <w:bottom w:w="80" w:type="dxa"/>
              <w:end w:w="100" w:type="dxa"/>
            </w:tcMar>
          </w:tcPr>
          <w:p>
            <w:pPr>
              <w:spacing w:after="0"/>
            </w:pPr>
            <w:r>
              <w:rPr>
                <w:rFonts w:ascii="Times New Roman" w:hAnsi="Times New Roman"/>
                <w:sz w:val="14"/>
              </w:rPr>
              <w:t>23</w:t>
            </w:r>
          </w:p>
        </w:tc>
        <w:tc>
          <w:tcPr>
            <w:tcW w:type="dxa" w:w="550"/>
            <w:vAlign w:val="center"/>
            <w:tcMar>
              <w:top w:w="80" w:type="dxa"/>
              <w:start w:w="100" w:type="dxa"/>
              <w:bottom w:w="80" w:type="dxa"/>
              <w:end w:w="100" w:type="dxa"/>
            </w:tcMar>
          </w:tcPr>
          <w:p>
            <w:pPr>
              <w:spacing w:after="0"/>
            </w:pPr>
            <w:r>
              <w:rPr>
                <w:rFonts w:ascii="Times New Roman" w:hAnsi="Times New Roman"/>
                <w:sz w:val="14"/>
              </w:rPr>
              <w:t>After workbook</w:t>
            </w:r>
          </w:p>
        </w:tc>
        <w:tc>
          <w:tcPr>
            <w:tcW w:type="dxa" w:w="900"/>
            <w:vAlign w:val="center"/>
            <w:tcMar>
              <w:top w:w="80" w:type="dxa"/>
              <w:start w:w="100" w:type="dxa"/>
              <w:bottom w:w="80" w:type="dxa"/>
              <w:end w:w="100" w:type="dxa"/>
            </w:tcMar>
          </w:tcPr>
          <w:p>
            <w:pPr>
              <w:spacing w:after="0"/>
            </w:pPr>
            <w:r>
              <w:rPr>
                <w:rFonts w:ascii="Times New Roman" w:hAnsi="Times New Roman"/>
                <w:sz w:val="14"/>
              </w:rPr>
              <w:t>Blocked</w:t>
            </w:r>
          </w:p>
        </w:tc>
        <w:tc>
          <w:tcPr>
            <w:tcW w:type="dxa" w:w="950"/>
            <w:vAlign w:val="center"/>
            <w:tcMar>
              <w:top w:w="80" w:type="dxa"/>
              <w:start w:w="100" w:type="dxa"/>
              <w:bottom w:w="80" w:type="dxa"/>
              <w:end w:w="100" w:type="dxa"/>
            </w:tcMar>
          </w:tcPr>
          <w:p>
            <w:pPr>
              <w:spacing w:after="0"/>
            </w:pPr>
            <w:r>
              <w:rPr>
                <w:rFonts w:ascii="Times New Roman" w:hAnsi="Times New Roman"/>
                <w:sz w:val="14"/>
              </w:rPr>
              <w:t>Source missing</w:t>
            </w:r>
          </w:p>
        </w:tc>
        <w:tc>
          <w:tcPr>
            <w:tcW w:type="dxa" w:w="2800"/>
            <w:vAlign w:val="center"/>
            <w:tcMar>
              <w:top w:w="80" w:type="dxa"/>
              <w:start w:w="100" w:type="dxa"/>
              <w:bottom w:w="80" w:type="dxa"/>
              <w:end w:w="100" w:type="dxa"/>
            </w:tcMar>
          </w:tcPr>
          <w:p>
            <w:pPr>
              <w:spacing w:after="0"/>
            </w:pPr>
            <w:r>
              <w:rPr>
                <w:rFonts w:ascii="Times New Roman" w:hAnsi="Times New Roman"/>
                <w:sz w:val="14"/>
              </w:rPr>
              <w:t>Staging framework</w:t>
            </w:r>
          </w:p>
        </w:tc>
        <w:tc>
          <w:tcPr>
            <w:tcW w:type="dxa" w:w="1810"/>
            <w:vAlign w:val="center"/>
            <w:tcMar>
              <w:top w:w="80" w:type="dxa"/>
              <w:start w:w="100" w:type="dxa"/>
              <w:bottom w:w="80" w:type="dxa"/>
              <w:end w:w="100" w:type="dxa"/>
            </w:tcMar>
          </w:tcPr>
          <w:p>
            <w:pPr>
              <w:spacing w:after="0"/>
            </w:pPr>
            <w:r>
              <w:rPr>
                <w:rFonts w:ascii="Times New Roman" w:hAnsi="Times New Roman"/>
                <w:sz w:val="14"/>
              </w:rPr>
              <w:t>Pending source</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Test data / integrity</w:t>
            </w:r>
          </w:p>
        </w:tc>
        <w:tc>
          <w:tcPr>
            <w:tcW w:type="dxa" w:w="850"/>
            <w:vAlign w:val="center"/>
            <w:tcMar>
              <w:top w:w="80" w:type="dxa"/>
              <w:start w:w="100" w:type="dxa"/>
              <w:bottom w:w="80" w:type="dxa"/>
              <w:end w:w="100" w:type="dxa"/>
            </w:tcMar>
          </w:tcPr>
          <w:p>
            <w:pPr>
              <w:spacing w:after="0"/>
            </w:pPr>
            <w:r>
              <w:rPr>
                <w:rFonts w:ascii="Times New Roman" w:hAnsi="Times New Roman"/>
                <w:sz w:val="14"/>
              </w:rPr>
              <w:t>1 / Rianna</w:t>
            </w:r>
          </w:p>
        </w:tc>
        <w:tc>
          <w:tcPr>
            <w:tcW w:type="dxa" w:w="350"/>
            <w:vAlign w:val="center"/>
            <w:tcMar>
              <w:top w:w="80" w:type="dxa"/>
              <w:start w:w="100" w:type="dxa"/>
              <w:bottom w:w="80" w:type="dxa"/>
              <w:end w:w="100" w:type="dxa"/>
            </w:tcMar>
          </w:tcPr>
          <w:p>
            <w:pPr>
              <w:spacing w:after="0"/>
            </w:pPr>
            <w:r>
              <w:rPr>
                <w:rFonts w:ascii="Times New Roman" w:hAnsi="Times New Roman"/>
                <w:sz w:val="14"/>
              </w:rPr>
              <w:t>20</w:t>
            </w:r>
          </w:p>
        </w:tc>
        <w:tc>
          <w:tcPr>
            <w:tcW w:type="dxa" w:w="550"/>
            <w:vAlign w:val="center"/>
            <w:tcMar>
              <w:top w:w="80" w:type="dxa"/>
              <w:start w:w="100" w:type="dxa"/>
              <w:bottom w:w="80" w:type="dxa"/>
              <w:end w:w="100" w:type="dxa"/>
            </w:tcMar>
          </w:tcPr>
          <w:p>
            <w:pPr>
              <w:spacing w:after="0"/>
            </w:pPr>
            <w:r>
              <w:rPr>
                <w:rFonts w:ascii="Times New Roman" w:hAnsi="Times New Roman"/>
                <w:sz w:val="14"/>
              </w:rPr>
              <w:t>W10</w:t>
            </w:r>
          </w:p>
        </w:tc>
        <w:tc>
          <w:tcPr>
            <w:tcW w:type="dxa" w:w="900"/>
            <w:vAlign w:val="center"/>
            <w:tcMar>
              <w:top w:w="80" w:type="dxa"/>
              <w:start w:w="100" w:type="dxa"/>
              <w:bottom w:w="80" w:type="dxa"/>
              <w:end w:w="100" w:type="dxa"/>
            </w:tcMar>
          </w:tcPr>
          <w:p>
            <w:pPr>
              <w:spacing w:after="0"/>
            </w:pPr>
            <w:r>
              <w:rPr>
                <w:rFonts w:ascii="Times New Roman" w:hAnsi="Times New Roman"/>
                <w:sz w:val="14"/>
              </w:rPr>
              <w:t>Validated</w:t>
            </w:r>
          </w:p>
        </w:tc>
        <w:tc>
          <w:tcPr>
            <w:tcW w:type="dxa" w:w="950"/>
            <w:vAlign w:val="center"/>
            <w:tcMar>
              <w:top w:w="80" w:type="dxa"/>
              <w:start w:w="100" w:type="dxa"/>
              <w:bottom w:w="80" w:type="dxa"/>
              <w:end w:w="100" w:type="dxa"/>
            </w:tcMar>
          </w:tcPr>
          <w:p>
            <w:pPr>
              <w:spacing w:after="0"/>
            </w:pPr>
            <w:r>
              <w:rPr>
                <w:rFonts w:ascii="Times New Roman" w:hAnsi="Times New Roman"/>
                <w:sz w:val="14"/>
              </w:rPr>
              <w:t>Trivial coverage</w:t>
            </w:r>
          </w:p>
        </w:tc>
        <w:tc>
          <w:tcPr>
            <w:tcW w:type="dxa" w:w="2800"/>
            <w:vAlign w:val="center"/>
            <w:tcMar>
              <w:top w:w="80" w:type="dxa"/>
              <w:start w:w="100" w:type="dxa"/>
              <w:bottom w:w="80" w:type="dxa"/>
              <w:end w:w="100" w:type="dxa"/>
            </w:tcMar>
          </w:tcPr>
          <w:p>
            <w:pPr>
              <w:spacing w:after="0"/>
            </w:pPr>
            <w:r>
              <w:rPr>
                <w:rFonts w:ascii="Times New Roman" w:hAnsi="Times New Roman"/>
                <w:sz w:val="14"/>
              </w:rPr>
              <w:t>Scenario tests</w:t>
            </w:r>
          </w:p>
        </w:tc>
        <w:tc>
          <w:tcPr>
            <w:tcW w:type="dxa" w:w="1810"/>
            <w:vAlign w:val="center"/>
            <w:tcMar>
              <w:top w:w="80" w:type="dxa"/>
              <w:start w:w="100" w:type="dxa"/>
              <w:bottom w:w="80" w:type="dxa"/>
              <w:end w:w="100" w:type="dxa"/>
            </w:tcMar>
          </w:tcPr>
          <w:p>
            <w:pPr>
              <w:spacing w:after="0"/>
            </w:pPr>
            <w:r>
              <w:rPr>
                <w:rFonts w:ascii="Times New Roman" w:hAnsi="Times New Roman"/>
                <w:sz w:val="14"/>
              </w:rPr>
              <w:t>Fictitious data</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Six queries</w:t>
            </w:r>
          </w:p>
        </w:tc>
        <w:tc>
          <w:tcPr>
            <w:tcW w:type="dxa" w:w="850"/>
            <w:vAlign w:val="center"/>
            <w:tcMar>
              <w:top w:w="80" w:type="dxa"/>
              <w:start w:w="100" w:type="dxa"/>
              <w:bottom w:w="80" w:type="dxa"/>
              <w:end w:w="100" w:type="dxa"/>
            </w:tcMar>
          </w:tcPr>
          <w:p>
            <w:pPr>
              <w:spacing w:after="0"/>
            </w:pPr>
            <w:r>
              <w:rPr>
                <w:rFonts w:ascii="Times New Roman" w:hAnsi="Times New Roman"/>
                <w:sz w:val="14"/>
              </w:rPr>
              <w:t>Rianna</w:t>
            </w:r>
          </w:p>
        </w:tc>
        <w:tc>
          <w:tcPr>
            <w:tcW w:type="dxa" w:w="350"/>
            <w:vAlign w:val="center"/>
            <w:tcMar>
              <w:top w:w="80" w:type="dxa"/>
              <w:start w:w="100" w:type="dxa"/>
              <w:bottom w:w="80" w:type="dxa"/>
              <w:end w:w="100" w:type="dxa"/>
            </w:tcMar>
          </w:tcPr>
          <w:p>
            <w:pPr>
              <w:spacing w:after="0"/>
            </w:pPr>
            <w:r>
              <w:rPr>
                <w:rFonts w:ascii="Times New Roman" w:hAnsi="Times New Roman"/>
                <w:sz w:val="14"/>
              </w:rPr>
              <w:t>28</w:t>
            </w:r>
          </w:p>
        </w:tc>
        <w:tc>
          <w:tcPr>
            <w:tcW w:type="dxa" w:w="550"/>
            <w:vAlign w:val="center"/>
            <w:tcMar>
              <w:top w:w="80" w:type="dxa"/>
              <w:start w:w="100" w:type="dxa"/>
              <w:bottom w:w="80" w:type="dxa"/>
              <w:end w:w="100" w:type="dxa"/>
            </w:tcMar>
          </w:tcPr>
          <w:p>
            <w:pPr>
              <w:spacing w:after="0"/>
            </w:pPr>
            <w:r>
              <w:rPr>
                <w:rFonts w:ascii="Times New Roman" w:hAnsi="Times New Roman"/>
                <w:sz w:val="14"/>
              </w:rPr>
              <w:t>W11</w:t>
            </w:r>
          </w:p>
        </w:tc>
        <w:tc>
          <w:tcPr>
            <w:tcW w:type="dxa" w:w="900"/>
            <w:vAlign w:val="center"/>
            <w:tcMar>
              <w:top w:w="80" w:type="dxa"/>
              <w:start w:w="100" w:type="dxa"/>
              <w:bottom w:w="80" w:type="dxa"/>
              <w:end w:w="100" w:type="dxa"/>
            </w:tcMar>
          </w:tcPr>
          <w:p>
            <w:pPr>
              <w:spacing w:after="0"/>
            </w:pPr>
            <w:r>
              <w:rPr>
                <w:rFonts w:ascii="Times New Roman" w:hAnsi="Times New Roman"/>
                <w:sz w:val="14"/>
              </w:rPr>
              <w:t>Validated</w:t>
            </w:r>
          </w:p>
        </w:tc>
        <w:tc>
          <w:tcPr>
            <w:tcW w:type="dxa" w:w="950"/>
            <w:vAlign w:val="center"/>
            <w:tcMar>
              <w:top w:w="80" w:type="dxa"/>
              <w:start w:w="100" w:type="dxa"/>
              <w:bottom w:w="80" w:type="dxa"/>
              <w:end w:w="100" w:type="dxa"/>
            </w:tcMar>
          </w:tcPr>
          <w:p>
            <w:pPr>
              <w:spacing w:after="0"/>
            </w:pPr>
            <w:r>
              <w:rPr>
                <w:rFonts w:ascii="Times New Roman" w:hAnsi="Times New Roman"/>
                <w:sz w:val="14"/>
              </w:rPr>
              <w:t>Routine lookup</w:t>
            </w:r>
          </w:p>
        </w:tc>
        <w:tc>
          <w:tcPr>
            <w:tcW w:type="dxa" w:w="2800"/>
            <w:vAlign w:val="center"/>
            <w:tcMar>
              <w:top w:w="80" w:type="dxa"/>
              <w:start w:w="100" w:type="dxa"/>
              <w:bottom w:w="80" w:type="dxa"/>
              <w:end w:w="100" w:type="dxa"/>
            </w:tcMar>
          </w:tcPr>
          <w:p>
            <w:pPr>
              <w:spacing w:after="0"/>
            </w:pPr>
            <w:r>
              <w:rPr>
                <w:rFonts w:ascii="Times New Roman" w:hAnsi="Times New Roman"/>
                <w:sz w:val="14"/>
              </w:rPr>
              <w:t>Management questions</w:t>
            </w:r>
          </w:p>
        </w:tc>
        <w:tc>
          <w:tcPr>
            <w:tcW w:type="dxa" w:w="1810"/>
            <w:vAlign w:val="center"/>
            <w:tcMar>
              <w:top w:w="80" w:type="dxa"/>
              <w:start w:w="100" w:type="dxa"/>
              <w:bottom w:w="80" w:type="dxa"/>
              <w:end w:w="100" w:type="dxa"/>
            </w:tcMar>
          </w:tcPr>
          <w:p>
            <w:pPr>
              <w:spacing w:after="0"/>
            </w:pPr>
            <w:r>
              <w:rPr>
                <w:rFonts w:ascii="Times New Roman" w:hAnsi="Times New Roman"/>
                <w:sz w:val="14"/>
              </w:rPr>
              <w:t>SQL review</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Reflection</w:t>
            </w:r>
          </w:p>
        </w:tc>
        <w:tc>
          <w:tcPr>
            <w:tcW w:type="dxa" w:w="850"/>
            <w:vAlign w:val="center"/>
            <w:tcMar>
              <w:top w:w="80" w:type="dxa"/>
              <w:start w:w="100" w:type="dxa"/>
              <w:bottom w:w="80" w:type="dxa"/>
              <w:end w:w="100" w:type="dxa"/>
            </w:tcMar>
          </w:tcPr>
          <w:p>
            <w:pPr>
              <w:spacing w:after="0"/>
            </w:pPr>
            <w:r>
              <w:rPr>
                <w:rFonts w:ascii="Times New Roman" w:hAnsi="Times New Roman"/>
                <w:sz w:val="14"/>
              </w:rPr>
              <w:t>All</w:t>
            </w:r>
          </w:p>
        </w:tc>
        <w:tc>
          <w:tcPr>
            <w:tcW w:type="dxa" w:w="350"/>
            <w:vAlign w:val="center"/>
            <w:tcMar>
              <w:top w:w="80" w:type="dxa"/>
              <w:start w:w="100" w:type="dxa"/>
              <w:bottom w:w="80" w:type="dxa"/>
              <w:end w:w="100" w:type="dxa"/>
            </w:tcMar>
          </w:tcPr>
          <w:p>
            <w:pPr>
              <w:spacing w:after="0"/>
            </w:pPr>
            <w:r>
              <w:rPr>
                <w:rFonts w:ascii="Times New Roman" w:hAnsi="Times New Roman"/>
                <w:sz w:val="14"/>
              </w:rPr>
              <w:t>10</w:t>
            </w:r>
          </w:p>
        </w:tc>
        <w:tc>
          <w:tcPr>
            <w:tcW w:type="dxa" w:w="550"/>
            <w:vAlign w:val="center"/>
            <w:tcMar>
              <w:top w:w="80" w:type="dxa"/>
              <w:start w:w="100" w:type="dxa"/>
              <w:bottom w:w="80" w:type="dxa"/>
              <w:end w:w="100" w:type="dxa"/>
            </w:tcMar>
          </w:tcPr>
          <w:p>
            <w:pPr>
              <w:spacing w:after="0"/>
            </w:pPr>
            <w:r>
              <w:rPr>
                <w:rFonts w:ascii="Times New Roman" w:hAnsi="Times New Roman"/>
                <w:sz w:val="14"/>
              </w:rPr>
              <w:t>W12</w:t>
            </w:r>
          </w:p>
        </w:tc>
        <w:tc>
          <w:tcPr>
            <w:tcW w:type="dxa" w:w="900"/>
            <w:vAlign w:val="center"/>
            <w:tcMar>
              <w:top w:w="80" w:type="dxa"/>
              <w:start w:w="100" w:type="dxa"/>
              <w:bottom w:w="80" w:type="dxa"/>
              <w:end w:w="100" w:type="dxa"/>
            </w:tcMar>
          </w:tcPr>
          <w:p>
            <w:pPr>
              <w:spacing w:after="0"/>
            </w:pPr>
            <w:r>
              <w:rPr>
                <w:rFonts w:ascii="Times New Roman" w:hAnsi="Times New Roman"/>
                <w:sz w:val="14"/>
              </w:rPr>
              <w:t>Capture pack ready</w:t>
            </w:r>
          </w:p>
        </w:tc>
        <w:tc>
          <w:tcPr>
            <w:tcW w:type="dxa" w:w="950"/>
            <w:vAlign w:val="center"/>
            <w:tcMar>
              <w:top w:w="80" w:type="dxa"/>
              <w:start w:w="100" w:type="dxa"/>
              <w:bottom w:w="80" w:type="dxa"/>
              <w:end w:w="100" w:type="dxa"/>
            </w:tcMar>
          </w:tcPr>
          <w:p>
            <w:pPr>
              <w:spacing w:after="0"/>
            </w:pPr>
            <w:r>
              <w:rPr>
                <w:rFonts w:ascii="Times New Roman" w:hAnsi="Times New Roman"/>
                <w:sz w:val="14"/>
              </w:rPr>
              <w:t>Fabrication</w:t>
            </w:r>
          </w:p>
        </w:tc>
        <w:tc>
          <w:tcPr>
            <w:tcW w:type="dxa" w:w="2800"/>
            <w:vAlign w:val="center"/>
            <w:tcMar>
              <w:top w:w="80" w:type="dxa"/>
              <w:start w:w="100" w:type="dxa"/>
              <w:bottom w:w="80" w:type="dxa"/>
              <w:end w:w="100" w:type="dxa"/>
            </w:tcMar>
          </w:tcPr>
          <w:p>
            <w:pPr>
              <w:spacing w:after="0"/>
            </w:pPr>
            <w:r>
              <w:rPr>
                <w:rFonts w:ascii="Times New Roman" w:hAnsi="Times New Roman"/>
                <w:sz w:val="14"/>
              </w:rPr>
              <w:t>Save genuine logs</w:t>
            </w:r>
          </w:p>
        </w:tc>
        <w:tc>
          <w:tcPr>
            <w:tcW w:type="dxa" w:w="1810"/>
            <w:vAlign w:val="center"/>
            <w:tcMar>
              <w:top w:w="80" w:type="dxa"/>
              <w:start w:w="100" w:type="dxa"/>
              <w:bottom w:w="80" w:type="dxa"/>
              <w:end w:w="100" w:type="dxa"/>
            </w:tcMar>
          </w:tcPr>
          <w:p>
            <w:pPr>
              <w:spacing w:after="0"/>
            </w:pPr>
            <w:r>
              <w:rPr>
                <w:rFonts w:ascii="Times New Roman" w:hAnsi="Times New Roman"/>
                <w:sz w:val="14"/>
              </w:rPr>
              <w:t>Subject</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Video</w:t>
            </w:r>
          </w:p>
        </w:tc>
        <w:tc>
          <w:tcPr>
            <w:tcW w:type="dxa" w:w="850"/>
            <w:vAlign w:val="center"/>
            <w:tcMar>
              <w:top w:w="80" w:type="dxa"/>
              <w:start w:w="100" w:type="dxa"/>
              <w:bottom w:w="80" w:type="dxa"/>
              <w:end w:w="100" w:type="dxa"/>
            </w:tcMar>
          </w:tcPr>
          <w:p>
            <w:pPr>
              <w:spacing w:after="0"/>
            </w:pPr>
            <w:r>
              <w:rPr>
                <w:rFonts w:ascii="Times New Roman" w:hAnsi="Times New Roman"/>
                <w:sz w:val="14"/>
              </w:rPr>
              <w:t>All</w:t>
            </w:r>
          </w:p>
        </w:tc>
        <w:tc>
          <w:tcPr>
            <w:tcW w:type="dxa" w:w="350"/>
            <w:vAlign w:val="center"/>
            <w:tcMar>
              <w:top w:w="80" w:type="dxa"/>
              <w:start w:w="100" w:type="dxa"/>
              <w:bottom w:w="80" w:type="dxa"/>
              <w:end w:w="100" w:type="dxa"/>
            </w:tcMar>
          </w:tcPr>
          <w:p>
            <w:pPr>
              <w:spacing w:after="0"/>
            </w:pPr>
            <w:r>
              <w:rPr>
                <w:rFonts w:ascii="Times New Roman" w:hAnsi="Times New Roman"/>
                <w:sz w:val="14"/>
              </w:rPr>
              <w:t>12</w:t>
            </w:r>
          </w:p>
        </w:tc>
        <w:tc>
          <w:tcPr>
            <w:tcW w:type="dxa" w:w="550"/>
            <w:vAlign w:val="center"/>
            <w:tcMar>
              <w:top w:w="80" w:type="dxa"/>
              <w:start w:w="100" w:type="dxa"/>
              <w:bottom w:w="80" w:type="dxa"/>
              <w:end w:w="100" w:type="dxa"/>
            </w:tcMar>
          </w:tcPr>
          <w:p>
            <w:pPr>
              <w:spacing w:after="0"/>
            </w:pPr>
            <w:r>
              <w:rPr>
                <w:rFonts w:ascii="Times New Roman" w:hAnsi="Times New Roman"/>
                <w:sz w:val="14"/>
              </w:rPr>
              <w:t>W12</w:t>
            </w:r>
          </w:p>
        </w:tc>
        <w:tc>
          <w:tcPr>
            <w:tcW w:type="dxa" w:w="900"/>
            <w:vAlign w:val="center"/>
            <w:tcMar>
              <w:top w:w="80" w:type="dxa"/>
              <w:start w:w="100" w:type="dxa"/>
              <w:bottom w:w="80" w:type="dxa"/>
              <w:end w:w="100" w:type="dxa"/>
            </w:tcMar>
          </w:tcPr>
          <w:p>
            <w:pPr>
              <w:spacing w:after="0"/>
            </w:pPr>
            <w:r>
              <w:rPr>
                <w:rFonts w:ascii="Times New Roman" w:hAnsi="Times New Roman"/>
                <w:sz w:val="14"/>
              </w:rPr>
              <w:t>Run sheet ready</w:t>
            </w:r>
          </w:p>
        </w:tc>
        <w:tc>
          <w:tcPr>
            <w:tcW w:type="dxa" w:w="950"/>
            <w:vAlign w:val="center"/>
            <w:tcMar>
              <w:top w:w="80" w:type="dxa"/>
              <w:start w:w="100" w:type="dxa"/>
              <w:bottom w:w="80" w:type="dxa"/>
              <w:end w:w="100" w:type="dxa"/>
            </w:tcMar>
          </w:tcPr>
          <w:p>
            <w:pPr>
              <w:spacing w:after="0"/>
            </w:pPr>
            <w:r>
              <w:rPr>
                <w:rFonts w:ascii="Times New Roman" w:hAnsi="Times New Roman"/>
                <w:sz w:val="14"/>
              </w:rPr>
              <w:t>Over time</w:t>
            </w:r>
          </w:p>
        </w:tc>
        <w:tc>
          <w:tcPr>
            <w:tcW w:type="dxa" w:w="2800"/>
            <w:vAlign w:val="center"/>
            <w:tcMar>
              <w:top w:w="80" w:type="dxa"/>
              <w:start w:w="100" w:type="dxa"/>
              <w:bottom w:w="80" w:type="dxa"/>
              <w:end w:w="100" w:type="dxa"/>
            </w:tcMar>
          </w:tcPr>
          <w:p>
            <w:pPr>
              <w:spacing w:after="0"/>
            </w:pPr>
            <w:r>
              <w:rPr>
                <w:rFonts w:ascii="Times New Roman" w:hAnsi="Times New Roman"/>
                <w:sz w:val="14"/>
              </w:rPr>
              <w:t>Rehearse</w:t>
            </w:r>
          </w:p>
        </w:tc>
        <w:tc>
          <w:tcPr>
            <w:tcW w:type="dxa" w:w="1810"/>
            <w:vAlign w:val="center"/>
            <w:tcMar>
              <w:top w:w="80" w:type="dxa"/>
              <w:start w:w="100" w:type="dxa"/>
              <w:bottom w:w="80" w:type="dxa"/>
              <w:end w:w="100" w:type="dxa"/>
            </w:tcMar>
          </w:tcPr>
          <w:p>
            <w:pPr>
              <w:spacing w:after="0"/>
            </w:pPr>
            <w:r>
              <w:rPr>
                <w:rFonts w:ascii="Times New Roman" w:hAnsi="Times New Roman"/>
                <w:sz w:val="14"/>
              </w:rPr>
              <w:t>Timing only</w:t>
            </w:r>
          </w:p>
        </w:tc>
      </w:tr>
      <w:tr>
        <w:tc>
          <w:tcPr>
            <w:tcW w:type="dxa" w:w="1150"/>
            <w:vAlign w:val="center"/>
            <w:tcMar>
              <w:top w:w="80" w:type="dxa"/>
              <w:start w:w="100" w:type="dxa"/>
              <w:bottom w:w="80" w:type="dxa"/>
              <w:end w:w="100" w:type="dxa"/>
            </w:tcMar>
          </w:tcPr>
          <w:p>
            <w:pPr>
              <w:spacing w:after="0"/>
            </w:pPr>
            <w:r>
              <w:rPr>
                <w:rFonts w:ascii="Times New Roman" w:hAnsi="Times New Roman"/>
                <w:sz w:val="14"/>
              </w:rPr>
              <w:t>Final QA</w:t>
            </w:r>
          </w:p>
        </w:tc>
        <w:tc>
          <w:tcPr>
            <w:tcW w:type="dxa" w:w="850"/>
            <w:vAlign w:val="center"/>
            <w:tcMar>
              <w:top w:w="80" w:type="dxa"/>
              <w:start w:w="100" w:type="dxa"/>
              <w:bottom w:w="80" w:type="dxa"/>
              <w:end w:w="100" w:type="dxa"/>
            </w:tcMar>
          </w:tcPr>
          <w:p>
            <w:pPr>
              <w:spacing w:after="0"/>
            </w:pPr>
            <w:r>
              <w:rPr>
                <w:rFonts w:ascii="Times New Roman" w:hAnsi="Times New Roman"/>
                <w:sz w:val="14"/>
              </w:rPr>
              <w:t>Mia / All</w:t>
            </w:r>
          </w:p>
        </w:tc>
        <w:tc>
          <w:tcPr>
            <w:tcW w:type="dxa" w:w="350"/>
            <w:vAlign w:val="center"/>
            <w:tcMar>
              <w:top w:w="80" w:type="dxa"/>
              <w:start w:w="100" w:type="dxa"/>
              <w:bottom w:w="80" w:type="dxa"/>
              <w:end w:w="100" w:type="dxa"/>
            </w:tcMar>
          </w:tcPr>
          <w:p>
            <w:pPr>
              <w:spacing w:after="0"/>
            </w:pPr>
            <w:r>
              <w:rPr>
                <w:rFonts w:ascii="Times New Roman" w:hAnsi="Times New Roman"/>
                <w:sz w:val="14"/>
              </w:rPr>
              <w:t>10</w:t>
            </w:r>
          </w:p>
        </w:tc>
        <w:tc>
          <w:tcPr>
            <w:tcW w:type="dxa" w:w="550"/>
            <w:vAlign w:val="center"/>
            <w:tcMar>
              <w:top w:w="80" w:type="dxa"/>
              <w:start w:w="100" w:type="dxa"/>
              <w:bottom w:w="80" w:type="dxa"/>
              <w:end w:w="100" w:type="dxa"/>
            </w:tcMar>
          </w:tcPr>
          <w:p>
            <w:pPr>
              <w:spacing w:after="0"/>
            </w:pPr>
            <w:r>
              <w:rPr>
                <w:rFonts w:ascii="Times New Roman" w:hAnsi="Times New Roman"/>
                <w:sz w:val="14"/>
              </w:rPr>
              <w:t>W12</w:t>
            </w:r>
          </w:p>
        </w:tc>
        <w:tc>
          <w:tcPr>
            <w:tcW w:type="dxa" w:w="900"/>
            <w:vAlign w:val="center"/>
            <w:tcMar>
              <w:top w:w="80" w:type="dxa"/>
              <w:start w:w="100" w:type="dxa"/>
              <w:bottom w:w="80" w:type="dxa"/>
              <w:end w:w="100" w:type="dxa"/>
            </w:tcMar>
          </w:tcPr>
          <w:p>
            <w:pPr>
              <w:spacing w:after="0"/>
            </w:pPr>
            <w:r>
              <w:rPr>
                <w:rFonts w:ascii="Times New Roman" w:hAnsi="Times New Roman"/>
                <w:sz w:val="14"/>
              </w:rPr>
              <w:t>In progress</w:t>
            </w:r>
          </w:p>
        </w:tc>
        <w:tc>
          <w:tcPr>
            <w:tcW w:type="dxa" w:w="950"/>
            <w:vAlign w:val="center"/>
            <w:tcMar>
              <w:top w:w="80" w:type="dxa"/>
              <w:start w:w="100" w:type="dxa"/>
              <w:bottom w:w="80" w:type="dxa"/>
              <w:end w:w="100" w:type="dxa"/>
            </w:tcMar>
          </w:tcPr>
          <w:p>
            <w:pPr>
              <w:spacing w:after="0"/>
            </w:pPr>
            <w:r>
              <w:rPr>
                <w:rFonts w:ascii="Times New Roman" w:hAnsi="Times New Roman"/>
                <w:sz w:val="14"/>
              </w:rPr>
              <w:t>Mismatch</w:t>
            </w:r>
          </w:p>
        </w:tc>
        <w:tc>
          <w:tcPr>
            <w:tcW w:type="dxa" w:w="2800"/>
            <w:vAlign w:val="center"/>
            <w:tcMar>
              <w:top w:w="80" w:type="dxa"/>
              <w:start w:w="100" w:type="dxa"/>
              <w:bottom w:w="80" w:type="dxa"/>
              <w:end w:w="100" w:type="dxa"/>
            </w:tcMar>
          </w:tcPr>
          <w:p>
            <w:pPr>
              <w:spacing w:after="0"/>
            </w:pPr>
            <w:r>
              <w:rPr>
                <w:rFonts w:ascii="Times New Roman" w:hAnsi="Times New Roman"/>
                <w:sz w:val="14"/>
              </w:rPr>
              <w:t>Automated audit</w:t>
            </w:r>
          </w:p>
        </w:tc>
        <w:tc>
          <w:tcPr>
            <w:tcW w:type="dxa" w:w="1810"/>
            <w:vAlign w:val="center"/>
            <w:tcMar>
              <w:top w:w="80" w:type="dxa"/>
              <w:start w:w="100" w:type="dxa"/>
              <w:bottom w:w="80" w:type="dxa"/>
              <w:end w:w="100" w:type="dxa"/>
            </w:tcMar>
          </w:tcPr>
          <w:p>
            <w:pPr>
              <w:spacing w:after="0"/>
            </w:pPr>
            <w:r>
              <w:rPr>
                <w:rFonts w:ascii="Times New Roman" w:hAnsi="Times New Roman"/>
                <w:sz w:val="14"/>
              </w:rPr>
              <w:t>Cross-check</w:t>
            </w:r>
          </w:p>
        </w:tc>
      </w:tr>
    </w:tbl>
    <w:p>
      <w:pPr>
        <w:spacing w:after="0"/>
      </w:pPr>
    </w:p>
    <w:p>
      <w:pPr>
        <w:pStyle w:val="Heading2"/>
      </w:pPr>
      <w:r>
        <w:t>Checkpoint sequence</w:t>
      </w:r>
    </w:p>
    <w:tbl>
      <w:tblPr>
        <w:tblStyle w:val="TableGrid"/>
        <w:tblW w:type="dxa" w:w="9360"/>
        <w:tblLayout w:type="fixed"/>
        <w:tblLook w:firstColumn="1" w:firstRow="1" w:lastColumn="0" w:lastRow="0" w:noHBand="0" w:noVBand="1" w:val="04A0"/>
        <w:tblInd w:w="120" w:type="dxa"/>
      </w:tblPr>
      <w:tblGrid>
        <w:gridCol w:w="1500"/>
        <w:gridCol w:w="7860"/>
      </w:tblGrid>
      <w:tr>
        <w:trPr>
          <w:tblHeader w:val="true"/>
        </w:trPr>
        <w:tc>
          <w:tcPr>
            <w:tcW w:type="dxa" w:w="1500"/>
            <w:shd w:fill="DCE6F1"/>
            <w:vAlign w:val="center"/>
            <w:tcMar>
              <w:top w:w="80" w:type="dxa"/>
              <w:start w:w="100" w:type="dxa"/>
              <w:bottom w:w="80" w:type="dxa"/>
              <w:end w:w="100" w:type="dxa"/>
            </w:tcMar>
          </w:tcPr>
          <w:p>
            <w:pPr>
              <w:jc w:val="center"/>
            </w:pPr>
            <w:r>
              <w:rPr>
                <w:rFonts w:ascii="Times New Roman" w:hAnsi="Times New Roman"/>
                <w:b/>
                <w:color w:val="1F2937"/>
                <w:sz w:val="18"/>
              </w:rPr>
              <w:t>Milestone</w:t>
            </w:r>
          </w:p>
        </w:tc>
        <w:tc>
          <w:tcPr>
            <w:tcW w:type="dxa" w:w="7860"/>
            <w:shd w:fill="DCE6F1"/>
            <w:vAlign w:val="center"/>
            <w:tcMar>
              <w:top w:w="80" w:type="dxa"/>
              <w:start w:w="100" w:type="dxa"/>
              <w:bottom w:w="80" w:type="dxa"/>
              <w:end w:w="100" w:type="dxa"/>
            </w:tcMar>
          </w:tcPr>
          <w:p>
            <w:pPr>
              <w:jc w:val="center"/>
            </w:pPr>
            <w:r>
              <w:rPr>
                <w:rFonts w:ascii="Times New Roman" w:hAnsi="Times New Roman"/>
                <w:b/>
                <w:color w:val="1F2937"/>
                <w:sz w:val="18"/>
              </w:rPr>
              <w:t>Evidence</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3</w:t>
            </w:r>
          </w:p>
        </w:tc>
        <w:tc>
          <w:tcPr>
            <w:tcW w:type="dxa" w:w="7860"/>
            <w:vAlign w:val="center"/>
            <w:tcMar>
              <w:top w:w="80" w:type="dxa"/>
              <w:start w:w="100" w:type="dxa"/>
              <w:bottom w:w="80" w:type="dxa"/>
              <w:end w:w="100" w:type="dxa"/>
            </w:tcMar>
          </w:tcPr>
          <w:p>
            <w:pPr>
              <w:spacing w:after="0"/>
            </w:pPr>
            <w:r>
              <w:rPr>
                <w:rFonts w:ascii="Times New Roman" w:hAnsi="Times New Roman"/>
                <w:sz w:val="18"/>
              </w:rPr>
              <w:t>Team confirmed; contacts shared</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4</w:t>
            </w:r>
          </w:p>
        </w:tc>
        <w:tc>
          <w:tcPr>
            <w:tcW w:type="dxa" w:w="7860"/>
            <w:vAlign w:val="center"/>
            <w:tcMar>
              <w:top w:w="80" w:type="dxa"/>
              <w:start w:w="100" w:type="dxa"/>
              <w:bottom w:w="80" w:type="dxa"/>
              <w:end w:w="100" w:type="dxa"/>
            </w:tcMar>
          </w:tcPr>
          <w:p>
            <w:pPr>
              <w:spacing w:after="0"/>
            </w:pPr>
            <w:r>
              <w:rPr>
                <w:rFonts w:ascii="Times New Roman" w:hAnsi="Times New Roman"/>
                <w:sz w:val="18"/>
              </w:rPr>
              <w:t>Case understanding, HR perspective, functionality plan</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7</w:t>
            </w:r>
          </w:p>
        </w:tc>
        <w:tc>
          <w:tcPr>
            <w:tcW w:type="dxa" w:w="7860"/>
            <w:vAlign w:val="center"/>
            <w:tcMar>
              <w:top w:w="80" w:type="dxa"/>
              <w:start w:w="100" w:type="dxa"/>
              <w:bottom w:w="80" w:type="dxa"/>
              <w:end w:w="100" w:type="dxa"/>
            </w:tcMar>
          </w:tcPr>
          <w:p>
            <w:pPr>
              <w:spacing w:after="0"/>
            </w:pPr>
            <w:r>
              <w:rPr>
                <w:rFonts w:ascii="Times New Roman" w:hAnsi="Times New Roman"/>
                <w:sz w:val="18"/>
              </w:rPr>
              <w:t>Draft ER model and decisions</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8 Fri</w:t>
            </w:r>
          </w:p>
        </w:tc>
        <w:tc>
          <w:tcPr>
            <w:tcW w:type="dxa" w:w="7860"/>
            <w:vAlign w:val="center"/>
            <w:tcMar>
              <w:top w:w="80" w:type="dxa"/>
              <w:start w:w="100" w:type="dxa"/>
              <w:bottom w:w="80" w:type="dxa"/>
              <w:end w:w="100" w:type="dxa"/>
            </w:tcMar>
          </w:tcPr>
          <w:p>
            <w:pPr>
              <w:spacing w:after="0"/>
            </w:pPr>
            <w:r>
              <w:rPr>
                <w:rFonts w:ascii="Times New Roman" w:hAnsi="Times New Roman"/>
                <w:sz w:val="18"/>
              </w:rPr>
              <w:t>Iteration Tasks 1–7</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10</w:t>
            </w:r>
          </w:p>
        </w:tc>
        <w:tc>
          <w:tcPr>
            <w:tcW w:type="dxa" w:w="7860"/>
            <w:vAlign w:val="center"/>
            <w:tcMar>
              <w:top w:w="80" w:type="dxa"/>
              <w:start w:w="100" w:type="dxa"/>
              <w:bottom w:w="80" w:type="dxa"/>
              <w:end w:w="100" w:type="dxa"/>
            </w:tcMar>
          </w:tcPr>
          <w:p>
            <w:pPr>
              <w:spacing w:after="0"/>
            </w:pPr>
            <w:r>
              <w:rPr>
                <w:rFonts w:ascii="Times New Roman" w:hAnsi="Times New Roman"/>
                <w:sz w:val="18"/>
              </w:rPr>
              <w:t>Normalisation, cleaning plan, business rules</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11</w:t>
            </w:r>
          </w:p>
        </w:tc>
        <w:tc>
          <w:tcPr>
            <w:tcW w:type="dxa" w:w="7860"/>
            <w:vAlign w:val="center"/>
            <w:tcMar>
              <w:top w:w="80" w:type="dxa"/>
              <w:start w:w="100" w:type="dxa"/>
              <w:bottom w:w="80" w:type="dxa"/>
              <w:end w:w="100" w:type="dxa"/>
            </w:tcMar>
          </w:tcPr>
          <w:p>
            <w:pPr>
              <w:spacing w:after="0"/>
            </w:pPr>
            <w:r>
              <w:rPr>
                <w:rFonts w:ascii="Times New Roman" w:hAnsi="Times New Roman"/>
                <w:sz w:val="18"/>
              </w:rPr>
              <w:t>Draft queries and assigned scenario</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12</w:t>
            </w:r>
          </w:p>
        </w:tc>
        <w:tc>
          <w:tcPr>
            <w:tcW w:type="dxa" w:w="7860"/>
            <w:vAlign w:val="center"/>
            <w:tcMar>
              <w:top w:w="80" w:type="dxa"/>
              <w:start w:w="100" w:type="dxa"/>
              <w:bottom w:w="80" w:type="dxa"/>
              <w:end w:w="100" w:type="dxa"/>
            </w:tcMar>
          </w:tcPr>
          <w:p>
            <w:pPr>
              <w:spacing w:after="0"/>
            </w:pPr>
            <w:r>
              <w:rPr>
                <w:rFonts w:ascii="Times New Roman" w:hAnsi="Times New Roman"/>
                <w:sz w:val="18"/>
              </w:rPr>
              <w:t>Report, SQL and video</w:t>
            </w:r>
          </w:p>
        </w:tc>
      </w:tr>
      <w:tr>
        <w:tc>
          <w:tcPr>
            <w:tcW w:type="dxa" w:w="1500"/>
            <w:vAlign w:val="center"/>
            <w:tcMar>
              <w:top w:w="80" w:type="dxa"/>
              <w:start w:w="100" w:type="dxa"/>
              <w:bottom w:w="80" w:type="dxa"/>
              <w:end w:w="100" w:type="dxa"/>
            </w:tcMar>
          </w:tcPr>
          <w:p>
            <w:pPr>
              <w:spacing w:after="0"/>
            </w:pPr>
            <w:r>
              <w:rPr>
                <w:rFonts w:ascii="Times New Roman" w:hAnsi="Times New Roman"/>
                <w:sz w:val="18"/>
              </w:rPr>
              <w:t>Week 13+1</w:t>
            </w:r>
          </w:p>
        </w:tc>
        <w:tc>
          <w:tcPr>
            <w:tcW w:type="dxa" w:w="7860"/>
            <w:vAlign w:val="center"/>
            <w:tcMar>
              <w:top w:w="80" w:type="dxa"/>
              <w:start w:w="100" w:type="dxa"/>
              <w:bottom w:w="80" w:type="dxa"/>
              <w:end w:w="100" w:type="dxa"/>
            </w:tcMar>
          </w:tcPr>
          <w:p>
            <w:pPr>
              <w:spacing w:after="0"/>
            </w:pPr>
            <w:r>
              <w:rPr>
                <w:rFonts w:ascii="Times New Roman" w:hAnsi="Times New Roman"/>
                <w:sz w:val="18"/>
              </w:rPr>
              <w:t>Buddycheck</w:t>
            </w:r>
          </w:p>
        </w:tc>
      </w:tr>
    </w:tbl>
    <w:p>
      <w:pPr>
        <w:spacing w:after="0"/>
      </w:pPr>
    </w:p>
    <w:p>
      <w:r>
        <w:br w:type="page"/>
      </w:r>
    </w:p>
    <w:p>
      <w:pPr>
        <w:pStyle w:val="Heading1"/>
      </w:pPr>
      <w:r>
        <w:t>Task 2 — Design Decision Record</w:t>
      </w:r>
    </w:p>
    <w:p>
      <w:pPr>
        <w:pStyle w:val="Heading2"/>
      </w:pPr>
      <w:r>
        <w:t>Selected perspective and sustainability initiative</w:t>
      </w:r>
    </w:p>
    <w:p>
      <w:pPr>
        <w:widowControl/>
      </w:pPr>
      <w:r>
        <w:rPr>
          <w:rFonts w:ascii="Times New Roman" w:hAnsi="Times New Roman"/>
          <w:i w:val="0"/>
          <w:sz w:val="24"/>
        </w:rPr>
        <w:t>Cloudrest Wines extends the complete winery base model through the Human Resources, Workforce Planning and Wellbeing perspective. Its sustainability initiative measures training coverage and incidents per 1,000 labour hours, supported by overtime, qualification expiry, corrective-action and wellbeing indicators. This differentiates the system from a conventional personnel register: management can relate workforce preparation and exposure to safety outcomes by operational area and period. The design stores only the detail needed for responsible follow-up, while aggregated reporting reduces unnecessary exposure of sensitive wellbeing information.</w:t>
      </w:r>
    </w:p>
    <w:p>
      <w:pPr>
        <w:pStyle w:val="Heading2"/>
      </w:pPr>
      <w:r>
        <w:t>Decision 1 — Model customer types with a supertype and subtypes</w:t>
      </w:r>
    </w:p>
    <w:p>
      <w:pPr>
        <w:widowControl/>
      </w:pPr>
      <w:r>
        <w:rPr>
          <w:rFonts w:ascii="Times New Roman" w:hAnsi="Times New Roman"/>
          <w:i w:val="0"/>
          <w:sz w:val="24"/>
        </w:rPr>
        <w:t>Challenge. All customers share identifiers, email, phone, address and order behaviour. Individuals require names and date of birth to evidence legal age, while businesses require company name, ABN, business type and contact names.</w:t>
      </w:r>
    </w:p>
    <w:p>
      <w:pPr>
        <w:widowControl/>
      </w:pPr>
      <w:r>
        <w:rPr>
          <w:rFonts w:ascii="Times New Roman" w:hAnsi="Times New Roman"/>
          <w:i w:val="0"/>
          <w:sz w:val="24"/>
        </w:rPr>
        <w:t>Alternatives. A single customer table could contain every attribute, with type-dependent nullable columns. Alternatively, separate individual and business tables could duplicate all shared contact and order relationships. The selected model uses customer as the supertype and individualcustomer/businesscustomer as subtype tables.</w:t>
      </w:r>
    </w:p>
    <w:p>
      <w:pPr>
        <w:widowControl/>
      </w:pPr>
      <w:r>
        <w:rPr>
          <w:rFonts w:ascii="Times New Roman" w:hAnsi="Times New Roman"/>
          <w:i w:val="0"/>
          <w:sz w:val="24"/>
        </w:rPr>
        <w:t>Choice and justification. The selected structure avoids duplicated common attributes and avoids the numerous inapplicable NULLs of a single wide table. It supports third normal form because subtype attributes depend on the customer key and type, while every order references one common customer key. The trade-off is an additional join when displaying full names, accepted in favour of stronger integrity and extension to future business categories.</w:t>
      </w:r>
    </w:p>
    <w:p>
      <w:pPr>
        <w:pStyle w:val="Heading2"/>
      </w:pPr>
      <w:r>
        <w:t>Decision 2 — Separate an address from its time-dependent use</w:t>
      </w:r>
    </w:p>
    <w:p>
      <w:pPr>
        <w:widowControl/>
      </w:pPr>
      <w:r>
        <w:rPr>
          <w:rFonts w:ascii="Times New Roman" w:hAnsi="Times New Roman"/>
          <w:i w:val="0"/>
          <w:sz w:val="24"/>
        </w:rPr>
        <w:t>Challenge. Employees, customers and suppliers can change addresses, historical validity must be retained, postal addresses may be PO Boxes/private bags, shipments must use a current physical address, and vineyard locations do not change.</w:t>
      </w:r>
    </w:p>
    <w:p>
      <w:pPr>
        <w:widowControl/>
      </w:pPr>
      <w:r>
        <w:rPr>
          <w:rFonts w:ascii="Times New Roman" w:hAnsi="Times New Roman"/>
          <w:i w:val="0"/>
          <w:sz w:val="24"/>
        </w:rPr>
        <w:t>Alternatives. Address columns could be copied into every owner table. A second option is a shared address table with owner ID/type columns, but that creates a polymorphic foreign key MySQL cannot enforce. The selected model stores address structure once and uses typed association tables such as employeeaddress and customeraddress with start/end timestamps.</w:t>
      </w:r>
    </w:p>
    <w:p>
      <w:pPr>
        <w:widowControl/>
      </w:pPr>
      <w:r>
        <w:rPr>
          <w:rFonts w:ascii="Times New Roman" w:hAnsi="Times New Roman"/>
          <w:i w:val="0"/>
          <w:sz w:val="24"/>
        </w:rPr>
        <w:t>Choice and justification. Typed associations provide enforceable foreign keys and preserve history without overwriting prior values. A shipment stores the actual address key used, preserving the transaction even after a customer moves. Vineyard directly references an address because the case says it does not move. More joins are required, but temporal accuracy, referential integrity and OLTP-safe updates outweigh that cost.</w:t>
      </w:r>
    </w:p>
    <w:p>
      <w:pPr>
        <w:pStyle w:val="Heading2"/>
      </w:pPr>
      <w:r>
        <w:t>Decision 3 — Separate training definition, delivery and attendance</w:t>
      </w:r>
    </w:p>
    <w:p>
      <w:pPr>
        <w:widowControl/>
      </w:pPr>
      <w:r>
        <w:rPr>
          <w:rFonts w:ascii="Times New Roman" w:hAnsi="Times New Roman"/>
          <w:i w:val="0"/>
          <w:sz w:val="24"/>
        </w:rPr>
        <w:t>Challenge. The HR perspective requires course name, provider, completion and renewal dates and competency, while management needs annual training coverage by operational area.</w:t>
      </w:r>
    </w:p>
    <w:p>
      <w:pPr>
        <w:widowControl/>
      </w:pPr>
      <w:r>
        <w:rPr>
          <w:rFonts w:ascii="Times New Roman" w:hAnsi="Times New Roman"/>
          <w:i w:val="0"/>
          <w:sz w:val="24"/>
        </w:rPr>
        <w:t>Alternatives. A single employee-training table could repeat course and provider text for every participant. A course table plus employee completion record would reduce repetition but could not represent multiple employees attending one delivery or distinguish repeated sessions. The selected design uses trainingcourse, trainingsession and trainingattendance.</w:t>
      </w:r>
    </w:p>
    <w:p>
      <w:pPr>
        <w:widowControl/>
      </w:pPr>
      <w:r>
        <w:rPr>
          <w:rFonts w:ascii="Times New Roman" w:hAnsi="Times New Roman"/>
          <w:i w:val="0"/>
          <w:sz w:val="24"/>
        </w:rPr>
        <w:t>Choice and justification. Course attributes are stored once; each delivery has its date, trainer, mode and area; each employee outcome stores status, completion, renewal and competency. This removes update anomalies and supports attendance, completion and renewal queries. The design costs two joins in reports, but those joins use indexed keys and preserve a precise operational audit trail.</w:t>
      </w:r>
    </w:p>
    <w:p>
      <w:pPr>
        <w:pStyle w:val="Heading2"/>
      </w:pPr>
      <w:r>
        <w:t>Decision 4 — Model incidents and involved employees as many-to-many</w:t>
      </w:r>
    </w:p>
    <w:p>
      <w:pPr>
        <w:widowControl/>
      </w:pPr>
      <w:r>
        <w:rPr>
          <w:rFonts w:ascii="Times New Roman" w:hAnsi="Times New Roman"/>
          <w:i w:val="0"/>
          <w:sz w:val="24"/>
        </w:rPr>
        <w:t>Challenge. A workplace event may affect several employees and also involve witnesses or reporters. The case extension requires incident type, severity, corrective action and lost time.</w:t>
      </w:r>
    </w:p>
    <w:p>
      <w:pPr>
        <w:widowControl/>
      </w:pPr>
      <w:r>
        <w:rPr>
          <w:rFonts w:ascii="Times New Roman" w:hAnsi="Times New Roman"/>
          <w:i w:val="0"/>
          <w:sz w:val="24"/>
        </w:rPr>
        <w:t>Alternatives. Storing one employee ID in incident is simple but cannot accurately represent multi-person events. Repeating the incident once per employee creates contradictory copies of severity and corrective action. The selected model stores the event once and associates people through incidentemployee, including involvement role and employee-level lost hours.</w:t>
      </w:r>
    </w:p>
    <w:p>
      <w:pPr>
        <w:widowControl/>
      </w:pPr>
      <w:r>
        <w:rPr>
          <w:rFonts w:ascii="Times New Roman" w:hAnsi="Times New Roman"/>
          <w:i w:val="0"/>
          <w:sz w:val="24"/>
        </w:rPr>
        <w:t>Choice and justification. This design prevents event duplication, supports multiple affected employees and permits person- and area-level analysis. Corrective actions depend on the incident rather than an employee copy. The associative table adds complexity, but it is necessary for accurate cardinality and produces a stable 3NF structure suitable for future safety reporting.</w:t>
      </w:r>
    </w:p>
    <w:p>
      <w:pPr>
        <w:pStyle w:val="Heading1"/>
      </w:pPr>
      <w:r>
        <w:t>Task 3 — Database Functionality and Business Rules</w:t>
      </w:r>
    </w:p>
    <w:p>
      <w:pPr>
        <w:pStyle w:val="Heading2"/>
      </w:pPr>
      <w:r>
        <w:t>3a. Functionality description</w:t>
      </w:r>
    </w:p>
    <w:p>
      <w:pPr>
        <w:widowControl/>
      </w:pPr>
      <w:r>
        <w:rPr>
          <w:rFonts w:ascii="Times New Roman" w:hAnsi="Times New Roman"/>
          <w:i w:val="0"/>
          <w:sz w:val="24"/>
        </w:rPr>
        <w:t>Cloudrest Wines requires an operational database because its spreadsheet and document records no longer support business growth, government reporting or retained history. The proposed MySQL 8.x system integrates personnel, vineyards, grape varieties, harvests, wines, products, bottle procurement, customers and orders. The selected Human Resources, Workforce Planning and Wellbeing extension adds qualifications, training, shifts, labour allocation, incidents, corrective action and manager check-ins. These records support two defined sustainability measures: annual safety/sustainability training coverage and incidents per 1,000 labour hours.</w:t>
      </w:r>
    </w:p>
    <w:p>
      <w:pPr>
        <w:widowControl/>
      </w:pPr>
      <w:r>
        <w:rPr>
          <w:rFonts w:ascii="Times New Roman" w:hAnsi="Times New Roman"/>
          <w:i w:val="0"/>
          <w:sz w:val="24"/>
        </w:rPr>
        <w:t>The logical design targets third normal form. Repeating groups such as phones, wine components, order lines and training participants are represented by separate tables. Many-to-many relationships use associative tables, including winecomposition, trainingattendance and incidentemployee. Time-dependent facts are not overwritten: employee role, supervisor, phone and address associations retain start and end timestamps, while product prices retain effective dates. These structures reduce insertion, update and deletion anomalies while preserving an audit trail.</w:t>
      </w:r>
    </w:p>
    <w:p>
      <w:pPr>
        <w:widowControl/>
      </w:pPr>
      <w:r>
        <w:rPr>
          <w:rFonts w:ascii="Times New Roman" w:hAnsi="Times New Roman"/>
          <w:i w:val="0"/>
          <w:sz w:val="24"/>
        </w:rPr>
        <w:t>The database follows OLTP principles by storing one fact in one authoritative location, using short stable identifiers, enforcing referential integrity and separating transactions from derived reports. For example, a training course definition is stored once, each delivery is a trainingsession, and each employee outcome is a trainingattendance record. Purchase orders are separated from receipts because one order may arrive in multiple shipments. Customer orders retain the actual shipment-address key so a later customer move does not alter the historical transaction. Reporting logic is implemented through read-only queries and a view rather than storing duplicated totals.</w:t>
      </w:r>
    </w:p>
    <w:p>
      <w:pPr>
        <w:widowControl/>
      </w:pPr>
      <w:r>
        <w:rPr>
          <w:rFonts w:ascii="Times New Roman" w:hAnsi="Times New Roman"/>
          <w:i w:val="0"/>
          <w:sz w:val="24"/>
        </w:rPr>
        <w:t>Input controls combine appropriate types, domains and database constraints. Enumerated domains restrict employment, address, incident, training and order statuses. NOT NULL, UNIQUE and range CHECK constraints prevent incomplete or implausible records. Composite keys prevent duplicate relationship instances. Foreign keys specify deliberate update/delete actions. Triggers enforce cross-row or cross-table rules that row-level checks cannot express, including preventing overlapping role/supervisor histories and blocking shipment to a postal address. Test data includes valid cases, boundary conditions and expected failures.</w:t>
      </w:r>
    </w:p>
    <w:p>
      <w:pPr>
        <w:widowControl/>
      </w:pPr>
      <w:r>
        <w:rPr>
          <w:rFonts w:ascii="Times New Roman" w:hAnsi="Times New Roman"/>
          <w:i w:val="0"/>
          <w:sz w:val="24"/>
        </w:rPr>
        <w:t>Security is based on least privilege and data minimisation. TFNs, dates of birth, contact details, incident records and wellbeing notes are sensitive. Production access should be divided into administrator, HR manager, safety officer, supervisor and de-identified report-viewer roles. Ordinary reporting should identify employees by internal ID and expose aggregated concern counts rather than confidential notes. TFNs should be encrypted or masked outside authorised HR workflows, exports should omit unnecessary personal data, and all development/test records must remain fictitious. Backups and SQL exports require the same access controls as the live database.</w:t>
      </w:r>
    </w:p>
    <w:p>
      <w:pPr>
        <w:widowControl/>
      </w:pPr>
      <w:r>
        <w:rPr>
          <w:rFonts w:ascii="Times New Roman" w:hAnsi="Times New Roman"/>
          <w:i w:val="0"/>
          <w:sz w:val="24"/>
        </w:rPr>
        <w:t>The design deliberately excludes payroll, detailed payment instruments, delivery-cost accounting and inventory for corks, labels, barrels and packing boxes. Those functions remain in external accounting or purchasing processes, as specified by the case. This boundary keeps the database transaction-focused while providing management with reliable workforce and sustainability information.</w:t>
      </w:r>
    </w:p>
    <w:p>
      <w:pPr>
        <w:pStyle w:val="Heading2"/>
      </w:pPr>
      <w:r>
        <w:t>3b. Five database-enforced business rules</w:t>
      </w:r>
    </w:p>
    <w:p>
      <w:pPr>
        <w:pStyle w:val="Heading3"/>
      </w:pPr>
      <w:r>
        <w:t>Rule 1 — Historical role dates</w:t>
      </w:r>
    </w:p>
    <w:p>
      <w:pPr>
        <w:widowControl/>
      </w:pPr>
      <w:r>
        <w:rPr>
          <w:rFonts w:ascii="Times New Roman" w:hAnsi="Times New Roman"/>
          <w:i w:val="0"/>
          <w:sz w:val="24"/>
        </w:rPr>
        <w:t>Plain-English rule. An employee role appointment may be current with no end date, but if an end date/time is recorded it cannot precede the start date/time. This implements the case requirement to retain personnel history using start and end dates.</w:t>
      </w:r>
    </w:p>
    <w:p>
      <w:pPr>
        <w:widowControl/>
      </w:pPr>
      <w:r>
        <w:rPr>
          <w:rFonts w:ascii="Times New Roman" w:hAnsi="Times New Roman"/>
          <w:i w:val="0"/>
          <w:sz w:val="24"/>
        </w:rPr>
        <w:t>Mechanism. CHECK (endDateTime IS NULL OR endDateTime &gt;= startDateTime) on employeerole.</w:t>
      </w:r>
    </w:p>
    <w:p>
      <w:pPr>
        <w:widowControl/>
      </w:pPr>
      <w:r>
        <w:rPr>
          <w:rFonts w:ascii="Times New Roman" w:hAnsi="Times New Roman"/>
          <w:i w:val="0"/>
          <w:sz w:val="24"/>
        </w:rPr>
        <w:t>Violation evidence. Insert a new employee role with an end in May 2026 and a start in June 2026. MySQL returns Error 3819 for chk_employeerole_dates.</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INSERT INTO employee VALUES ('EMP9999','Test','InvalidDate','998877665','2026-01-01',NULL);</w:t>
        <w:br/>
        <w:t>INSERT INTO employeerole VALUES</w:t>
        <w:br/>
        <w:t>('EMP9999','ROLE07','AREA04','2026-06-01 09:00:00','2026-05-01 09:00:00','PARTTIME','PERMANENT');</w:t>
      </w:r>
    </w:p>
    <w:p>
      <w:pPr>
        <w:keepNext/>
        <w:jc w:val="center"/>
      </w:pPr>
      <w:r>
        <w:drawing>
          <wp:inline xmlns:a="http://schemas.openxmlformats.org/drawingml/2006/main" xmlns:pic="http://schemas.openxmlformats.org/drawingml/2006/picture">
            <wp:extent cx="5669280" cy="775745"/>
            <wp:docPr id="1" name="Picture 1" descr="Image: image1.png"/>
            <wp:cNvGraphicFramePr>
              <a:graphicFrameLocks noChangeAspect="1"/>
            </wp:cNvGraphicFramePr>
            <a:graphic>
              <a:graphicData uri="http://schemas.openxmlformats.org/drawingml/2006/picture">
                <pic:pic>
                  <pic:nvPicPr>
                    <pic:cNvPr id="0" name="t02_invalidroledate.png"/>
                    <pic:cNvPicPr/>
                  </pic:nvPicPr>
                  <pic:blipFill>
                    <a:blip r:embed="rId11"/>
                    <a:stretch>
                      <a:fillRect/>
                    </a:stretch>
                  </pic:blipFill>
                  <pic:spPr>
                    <a:xfrm>
                      <a:off x="0" y="0"/>
                      <a:ext cx="5669280" cy="775745"/>
                    </a:xfrm>
                    <a:prstGeom prst="rect"/>
                  </pic:spPr>
                </pic:pic>
              </a:graphicData>
            </a:graphic>
          </wp:inline>
        </w:drawing>
      </w:r>
    </w:p>
    <w:p>
      <w:pPr>
        <w:spacing w:after="160"/>
        <w:jc w:val="center"/>
      </w:pPr>
      <w:r>
        <w:rPr>
          <w:rFonts w:ascii="Times New Roman" w:hAnsi="Times New Roman"/>
          <w:i/>
          <w:color w:val="5B6573"/>
          <w:sz w:val="18"/>
        </w:rPr>
        <w:t>Figure — MySQL 8.4 response for Rule 1</w:t>
      </w:r>
    </w:p>
    <w:p>
      <w:pPr>
        <w:pStyle w:val="Heading3"/>
      </w:pPr>
      <w:r>
        <w:t>Rule 2 — Bottle reorder explanation</w:t>
      </w:r>
    </w:p>
    <w:p>
      <w:pPr>
        <w:widowControl/>
      </w:pPr>
      <w:r>
        <w:rPr>
          <w:rFonts w:ascii="Times New Roman" w:hAnsi="Times New Roman"/>
          <w:i w:val="0"/>
          <w:sz w:val="24"/>
        </w:rPr>
        <w:t>Plain-English rule. When a bottle type is flagged not to be reordered, a non-blank explanation must be stored, particularly where quality or sourcing problems exist.</w:t>
      </w:r>
    </w:p>
    <w:p>
      <w:pPr>
        <w:widowControl/>
      </w:pPr>
      <w:r>
        <w:rPr>
          <w:rFonts w:ascii="Times New Roman" w:hAnsi="Times New Roman"/>
          <w:i w:val="0"/>
          <w:sz w:val="24"/>
        </w:rPr>
        <w:t>Mechanism. A CHECK requires either reorderFlag = TRUE or a non-empty reorderComment.</w:t>
      </w:r>
    </w:p>
    <w:p>
      <w:pPr>
        <w:widowControl/>
      </w:pPr>
      <w:r>
        <w:rPr>
          <w:rFonts w:ascii="Times New Roman" w:hAnsi="Times New Roman"/>
          <w:i w:val="0"/>
          <w:sz w:val="24"/>
        </w:rPr>
        <w:t>Violation evidence. Insert a bottle with reorderFlag = FALSE and a NULL comment. MySQL returns Error 3819 for chk_bottletype_reorder.</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INSERT INTO bottletype VALUES</w:t>
        <w:br/>
        <w:t>('BOTL099',750,'Test','GLASS','Green',0,1.00,FALSE,NULL);</w:t>
      </w:r>
    </w:p>
    <w:p>
      <w:pPr>
        <w:keepNext/>
        <w:jc w:val="center"/>
      </w:pPr>
      <w:r>
        <w:drawing>
          <wp:inline xmlns:a="http://schemas.openxmlformats.org/drawingml/2006/main" xmlns:pic="http://schemas.openxmlformats.org/drawingml/2006/picture">
            <wp:extent cx="5669280" cy="775745"/>
            <wp:docPr id="2" name="Picture 2" descr="Image: image2.png"/>
            <wp:cNvGraphicFramePr>
              <a:graphicFrameLocks noChangeAspect="1"/>
            </wp:cNvGraphicFramePr>
            <a:graphic>
              <a:graphicData uri="http://schemas.openxmlformats.org/drawingml/2006/picture">
                <pic:pic>
                  <pic:nvPicPr>
                    <pic:cNvPr id="0" name="t03_missingreordercomment.png"/>
                    <pic:cNvPicPr/>
                  </pic:nvPicPr>
                  <pic:blipFill>
                    <a:blip r:embed="rId12"/>
                    <a:stretch>
                      <a:fillRect/>
                    </a:stretch>
                  </pic:blipFill>
                  <pic:spPr>
                    <a:xfrm>
                      <a:off x="0" y="0"/>
                      <a:ext cx="5669280" cy="775745"/>
                    </a:xfrm>
                    <a:prstGeom prst="rect"/>
                  </pic:spPr>
                </pic:pic>
              </a:graphicData>
            </a:graphic>
          </wp:inline>
        </w:drawing>
      </w:r>
    </w:p>
    <w:p>
      <w:pPr>
        <w:spacing w:after="160"/>
        <w:jc w:val="center"/>
      </w:pPr>
      <w:r>
        <w:rPr>
          <w:rFonts w:ascii="Times New Roman" w:hAnsi="Times New Roman"/>
          <w:i/>
          <w:color w:val="5B6573"/>
          <w:sz w:val="18"/>
        </w:rPr>
        <w:t>Figure — MySQL 8.4 response for Rule 2</w:t>
      </w:r>
    </w:p>
    <w:p>
      <w:pPr>
        <w:pStyle w:val="Heading3"/>
      </w:pPr>
      <w:r>
        <w:t>Rule 3 — Individual customer legal age</w:t>
      </w:r>
    </w:p>
    <w:p>
      <w:pPr>
        <w:widowControl/>
      </w:pPr>
      <w:r>
        <w:rPr>
          <w:rFonts w:ascii="Times New Roman" w:hAnsi="Times New Roman"/>
          <w:i w:val="0"/>
          <w:sz w:val="24"/>
        </w:rPr>
        <w:t>Plain-English rule. The case requires an individual customer's date of birth to demonstrate legal age. Cloudrest Wines therefore rejects an individual younger than 18 at the time the row is inserted or updated.</w:t>
      </w:r>
    </w:p>
    <w:p>
      <w:pPr>
        <w:widowControl/>
      </w:pPr>
      <w:r>
        <w:rPr>
          <w:rFonts w:ascii="Times New Roman" w:hAnsi="Times New Roman"/>
          <w:i w:val="0"/>
          <w:sz w:val="24"/>
        </w:rPr>
        <w:t>Mechanism. trg_individualcustomer_legalage_insert and its update equivalent compare dateOfBirth with the date 18 years before CURRENT_DATE and raise SQLSTATE '45000' when invalid.</w:t>
      </w:r>
    </w:p>
    <w:p>
      <w:pPr>
        <w:widowControl/>
      </w:pPr>
      <w:r>
        <w:rPr>
          <w:rFonts w:ascii="Times New Roman" w:hAnsi="Times New Roman"/>
          <w:i w:val="0"/>
          <w:sz w:val="24"/>
        </w:rPr>
        <w:t>Violation evidence. Insert an individual customer whose birth date is only 17 years earlier. MySQL returns Error 1644 with the purpose-written legal-age message.</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INSERT INTO customer VALUES ('CUST099','INDIVIDUAL','underage@example.test',TRUE);</w:t>
        <w:br/>
        <w:t>INSERT INTO individualcustomer VALUES</w:t>
        <w:br/>
        <w:t>('CUST099','Test','Underage',DATE_SUB(CURRENT_DATE,INTERVAL 17 YEAR));</w:t>
      </w:r>
    </w:p>
    <w:p>
      <w:pPr>
        <w:keepNext/>
        <w:jc w:val="center"/>
      </w:pPr>
      <w:r>
        <w:drawing>
          <wp:inline xmlns:a="http://schemas.openxmlformats.org/drawingml/2006/main" xmlns:pic="http://schemas.openxmlformats.org/drawingml/2006/picture">
            <wp:extent cx="5669280" cy="819469"/>
            <wp:docPr id="3" name="Picture 3" descr="Image: image3.png"/>
            <wp:cNvGraphicFramePr>
              <a:graphicFrameLocks noChangeAspect="1"/>
            </wp:cNvGraphicFramePr>
            <a:graphic>
              <a:graphicData uri="http://schemas.openxmlformats.org/drawingml/2006/picture">
                <pic:pic>
                  <pic:nvPicPr>
                    <pic:cNvPr id="0" name="t04_underagecustomer.png"/>
                    <pic:cNvPicPr/>
                  </pic:nvPicPr>
                  <pic:blipFill>
                    <a:blip r:embed="rId13"/>
                    <a:stretch>
                      <a:fillRect/>
                    </a:stretch>
                  </pic:blipFill>
                  <pic:spPr>
                    <a:xfrm>
                      <a:off x="0" y="0"/>
                      <a:ext cx="5669280" cy="819469"/>
                    </a:xfrm>
                    <a:prstGeom prst="rect"/>
                  </pic:spPr>
                </pic:pic>
              </a:graphicData>
            </a:graphic>
          </wp:inline>
        </w:drawing>
      </w:r>
    </w:p>
    <w:p>
      <w:pPr>
        <w:spacing w:after="160"/>
        <w:jc w:val="center"/>
      </w:pPr>
      <w:r>
        <w:rPr>
          <w:rFonts w:ascii="Times New Roman" w:hAnsi="Times New Roman"/>
          <w:i/>
          <w:color w:val="5B6573"/>
          <w:sz w:val="18"/>
        </w:rPr>
        <w:t>Figure — MySQL 8.4 response for Rule 3</w:t>
      </w:r>
    </w:p>
    <w:p>
      <w:pPr>
        <w:pStyle w:val="Heading3"/>
      </w:pPr>
      <w:r>
        <w:t>Rule 4 — Physical shipment address</w:t>
      </w:r>
    </w:p>
    <w:p>
      <w:pPr>
        <w:widowControl/>
      </w:pPr>
      <w:r>
        <w:rPr>
          <w:rFonts w:ascii="Times New Roman" w:hAnsi="Times New Roman"/>
          <w:i w:val="0"/>
          <w:sz w:val="24"/>
        </w:rPr>
        <w:t>Plain-English rule. A customer order must be shipped to the customer's current physical address and never to a PO Box or private bag. It must also be paid before shipment.</w:t>
      </w:r>
    </w:p>
    <w:p>
      <w:pPr>
        <w:widowControl/>
      </w:pPr>
      <w:r>
        <w:rPr>
          <w:rFonts w:ascii="Times New Roman" w:hAnsi="Times New Roman"/>
          <w:i w:val="0"/>
          <w:sz w:val="24"/>
        </w:rPr>
        <w:t>Mechanism. trg_shipment_validate_insert reads the order, address and current customer-address association before allowing a shipment.</w:t>
      </w:r>
    </w:p>
    <w:p>
      <w:pPr>
        <w:widowControl/>
      </w:pPr>
      <w:r>
        <w:rPr>
          <w:rFonts w:ascii="Times New Roman" w:hAnsi="Times New Roman"/>
          <w:i w:val="0"/>
          <w:sz w:val="24"/>
        </w:rPr>
        <w:t>Violation evidence. Create a paid order and attempt shipment to ADDR0004, a current PO Box address. The trigger raises Error 1644 with a purpose-written message.</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INSERT INTO customerorder VALUES ('CORD0099','CUST001',CURRENT_DATE,TRUE,'PENDING');</w:t>
        <w:br/>
        <w:t>INSERT INTO orderline VALUES ('CORD0099','PROD001',1,360.00);</w:t>
        <w:br/>
        <w:t>INSERT INTO shipment VALUES ('SHIP0099','CORD0099','ADDR0004',CURRENT_DATE);</w:t>
      </w:r>
    </w:p>
    <w:p>
      <w:pPr>
        <w:keepNext/>
        <w:jc w:val="center"/>
      </w:pPr>
      <w:r>
        <w:drawing>
          <wp:inline xmlns:a="http://schemas.openxmlformats.org/drawingml/2006/main" xmlns:pic="http://schemas.openxmlformats.org/drawingml/2006/picture">
            <wp:extent cx="5669280" cy="657968"/>
            <wp:docPr id="4" name="Picture 4" descr="Image: image4.png"/>
            <wp:cNvGraphicFramePr>
              <a:graphicFrameLocks noChangeAspect="1"/>
            </wp:cNvGraphicFramePr>
            <a:graphic>
              <a:graphicData uri="http://schemas.openxmlformats.org/drawingml/2006/picture">
                <pic:pic>
                  <pic:nvPicPr>
                    <pic:cNvPr id="0" name="t05_postalshipment.png"/>
                    <pic:cNvPicPr/>
                  </pic:nvPicPr>
                  <pic:blipFill>
                    <a:blip r:embed="rId14"/>
                    <a:stretch>
                      <a:fillRect/>
                    </a:stretch>
                  </pic:blipFill>
                  <pic:spPr>
                    <a:xfrm>
                      <a:off x="0" y="0"/>
                      <a:ext cx="5669280" cy="657968"/>
                    </a:xfrm>
                    <a:prstGeom prst="rect"/>
                  </pic:spPr>
                </pic:pic>
              </a:graphicData>
            </a:graphic>
          </wp:inline>
        </w:drawing>
      </w:r>
    </w:p>
    <w:p>
      <w:pPr>
        <w:spacing w:after="160"/>
        <w:jc w:val="center"/>
      </w:pPr>
      <w:r>
        <w:rPr>
          <w:rFonts w:ascii="Times New Roman" w:hAnsi="Times New Roman"/>
          <w:i/>
          <w:color w:val="5B6573"/>
          <w:sz w:val="18"/>
        </w:rPr>
        <w:t>Figure — MySQL 8.4 response for Rule 4</w:t>
      </w:r>
    </w:p>
    <w:p>
      <w:pPr>
        <w:pStyle w:val="Heading3"/>
      </w:pPr>
      <w:r>
        <w:t>Rule 5 — Grape juice conversion percentage</w:t>
      </w:r>
    </w:p>
    <w:p>
      <w:pPr>
        <w:widowControl/>
      </w:pPr>
      <w:r>
        <w:rPr>
          <w:rFonts w:ascii="Times New Roman" w:hAnsi="Times New Roman"/>
          <w:i w:val="0"/>
          <w:sz w:val="24"/>
        </w:rPr>
        <w:t>Plain-English rule. The case defines a grape variety's juice conversion ratio as a percentage. It must therefore be greater than zero and cannot exceed 100 percent.</w:t>
      </w:r>
    </w:p>
    <w:p>
      <w:pPr>
        <w:widowControl/>
      </w:pPr>
      <w:r>
        <w:rPr>
          <w:rFonts w:ascii="Times New Roman" w:hAnsi="Times New Roman"/>
          <w:i w:val="0"/>
          <w:sz w:val="24"/>
        </w:rPr>
        <w:t>Mechanism. CHECK (juiceConversionPercent &gt; 0 AND juiceConversionPercent &lt;= 100) on grapevariety.</w:t>
      </w:r>
    </w:p>
    <w:p>
      <w:pPr>
        <w:widowControl/>
      </w:pPr>
      <w:r>
        <w:rPr>
          <w:rFonts w:ascii="Times New Roman" w:hAnsi="Times New Roman"/>
          <w:i w:val="0"/>
          <w:sz w:val="24"/>
        </w:rPr>
        <w:t>Violation evidence. Insert a test grape variety with a conversion ratio of 120 percent. MySQL returns Error 3819 for chk_grapevariety_conversion.</w:t>
      </w:r>
    </w:p>
    <w:p>
      <w:pPr>
        <w:widowControl/>
      </w:pPr>
      <w:r>
        <w:rPr>
          <w:rFonts w:ascii="Times New Roman" w:hAnsi="Times New Roman"/>
          <w:i w:val="0"/>
          <w:sz w:val="24"/>
        </w:rPr>
        <w:t>The readable demonstration SQL is maintained in database/tests/task3b_ruleviolations.sql. Final MySQL Workbench screenshots should be inserted immediately after each rule in the Word report.</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USE cloudrestwines;</w:t>
        <w:br/>
        <w:t>-- Expected failure: the juice conversion ratio is a percentage and cannot exceed 100%.</w:t>
        <w:br/>
        <w:t>INSERT INTO grapevariety VALUES</w:t>
        <w:br/>
        <w:t>('GRAP099','Invalid Test Variety',120.00,'STAINLESSSTEEL',30);</w:t>
      </w:r>
    </w:p>
    <w:p>
      <w:pPr>
        <w:keepNext/>
        <w:jc w:val="center"/>
      </w:pPr>
      <w:r>
        <w:drawing>
          <wp:inline xmlns:a="http://schemas.openxmlformats.org/drawingml/2006/main" xmlns:pic="http://schemas.openxmlformats.org/drawingml/2006/picture">
            <wp:extent cx="5669280" cy="734650"/>
            <wp:docPr id="5" name="Picture 5" descr="Image: image5.png"/>
            <wp:cNvGraphicFramePr>
              <a:graphicFrameLocks noChangeAspect="1"/>
            </wp:cNvGraphicFramePr>
            <a:graphic>
              <a:graphicData uri="http://schemas.openxmlformats.org/drawingml/2006/picture">
                <pic:pic>
                  <pic:nvPicPr>
                    <pic:cNvPr id="0" name="t06_invalidconversionpercentage.png"/>
                    <pic:cNvPicPr/>
                  </pic:nvPicPr>
                  <pic:blipFill>
                    <a:blip r:embed="rId15"/>
                    <a:stretch>
                      <a:fillRect/>
                    </a:stretch>
                  </pic:blipFill>
                  <pic:spPr>
                    <a:xfrm>
                      <a:off x="0" y="0"/>
                      <a:ext cx="5669280" cy="734650"/>
                    </a:xfrm>
                    <a:prstGeom prst="rect"/>
                  </pic:spPr>
                </pic:pic>
              </a:graphicData>
            </a:graphic>
          </wp:inline>
        </w:drawing>
      </w:r>
    </w:p>
    <w:p>
      <w:pPr>
        <w:spacing w:after="160"/>
        <w:jc w:val="center"/>
      </w:pPr>
      <w:r>
        <w:rPr>
          <w:rFonts w:ascii="Times New Roman" w:hAnsi="Times New Roman"/>
          <w:i/>
          <w:color w:val="5B6573"/>
          <w:sz w:val="18"/>
        </w:rPr>
        <w:t>Figure — MySQL 8.4 response for Rule 5</w:t>
      </w:r>
    </w:p>
    <w:p>
      <w:pPr>
        <w:pStyle w:val="Heading1"/>
      </w:pPr>
      <w:r>
        <w:t>Task 4 — ER Diagram with Annotated Alternatives</w:t>
      </w:r>
    </w:p>
    <w:p>
      <w:pPr>
        <w:widowControl/>
      </w:pPr>
      <w:r>
        <w:rPr>
          <w:rFonts w:ascii="Times New Roman" w:hAnsi="Times New Roman"/>
          <w:i w:val="0"/>
          <w:sz w:val="24"/>
        </w:rPr>
        <w:t>The editable MySQL Workbench model contains one complete diagram and six domain views. The full view demonstrates scope; the domain figures preserve readable attributes, keys and UML cardinalities. Assumptions are stated explicitly and do not contradict the case.</w:t>
      </w:r>
    </w:p>
    <w:p>
      <w:pPr>
        <w:keepNext/>
        <w:jc w:val="center"/>
      </w:pPr>
      <w:r>
        <w:drawing>
          <wp:inline xmlns:a="http://schemas.openxmlformats.org/drawingml/2006/main" xmlns:pic="http://schemas.openxmlformats.org/drawingml/2006/picture">
            <wp:extent cx="3840480" cy="6351468"/>
            <wp:docPr id="6" name="Picture 6" descr="Image: image6.png"/>
            <wp:cNvGraphicFramePr>
              <a:graphicFrameLocks noChangeAspect="1"/>
            </wp:cNvGraphicFramePr>
            <a:graphic>
              <a:graphicData uri="http://schemas.openxmlformats.org/drawingml/2006/picture">
                <pic:pic>
                  <pic:nvPicPr>
                    <pic:cNvPr id="0" name="Cloudrest_Wines_ER_Diagram.png"/>
                    <pic:cNvPicPr/>
                  </pic:nvPicPr>
                  <pic:blipFill>
                    <a:blip r:embed="rId16"/>
                    <a:stretch>
                      <a:fillRect/>
                    </a:stretch>
                  </pic:blipFill>
                  <pic:spPr>
                    <a:xfrm>
                      <a:off x="0" y="0"/>
                      <a:ext cx="3840480" cy="6351468"/>
                    </a:xfrm>
                    <a:prstGeom prst="rect"/>
                  </pic:spPr>
                </pic:pic>
              </a:graphicData>
            </a:graphic>
          </wp:inline>
        </w:drawing>
      </w:r>
    </w:p>
    <w:p>
      <w:pPr>
        <w:spacing w:after="160"/>
        <w:jc w:val="center"/>
      </w:pPr>
      <w:r>
        <w:rPr>
          <w:rFonts w:ascii="Times New Roman" w:hAnsi="Times New Roman"/>
          <w:i/>
          <w:color w:val="5B6573"/>
          <w:sz w:val="18"/>
        </w:rPr>
        <w:t>Figure — Complete Cloudrest Wines EER model generated in MySQL Workbench</w:t>
      </w:r>
    </w:p>
    <w:tbl>
      <w:tblPr>
        <w:tblStyle w:val="TableGrid"/>
        <w:tblW w:type="dxa" w:w="9360"/>
        <w:tblLayout w:type="fixed"/>
        <w:tblLook w:firstColumn="1" w:firstRow="1" w:lastColumn="0" w:lastRow="0" w:noHBand="0" w:noVBand="1" w:val="04A0"/>
        <w:tblInd w:w="120" w:type="dxa"/>
      </w:tblPr>
      <w:tblGrid>
        <w:gridCol w:w="1900"/>
        <w:gridCol w:w="2700"/>
        <w:gridCol w:w="4760"/>
      </w:tblGrid>
      <w:tr>
        <w:trPr>
          <w:tblHeader w:val="true"/>
        </w:trPr>
        <w:tc>
          <w:tcPr>
            <w:tcW w:type="dxa" w:w="1900"/>
            <w:shd w:fill="DCE6F1"/>
            <w:vAlign w:val="center"/>
            <w:tcMar>
              <w:top w:w="80" w:type="dxa"/>
              <w:start w:w="100" w:type="dxa"/>
              <w:bottom w:w="80" w:type="dxa"/>
              <w:end w:w="100" w:type="dxa"/>
            </w:tcMar>
          </w:tcPr>
          <w:p>
            <w:pPr>
              <w:jc w:val="center"/>
            </w:pPr>
            <w:r>
              <w:rPr>
                <w:rFonts w:ascii="Times New Roman" w:hAnsi="Times New Roman"/>
                <w:b/>
                <w:color w:val="1F2937"/>
                <w:sz w:val="18"/>
              </w:rPr>
              <w:t>Design element</w:t>
            </w:r>
          </w:p>
        </w:tc>
        <w:tc>
          <w:tcPr>
            <w:tcW w:type="dxa" w:w="2700"/>
            <w:shd w:fill="DCE6F1"/>
            <w:vAlign w:val="center"/>
            <w:tcMar>
              <w:top w:w="80" w:type="dxa"/>
              <w:start w:w="100" w:type="dxa"/>
              <w:bottom w:w="80" w:type="dxa"/>
              <w:end w:w="100" w:type="dxa"/>
            </w:tcMar>
          </w:tcPr>
          <w:p>
            <w:pPr>
              <w:jc w:val="center"/>
            </w:pPr>
            <w:r>
              <w:rPr>
                <w:rFonts w:ascii="Times New Roman" w:hAnsi="Times New Roman"/>
                <w:b/>
                <w:color w:val="1F2937"/>
                <w:sz w:val="18"/>
              </w:rPr>
              <w:t>Alternative</w:t>
            </w:r>
          </w:p>
        </w:tc>
        <w:tc>
          <w:tcPr>
            <w:tcW w:type="dxa" w:w="4760"/>
            <w:shd w:fill="DCE6F1"/>
            <w:vAlign w:val="center"/>
            <w:tcMar>
              <w:top w:w="80" w:type="dxa"/>
              <w:start w:w="100" w:type="dxa"/>
              <w:bottom w:w="80" w:type="dxa"/>
              <w:end w:w="100" w:type="dxa"/>
            </w:tcMar>
          </w:tcPr>
          <w:p>
            <w:pPr>
              <w:jc w:val="center"/>
            </w:pPr>
            <w:r>
              <w:rPr>
                <w:rFonts w:ascii="Times New Roman" w:hAnsi="Times New Roman"/>
                <w:b/>
                <w:color w:val="1F2937"/>
                <w:sz w:val="18"/>
              </w:rPr>
              <w:t>Reason selected</w:t>
            </w:r>
          </w:p>
        </w:tc>
      </w:tr>
      <w:tr>
        <w:tc>
          <w:tcPr>
            <w:tcW w:type="dxa" w:w="1900"/>
            <w:vAlign w:val="center"/>
            <w:tcMar>
              <w:top w:w="80" w:type="dxa"/>
              <w:start w:w="100" w:type="dxa"/>
              <w:bottom w:w="80" w:type="dxa"/>
              <w:end w:w="100" w:type="dxa"/>
            </w:tcMar>
          </w:tcPr>
          <w:p>
            <w:pPr>
              <w:spacing w:after="0"/>
            </w:pPr>
            <w:r>
              <w:rPr>
                <w:rFonts w:ascii="Times New Roman" w:hAnsi="Times New Roman"/>
                <w:sz w:val="18"/>
              </w:rPr>
              <w:t>Customer types</w:t>
            </w:r>
          </w:p>
        </w:tc>
        <w:tc>
          <w:tcPr>
            <w:tcW w:type="dxa" w:w="2700"/>
            <w:vAlign w:val="center"/>
            <w:tcMar>
              <w:top w:w="80" w:type="dxa"/>
              <w:start w:w="100" w:type="dxa"/>
              <w:bottom w:w="80" w:type="dxa"/>
              <w:end w:w="100" w:type="dxa"/>
            </w:tcMar>
          </w:tcPr>
          <w:p>
            <w:pPr>
              <w:spacing w:after="0"/>
            </w:pPr>
            <w:r>
              <w:rPr>
                <w:rFonts w:ascii="Times New Roman" w:hAnsi="Times New Roman"/>
                <w:sz w:val="18"/>
              </w:rPr>
              <w:t>One wide customer table</w:t>
            </w:r>
          </w:p>
        </w:tc>
        <w:tc>
          <w:tcPr>
            <w:tcW w:type="dxa" w:w="4760"/>
            <w:vAlign w:val="center"/>
            <w:tcMar>
              <w:top w:w="80" w:type="dxa"/>
              <w:start w:w="100" w:type="dxa"/>
              <w:bottom w:w="80" w:type="dxa"/>
              <w:end w:w="100" w:type="dxa"/>
            </w:tcMar>
          </w:tcPr>
          <w:p>
            <w:pPr>
              <w:spacing w:after="0"/>
            </w:pPr>
            <w:r>
              <w:rPr>
                <w:rFonts w:ascii="Times New Roman" w:hAnsi="Times New Roman"/>
                <w:sz w:val="18"/>
              </w:rPr>
              <w:t>Supertype/subtypes reduce inapplicable NULLs while retaining a common order key.</w:t>
            </w:r>
          </w:p>
        </w:tc>
      </w:tr>
      <w:tr>
        <w:tc>
          <w:tcPr>
            <w:tcW w:type="dxa" w:w="1900"/>
            <w:vAlign w:val="center"/>
            <w:tcMar>
              <w:top w:w="80" w:type="dxa"/>
              <w:start w:w="100" w:type="dxa"/>
              <w:bottom w:w="80" w:type="dxa"/>
              <w:end w:w="100" w:type="dxa"/>
            </w:tcMar>
          </w:tcPr>
          <w:p>
            <w:pPr>
              <w:spacing w:after="0"/>
            </w:pPr>
            <w:r>
              <w:rPr>
                <w:rFonts w:ascii="Times New Roman" w:hAnsi="Times New Roman"/>
                <w:sz w:val="18"/>
              </w:rPr>
              <w:t>Address history</w:t>
            </w:r>
          </w:p>
        </w:tc>
        <w:tc>
          <w:tcPr>
            <w:tcW w:type="dxa" w:w="2700"/>
            <w:vAlign w:val="center"/>
            <w:tcMar>
              <w:top w:w="80" w:type="dxa"/>
              <w:start w:w="100" w:type="dxa"/>
              <w:bottom w:w="80" w:type="dxa"/>
              <w:end w:w="100" w:type="dxa"/>
            </w:tcMar>
          </w:tcPr>
          <w:p>
            <w:pPr>
              <w:spacing w:after="0"/>
            </w:pPr>
            <w:r>
              <w:rPr>
                <w:rFonts w:ascii="Times New Roman" w:hAnsi="Times New Roman"/>
                <w:sz w:val="18"/>
              </w:rPr>
              <w:t>Copied columns or polymorphic owner</w:t>
            </w:r>
          </w:p>
        </w:tc>
        <w:tc>
          <w:tcPr>
            <w:tcW w:type="dxa" w:w="4760"/>
            <w:vAlign w:val="center"/>
            <w:tcMar>
              <w:top w:w="80" w:type="dxa"/>
              <w:start w:w="100" w:type="dxa"/>
              <w:bottom w:w="80" w:type="dxa"/>
              <w:end w:w="100" w:type="dxa"/>
            </w:tcMar>
          </w:tcPr>
          <w:p>
            <w:pPr>
              <w:spacing w:after="0"/>
            </w:pPr>
            <w:r>
              <w:rPr>
                <w:rFonts w:ascii="Times New Roman" w:hAnsi="Times New Roman"/>
                <w:sz w:val="18"/>
              </w:rPr>
              <w:t>Shared address with typed dated associations gives enforceable FKs and retained history.</w:t>
            </w:r>
          </w:p>
        </w:tc>
      </w:tr>
      <w:tr>
        <w:tc>
          <w:tcPr>
            <w:tcW w:type="dxa" w:w="1900"/>
            <w:vAlign w:val="center"/>
            <w:tcMar>
              <w:top w:w="80" w:type="dxa"/>
              <w:start w:w="100" w:type="dxa"/>
              <w:bottom w:w="80" w:type="dxa"/>
              <w:end w:w="100" w:type="dxa"/>
            </w:tcMar>
          </w:tcPr>
          <w:p>
            <w:pPr>
              <w:spacing w:after="0"/>
            </w:pPr>
            <w:r>
              <w:rPr>
                <w:rFonts w:ascii="Times New Roman" w:hAnsi="Times New Roman"/>
                <w:sz w:val="18"/>
              </w:rPr>
              <w:t>Training structure</w:t>
            </w:r>
          </w:p>
        </w:tc>
        <w:tc>
          <w:tcPr>
            <w:tcW w:type="dxa" w:w="2700"/>
            <w:vAlign w:val="center"/>
            <w:tcMar>
              <w:top w:w="80" w:type="dxa"/>
              <w:start w:w="100" w:type="dxa"/>
              <w:bottom w:w="80" w:type="dxa"/>
              <w:end w:w="100" w:type="dxa"/>
            </w:tcMar>
          </w:tcPr>
          <w:p>
            <w:pPr>
              <w:spacing w:after="0"/>
            </w:pPr>
            <w:r>
              <w:rPr>
                <w:rFonts w:ascii="Times New Roman" w:hAnsi="Times New Roman"/>
                <w:sz w:val="18"/>
              </w:rPr>
              <w:t>One repeated employee-training table</w:t>
            </w:r>
          </w:p>
        </w:tc>
        <w:tc>
          <w:tcPr>
            <w:tcW w:type="dxa" w:w="4760"/>
            <w:vAlign w:val="center"/>
            <w:tcMar>
              <w:top w:w="80" w:type="dxa"/>
              <w:start w:w="100" w:type="dxa"/>
              <w:bottom w:w="80" w:type="dxa"/>
              <w:end w:w="100" w:type="dxa"/>
            </w:tcMar>
          </w:tcPr>
          <w:p>
            <w:pPr>
              <w:spacing w:after="0"/>
            </w:pPr>
            <w:r>
              <w:rPr>
                <w:rFonts w:ascii="Times New Roman" w:hAnsi="Times New Roman"/>
                <w:sz w:val="18"/>
              </w:rPr>
              <w:t>Course/session/attendance separates definition, delivery and outcome for 3NF and coverage queries.</w:t>
            </w:r>
          </w:p>
        </w:tc>
      </w:tr>
    </w:tbl>
    <w:p>
      <w:pPr>
        <w:spacing w:after="0"/>
      </w:pPr>
    </w:p>
    <w:p>
      <w:pPr>
        <w:pStyle w:val="Heading2"/>
      </w:pPr>
      <w:r>
        <w:t>Assumptions</w:t>
      </w:r>
    </w:p>
    <w:tbl>
      <w:tblPr>
        <w:tblStyle w:val="TableGrid"/>
        <w:tblW w:type="dxa" w:w="9360"/>
        <w:tblLayout w:type="fixed"/>
        <w:tblLook w:firstColumn="1" w:firstRow="1" w:lastColumn="0" w:lastRow="0" w:noHBand="0" w:noVBand="1" w:val="04A0"/>
        <w:tblInd w:w="120" w:type="dxa"/>
      </w:tblPr>
      <w:tblGrid>
        <w:gridCol w:w="1500"/>
        <w:gridCol w:w="4300"/>
        <w:gridCol w:w="3560"/>
      </w:tblGrid>
      <w:tr>
        <w:trPr>
          <w:tblHeader w:val="true"/>
        </w:trPr>
        <w:tc>
          <w:tcPr>
            <w:tcW w:type="dxa" w:w="1500"/>
            <w:shd w:fill="DCE6F1"/>
            <w:vAlign w:val="center"/>
            <w:tcMar>
              <w:top w:w="80" w:type="dxa"/>
              <w:start w:w="100" w:type="dxa"/>
              <w:bottom w:w="80" w:type="dxa"/>
              <w:end w:w="100" w:type="dxa"/>
            </w:tcMar>
          </w:tcPr>
          <w:p>
            <w:pPr>
              <w:jc w:val="center"/>
            </w:pPr>
            <w:r>
              <w:rPr>
                <w:rFonts w:ascii="Times New Roman" w:hAnsi="Times New Roman"/>
                <w:b/>
                <w:color w:val="1F2937"/>
                <w:sz w:val="17"/>
              </w:rPr>
              <w:t>Area</w:t>
            </w:r>
          </w:p>
        </w:tc>
        <w:tc>
          <w:tcPr>
            <w:tcW w:type="dxa" w:w="4300"/>
            <w:shd w:fill="DCE6F1"/>
            <w:vAlign w:val="center"/>
            <w:tcMar>
              <w:top w:w="80" w:type="dxa"/>
              <w:start w:w="100" w:type="dxa"/>
              <w:bottom w:w="80" w:type="dxa"/>
              <w:end w:w="100" w:type="dxa"/>
            </w:tcMar>
          </w:tcPr>
          <w:p>
            <w:pPr>
              <w:jc w:val="center"/>
            </w:pPr>
            <w:r>
              <w:rPr>
                <w:rFonts w:ascii="Times New Roman" w:hAnsi="Times New Roman"/>
                <w:b/>
                <w:color w:val="1F2937"/>
                <w:sz w:val="17"/>
              </w:rPr>
              <w:t>Assumption</w:t>
            </w:r>
          </w:p>
        </w:tc>
        <w:tc>
          <w:tcPr>
            <w:tcW w:type="dxa" w:w="3560"/>
            <w:shd w:fill="DCE6F1"/>
            <w:vAlign w:val="center"/>
            <w:tcMar>
              <w:top w:w="80" w:type="dxa"/>
              <w:start w:w="100" w:type="dxa"/>
              <w:bottom w:w="80" w:type="dxa"/>
              <w:end w:w="100" w:type="dxa"/>
            </w:tcMar>
          </w:tcPr>
          <w:p>
            <w:pPr>
              <w:jc w:val="center"/>
            </w:pPr>
            <w:r>
              <w:rPr>
                <w:rFonts w:ascii="Times New Roman" w:hAnsi="Times New Roman"/>
                <w:b/>
                <w:color w:val="1F2937"/>
                <w:sz w:val="17"/>
              </w:rPr>
              <w:t>Reason</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Employee names</w:t>
            </w:r>
          </w:p>
        </w:tc>
        <w:tc>
          <w:tcPr>
            <w:tcW w:type="dxa" w:w="4300"/>
            <w:vAlign w:val="center"/>
            <w:tcMar>
              <w:top w:w="80" w:type="dxa"/>
              <w:start w:w="100" w:type="dxa"/>
              <w:bottom w:w="80" w:type="dxa"/>
              <w:end w:w="100" w:type="dxa"/>
            </w:tcMar>
          </w:tcPr>
          <w:p>
            <w:pPr>
              <w:spacing w:after="0"/>
            </w:pPr>
            <w:r>
              <w:rPr>
                <w:rFonts w:ascii="Times New Roman" w:hAnsi="Times New Roman"/>
                <w:sz w:val="17"/>
              </w:rPr>
              <w:t>Names are split into first and last name for all employees</w:t>
            </w:r>
          </w:p>
        </w:tc>
        <w:tc>
          <w:tcPr>
            <w:tcW w:type="dxa" w:w="3560"/>
            <w:vAlign w:val="center"/>
            <w:tcMar>
              <w:top w:w="80" w:type="dxa"/>
              <w:start w:w="100" w:type="dxa"/>
              <w:bottom w:w="80" w:type="dxa"/>
              <w:end w:w="100" w:type="dxa"/>
            </w:tcMar>
          </w:tcPr>
          <w:p>
            <w:pPr>
              <w:spacing w:after="0"/>
            </w:pPr>
            <w:r>
              <w:rPr>
                <w:rFonts w:ascii="Times New Roman" w:hAnsi="Times New Roman"/>
                <w:sz w:val="17"/>
              </w:rPr>
              <w:t>The case says employee name but does not prescribe structure; splitting supports contact and reporting use</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Concurrent roles</w:t>
            </w:r>
          </w:p>
        </w:tc>
        <w:tc>
          <w:tcPr>
            <w:tcW w:type="dxa" w:w="4300"/>
            <w:vAlign w:val="center"/>
            <w:tcMar>
              <w:top w:w="80" w:type="dxa"/>
              <w:start w:w="100" w:type="dxa"/>
              <w:bottom w:w="80" w:type="dxa"/>
              <w:end w:w="100" w:type="dxa"/>
            </w:tcMar>
          </w:tcPr>
          <w:p>
            <w:pPr>
              <w:spacing w:after="0"/>
            </w:pPr>
            <w:r>
              <w:rPr>
                <w:rFonts w:ascii="Times New Roman" w:hAnsi="Times New Roman"/>
                <w:sz w:val="17"/>
              </w:rPr>
              <w:t>The first implementation allows one active role period per employee</w:t>
            </w:r>
          </w:p>
        </w:tc>
        <w:tc>
          <w:tcPr>
            <w:tcW w:type="dxa" w:w="3560"/>
            <w:vAlign w:val="center"/>
            <w:tcMar>
              <w:top w:w="80" w:type="dxa"/>
              <w:start w:w="100" w:type="dxa"/>
              <w:bottom w:w="80" w:type="dxa"/>
              <w:end w:w="100" w:type="dxa"/>
            </w:tcMar>
          </w:tcPr>
          <w:p>
            <w:pPr>
              <w:spacing w:after="0"/>
            </w:pPr>
            <w:r>
              <w:rPr>
                <w:rFonts w:ascii="Times New Roman" w:hAnsi="Times New Roman"/>
                <w:sz w:val="17"/>
              </w:rPr>
              <w:t>The case describes role changes but does not explicitly require concurrent roles; this can be relaxed if tutor confirms concurrent appointments</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Supervisor history</w:t>
            </w:r>
          </w:p>
        </w:tc>
        <w:tc>
          <w:tcPr>
            <w:tcW w:type="dxa" w:w="4300"/>
            <w:vAlign w:val="center"/>
            <w:tcMar>
              <w:top w:w="80" w:type="dxa"/>
              <w:start w:w="100" w:type="dxa"/>
              <w:bottom w:w="80" w:type="dxa"/>
              <w:end w:w="100" w:type="dxa"/>
            </w:tcMar>
          </w:tcPr>
          <w:p>
            <w:pPr>
              <w:spacing w:after="0"/>
            </w:pPr>
            <w:r>
              <w:rPr>
                <w:rFonts w:ascii="Times New Roman" w:hAnsi="Times New Roman"/>
                <w:sz w:val="17"/>
              </w:rPr>
              <w:t>An employee has no more than one supervisor at any instant</w:t>
            </w:r>
          </w:p>
        </w:tc>
        <w:tc>
          <w:tcPr>
            <w:tcW w:type="dxa" w:w="3560"/>
            <w:vAlign w:val="center"/>
            <w:tcMar>
              <w:top w:w="80" w:type="dxa"/>
              <w:start w:w="100" w:type="dxa"/>
              <w:bottom w:w="80" w:type="dxa"/>
              <w:end w:w="100" w:type="dxa"/>
            </w:tcMar>
          </w:tcPr>
          <w:p>
            <w:pPr>
              <w:spacing w:after="0"/>
            </w:pPr>
            <w:r>
              <w:rPr>
                <w:rFonts w:ascii="Times New Roman" w:hAnsi="Times New Roman"/>
                <w:sz w:val="17"/>
              </w:rPr>
              <w:t>Explicit case requirement</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Owners</w:t>
            </w:r>
          </w:p>
        </w:tc>
        <w:tc>
          <w:tcPr>
            <w:tcW w:type="dxa" w:w="4300"/>
            <w:vAlign w:val="center"/>
            <w:tcMar>
              <w:top w:w="80" w:type="dxa"/>
              <w:start w:w="100" w:type="dxa"/>
              <w:bottom w:w="80" w:type="dxa"/>
              <w:end w:w="100" w:type="dxa"/>
            </w:tcMar>
          </w:tcPr>
          <w:p>
            <w:pPr>
              <w:spacing w:after="0"/>
            </w:pPr>
            <w:r>
              <w:rPr>
                <w:rFonts w:ascii="Times New Roman" w:hAnsi="Times New Roman"/>
                <w:sz w:val="17"/>
              </w:rPr>
              <w:t>Christine is represented as an employee/owner role so supervisor FKs remain enforceable</w:t>
            </w:r>
          </w:p>
        </w:tc>
        <w:tc>
          <w:tcPr>
            <w:tcW w:type="dxa" w:w="3560"/>
            <w:vAlign w:val="center"/>
            <w:tcMar>
              <w:top w:w="80" w:type="dxa"/>
              <w:start w:w="100" w:type="dxa"/>
              <w:bottom w:w="80" w:type="dxa"/>
              <w:end w:w="100" w:type="dxa"/>
            </w:tcMar>
          </w:tcPr>
          <w:p>
            <w:pPr>
              <w:spacing w:after="0"/>
            </w:pPr>
            <w:r>
              <w:rPr>
                <w:rFonts w:ascii="Times New Roman" w:hAnsi="Times New Roman"/>
                <w:sz w:val="17"/>
              </w:rPr>
              <w:t>Supervisors report to Christine and the model needs an identifiable parent record</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Picking pack</w:t>
            </w:r>
          </w:p>
        </w:tc>
        <w:tc>
          <w:tcPr>
            <w:tcW w:type="dxa" w:w="4300"/>
            <w:vAlign w:val="center"/>
            <w:tcMar>
              <w:top w:w="80" w:type="dxa"/>
              <w:start w:w="100" w:type="dxa"/>
              <w:bottom w:w="80" w:type="dxa"/>
              <w:end w:w="100" w:type="dxa"/>
            </w:tcMar>
          </w:tcPr>
          <w:p>
            <w:pPr>
              <w:spacing w:after="0"/>
            </w:pPr>
            <w:r>
              <w:rPr>
                <w:rFonts w:ascii="Times New Roman" w:hAnsi="Times New Roman"/>
                <w:sz w:val="17"/>
              </w:rPr>
              <w:t>Minimum four members is checked at pack activation/finalisation, not on the first member insert</w:t>
            </w:r>
          </w:p>
        </w:tc>
        <w:tc>
          <w:tcPr>
            <w:tcW w:type="dxa" w:w="3560"/>
            <w:vAlign w:val="center"/>
            <w:tcMar>
              <w:top w:w="80" w:type="dxa"/>
              <w:start w:w="100" w:type="dxa"/>
              <w:bottom w:w="80" w:type="dxa"/>
              <w:end w:w="100" w:type="dxa"/>
            </w:tcMar>
          </w:tcPr>
          <w:p>
            <w:pPr>
              <w:spacing w:after="0"/>
            </w:pPr>
            <w:r>
              <w:rPr>
                <w:rFonts w:ascii="Times New Roman" w:hAnsi="Times New Roman"/>
                <w:sz w:val="17"/>
              </w:rPr>
              <w:t>A row trigger would make it impossible to build a new pack incrementally</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Vineyard manager</w:t>
            </w:r>
          </w:p>
        </w:tc>
        <w:tc>
          <w:tcPr>
            <w:tcW w:type="dxa" w:w="4300"/>
            <w:vAlign w:val="center"/>
            <w:tcMar>
              <w:top w:w="80" w:type="dxa"/>
              <w:start w:w="100" w:type="dxa"/>
              <w:bottom w:w="80" w:type="dxa"/>
              <w:end w:w="100" w:type="dxa"/>
            </w:tcMar>
          </w:tcPr>
          <w:p>
            <w:pPr>
              <w:spacing w:after="0"/>
            </w:pPr>
            <w:r>
              <w:rPr>
                <w:rFonts w:ascii="Times New Roman" w:hAnsi="Times New Roman"/>
                <w:sz w:val="17"/>
              </w:rPr>
              <w:t>The manager is the current manager; a future extension could add dated vineyard-management history</w:t>
            </w:r>
          </w:p>
        </w:tc>
        <w:tc>
          <w:tcPr>
            <w:tcW w:type="dxa" w:w="3560"/>
            <w:vAlign w:val="center"/>
            <w:tcMar>
              <w:top w:w="80" w:type="dxa"/>
              <w:start w:w="100" w:type="dxa"/>
              <w:bottom w:w="80" w:type="dxa"/>
              <w:end w:w="100" w:type="dxa"/>
            </w:tcMar>
          </w:tcPr>
          <w:p>
            <w:pPr>
              <w:spacing w:after="0"/>
            </w:pPr>
            <w:r>
              <w:rPr>
                <w:rFonts w:ascii="Times New Roman" w:hAnsi="Times New Roman"/>
                <w:sz w:val="17"/>
              </w:rPr>
              <w:t>Case states one manager and no employee manages more than one vineyard, but does not explicitly request this history</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Wine recipe</w:t>
            </w:r>
          </w:p>
        </w:tc>
        <w:tc>
          <w:tcPr>
            <w:tcW w:type="dxa" w:w="4300"/>
            <w:vAlign w:val="center"/>
            <w:tcMar>
              <w:top w:w="80" w:type="dxa"/>
              <w:start w:w="100" w:type="dxa"/>
              <w:bottom w:w="80" w:type="dxa"/>
              <w:end w:w="100" w:type="dxa"/>
            </w:tcMar>
          </w:tcPr>
          <w:p>
            <w:pPr>
              <w:spacing w:after="0"/>
            </w:pPr>
            <w:r>
              <w:rPr>
                <w:rFonts w:ascii="Times New Roman" w:hAnsi="Times New Roman"/>
                <w:sz w:val="17"/>
              </w:rPr>
              <w:t>Composition rows must total 100% before a wine is released</w:t>
            </w:r>
          </w:p>
        </w:tc>
        <w:tc>
          <w:tcPr>
            <w:tcW w:type="dxa" w:w="3560"/>
            <w:vAlign w:val="center"/>
            <w:tcMar>
              <w:top w:w="80" w:type="dxa"/>
              <w:start w:w="100" w:type="dxa"/>
              <w:bottom w:w="80" w:type="dxa"/>
              <w:end w:w="100" w:type="dxa"/>
            </w:tcMar>
          </w:tcPr>
          <w:p>
            <w:pPr>
              <w:spacing w:after="0"/>
            </w:pPr>
            <w:r>
              <w:rPr>
                <w:rFonts w:ascii="Times New Roman" w:hAnsi="Times New Roman"/>
                <w:sz w:val="17"/>
              </w:rPr>
              <w:t>The case requires proportions; staged recipe entry means this is not enforced on each individual row insert</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Product identity</w:t>
            </w:r>
          </w:p>
        </w:tc>
        <w:tc>
          <w:tcPr>
            <w:tcW w:type="dxa" w:w="4300"/>
            <w:vAlign w:val="center"/>
            <w:tcMar>
              <w:top w:w="80" w:type="dxa"/>
              <w:start w:w="100" w:type="dxa"/>
              <w:bottom w:w="80" w:type="dxa"/>
              <w:end w:w="100" w:type="dxa"/>
            </w:tcMar>
          </w:tcPr>
          <w:p>
            <w:pPr>
              <w:spacing w:after="0"/>
            </w:pPr>
            <w:r>
              <w:rPr>
                <w:rFonts w:ascii="Times New Roman" w:hAnsi="Times New Roman"/>
                <w:sz w:val="17"/>
              </w:rPr>
              <w:t>Wine, bottle type and case quantity uniquely define a product</w:t>
            </w:r>
          </w:p>
        </w:tc>
        <w:tc>
          <w:tcPr>
            <w:tcW w:type="dxa" w:w="3560"/>
            <w:vAlign w:val="center"/>
            <w:tcMar>
              <w:top w:w="80" w:type="dxa"/>
              <w:start w:w="100" w:type="dxa"/>
              <w:bottom w:w="80" w:type="dxa"/>
              <w:end w:w="100" w:type="dxa"/>
            </w:tcMar>
          </w:tcPr>
          <w:p>
            <w:pPr>
              <w:spacing w:after="0"/>
            </w:pPr>
            <w:r>
              <w:rPr>
                <w:rFonts w:ascii="Times New Roman" w:hAnsi="Times New Roman"/>
                <w:sz w:val="17"/>
              </w:rPr>
              <w:t>Directly follows the case definition of product</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Shipment</w:t>
            </w:r>
          </w:p>
        </w:tc>
        <w:tc>
          <w:tcPr>
            <w:tcW w:type="dxa" w:w="4300"/>
            <w:vAlign w:val="center"/>
            <w:tcMar>
              <w:top w:w="80" w:type="dxa"/>
              <w:start w:w="100" w:type="dxa"/>
              <w:bottom w:w="80" w:type="dxa"/>
              <w:end w:w="100" w:type="dxa"/>
            </w:tcMar>
          </w:tcPr>
          <w:p>
            <w:pPr>
              <w:spacing w:after="0"/>
            </w:pPr>
            <w:r>
              <w:rPr>
                <w:rFonts w:ascii="Times New Roman" w:hAnsi="Times New Roman"/>
                <w:sz w:val="17"/>
              </w:rPr>
              <w:t>Each customer order has at most one shipment and the shipment retains its physical address ID</w:t>
            </w:r>
          </w:p>
        </w:tc>
        <w:tc>
          <w:tcPr>
            <w:tcW w:type="dxa" w:w="3560"/>
            <w:vAlign w:val="center"/>
            <w:tcMar>
              <w:top w:w="80" w:type="dxa"/>
              <w:start w:w="100" w:type="dxa"/>
              <w:bottom w:w="80" w:type="dxa"/>
              <w:end w:w="100" w:type="dxa"/>
            </w:tcMar>
          </w:tcPr>
          <w:p>
            <w:pPr>
              <w:spacing w:after="0"/>
            </w:pPr>
            <w:r>
              <w:rPr>
                <w:rFonts w:ascii="Times New Roman" w:hAnsi="Times New Roman"/>
                <w:sz w:val="17"/>
              </w:rPr>
              <w:t>The case prohibits back orders and requires a single shipment to the current physical address</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HR incident rate</w:t>
            </w:r>
          </w:p>
        </w:tc>
        <w:tc>
          <w:tcPr>
            <w:tcW w:type="dxa" w:w="4300"/>
            <w:vAlign w:val="center"/>
            <w:tcMar>
              <w:top w:w="80" w:type="dxa"/>
              <w:start w:w="100" w:type="dxa"/>
              <w:bottom w:w="80" w:type="dxa"/>
              <w:end w:w="100" w:type="dxa"/>
            </w:tcMar>
          </w:tcPr>
          <w:p>
            <w:pPr>
              <w:spacing w:after="0"/>
            </w:pPr>
            <w:r>
              <w:rPr>
                <w:rFonts w:ascii="Times New Roman" w:hAnsi="Times New Roman"/>
                <w:sz w:val="17"/>
              </w:rPr>
              <w:t>One incident is counted once per operational area regardless of people involved</w:t>
            </w:r>
          </w:p>
        </w:tc>
        <w:tc>
          <w:tcPr>
            <w:tcW w:type="dxa" w:w="3560"/>
            <w:vAlign w:val="center"/>
            <w:tcMar>
              <w:top w:w="80" w:type="dxa"/>
              <w:start w:w="100" w:type="dxa"/>
              <w:bottom w:w="80" w:type="dxa"/>
              <w:end w:w="100" w:type="dxa"/>
            </w:tcMar>
          </w:tcPr>
          <w:p>
            <w:pPr>
              <w:spacing w:after="0"/>
            </w:pPr>
            <w:r>
              <w:rPr>
                <w:rFonts w:ascii="Times New Roman" w:hAnsi="Times New Roman"/>
                <w:sz w:val="17"/>
              </w:rPr>
              <w:t>Prevents multi-person incidents being double-counted in the sustainability numerator</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Labour hours</w:t>
            </w:r>
          </w:p>
        </w:tc>
        <w:tc>
          <w:tcPr>
            <w:tcW w:type="dxa" w:w="4300"/>
            <w:vAlign w:val="center"/>
            <w:tcMar>
              <w:top w:w="80" w:type="dxa"/>
              <w:start w:w="100" w:type="dxa"/>
              <w:bottom w:w="80" w:type="dxa"/>
              <w:end w:w="100" w:type="dxa"/>
            </w:tcMar>
          </w:tcPr>
          <w:p>
            <w:pPr>
              <w:spacing w:after="0"/>
            </w:pPr>
            <w:r>
              <w:rPr>
                <w:rFonts w:ascii="Times New Roman" w:hAnsi="Times New Roman"/>
                <w:sz w:val="17"/>
              </w:rPr>
              <w:t>`regularHours + overtimeHours` in shift assignments is the reportable labour-hours denominator</w:t>
            </w:r>
          </w:p>
        </w:tc>
        <w:tc>
          <w:tcPr>
            <w:tcW w:type="dxa" w:w="3560"/>
            <w:vAlign w:val="center"/>
            <w:tcMar>
              <w:top w:w="80" w:type="dxa"/>
              <w:start w:w="100" w:type="dxa"/>
              <w:bottom w:w="80" w:type="dxa"/>
              <w:end w:w="100" w:type="dxa"/>
            </w:tcMar>
          </w:tcPr>
          <w:p>
            <w:pPr>
              <w:spacing w:after="0"/>
            </w:pPr>
            <w:r>
              <w:rPr>
                <w:rFonts w:ascii="Times New Roman" w:hAnsi="Times New Roman"/>
                <w:sz w:val="17"/>
              </w:rPr>
              <w:t>Required to calculate incidents per 1,000 labour hours</w:t>
            </w:r>
          </w:p>
        </w:tc>
      </w:tr>
      <w:tr>
        <w:tc>
          <w:tcPr>
            <w:tcW w:type="dxa" w:w="1500"/>
            <w:vAlign w:val="center"/>
            <w:tcMar>
              <w:top w:w="80" w:type="dxa"/>
              <w:start w:w="100" w:type="dxa"/>
              <w:bottom w:w="80" w:type="dxa"/>
              <w:end w:w="100" w:type="dxa"/>
            </w:tcMar>
          </w:tcPr>
          <w:p>
            <w:pPr>
              <w:spacing w:after="0"/>
            </w:pPr>
            <w:r>
              <w:rPr>
                <w:rFonts w:ascii="Times New Roman" w:hAnsi="Times New Roman"/>
                <w:sz w:val="17"/>
              </w:rPr>
              <w:t>Wellbeing privacy</w:t>
            </w:r>
          </w:p>
        </w:tc>
        <w:tc>
          <w:tcPr>
            <w:tcW w:type="dxa" w:w="4300"/>
            <w:vAlign w:val="center"/>
            <w:tcMar>
              <w:top w:w="80" w:type="dxa"/>
              <w:start w:w="100" w:type="dxa"/>
              <w:bottom w:w="80" w:type="dxa"/>
              <w:end w:w="100" w:type="dxa"/>
            </w:tcMar>
          </w:tcPr>
          <w:p>
            <w:pPr>
              <w:spacing w:after="0"/>
            </w:pPr>
            <w:r>
              <w:rPr>
                <w:rFonts w:ascii="Times New Roman" w:hAnsi="Times New Roman"/>
                <w:sz w:val="17"/>
              </w:rPr>
              <w:t>Detailed notes are restricted; decision-support queries expose only concern counts and actions</w:t>
            </w:r>
          </w:p>
        </w:tc>
        <w:tc>
          <w:tcPr>
            <w:tcW w:type="dxa" w:w="3560"/>
            <w:vAlign w:val="center"/>
            <w:tcMar>
              <w:top w:w="80" w:type="dxa"/>
              <w:start w:w="100" w:type="dxa"/>
              <w:bottom w:w="80" w:type="dxa"/>
              <w:end w:w="100" w:type="dxa"/>
            </w:tcMar>
          </w:tcPr>
          <w:p>
            <w:pPr>
              <w:spacing w:after="0"/>
            </w:pPr>
            <w:r>
              <w:rPr>
                <w:rFonts w:ascii="Times New Roman" w:hAnsi="Times New Roman"/>
                <w:sz w:val="17"/>
              </w:rPr>
              <w:t>Applies data minimisation to sensitive HR information</w:t>
            </w:r>
          </w:p>
        </w:tc>
      </w:tr>
    </w:tbl>
    <w:p>
      <w:pPr>
        <w:spacing w:after="0"/>
      </w:pPr>
    </w:p>
    <w:p>
      <w:pPr>
        <w:pStyle w:val="Heading1"/>
      </w:pPr>
      <w:r>
        <w:t>Task 5 — Data Dictionary and Database Build</w:t>
      </w:r>
    </w:p>
    <w:p>
      <w:pPr>
        <w:widowControl/>
      </w:pPr>
      <w:r>
        <w:rPr>
          <w:rFonts w:ascii="Times New Roman" w:hAnsi="Times New Roman"/>
          <w:i w:val="0"/>
          <w:sz w:val="24"/>
        </w:rPr>
        <w:t>The complete data dictionary is generated directly from the validated MySQL schema to prevent divergence between the ER model, Word report and build. It is organised by table and records attribute name, type/size, domain/default, nullability, uniqueness, primary-key status, foreign-key reference and business purpose.</w:t>
      </w:r>
    </w:p>
    <w:p>
      <w:pPr>
        <w:widowControl/>
      </w:pPr>
      <w:r>
        <w:rPr>
          <w:rFonts w:ascii="Times New Roman" w:hAnsi="Times New Roman"/>
          <w:i w:val="0"/>
          <w:sz w:val="24"/>
        </w:rPr>
        <w:t>Naming compliance:</w:t>
      </w:r>
    </w:p>
    <w:p>
      <w:pPr>
        <w:widowControl/>
      </w:pPr>
      <w:r>
        <w:rPr>
          <w:rFonts w:ascii="Times New Roman" w:hAnsi="Times New Roman"/>
          <w:i w:val="0"/>
          <w:sz w:val="24"/>
        </w:rPr>
        <w:t>The generated dictionary is stored in docs/report/data-dictionary.md and will also appear in the Word report appendix. Attribute purposes are initially derived from schema/table context and are subject to a final human wording pass before submission.</w:t>
      </w:r>
    </w:p>
    <w:p>
      <w:pPr>
        <w:widowControl/>
      </w:pPr>
      <w:r>
        <w:rPr>
          <w:rFonts w:ascii="Times New Roman" w:hAnsi="Times New Roman"/>
          <w:i w:val="0"/>
          <w:sz w:val="24"/>
        </w:rPr>
        <w:t>Build verification: 53 base tables, 1 view, 274 columns, 69 foreign keys, 47 CHECK constraints, 11 triggers and 1 stored procedure under MySQL 8.4.11. The portable script rebuilds from an empty database without error.</w:t>
      </w:r>
    </w:p>
    <w:p>
      <w:pPr>
        <w:pStyle w:val="Heading1"/>
      </w:pPr>
      <w:r>
        <w:t>Task 6 — Data Quality Strategy and Validation</w:t>
      </w:r>
    </w:p>
    <w:p>
      <w:pPr>
        <w:pStyle w:val="Heading2"/>
      </w:pPr>
      <w:r>
        <w:t>6a. Cleaning and migration plan</w:t>
      </w:r>
    </w:p>
    <w:p>
      <w:pPr>
        <w:widowControl/>
      </w:pPr>
      <w:r>
        <w:rPr>
          <w:rFonts w:ascii="Times New Roman" w:hAnsi="Times New Roman"/>
          <w:i w:val="0"/>
          <w:sz w:val="24"/>
        </w:rPr>
        <w:t>Cloudrest Wines will use a controlled raw-to-staging-to-production pipeline. The supplied A2 workbook will first be copied unchanged and its file hash, sheet names, row counts and import date recorded. Each worksheet will be imported into a staging table using permissive text columns, ensuring malformed values are not silently lost during import. Profiling queries will identify completeness, uniqueness, consistency, validity and referential-integrity defects before any production insert.</w:t>
      </w:r>
    </w:p>
    <w:p>
      <w:pPr>
        <w:widowControl/>
      </w:pPr>
      <w:r>
        <w:rPr>
          <w:rFonts w:ascii="Times New Roman" w:hAnsi="Times New Roman"/>
          <w:i w:val="0"/>
          <w:sz w:val="24"/>
        </w:rPr>
        <w:t>Detection will include duplicate identifiers; blank mandatory fields; invalid dates and chronological order; inconsistent employment/status values; malformed TFNs, ABNs, postcodes, emails and phones; negative hours/weights/costs; percentages outside 0–100; multiple current history rows; and references to missing parents. Deterministic corrections—trimming, case standardisation, controlled value mapping and date conversion—will be performed with logged SQL. Ambiguous identity, address or missing-parent corrections will be quarantined for documented manual review rather than guessed.</w:t>
      </w:r>
    </w:p>
    <w:p>
      <w:pPr>
        <w:widowControl/>
      </w:pPr>
      <w:r>
        <w:rPr>
          <w:rFonts w:ascii="Times New Roman" w:hAnsi="Times New Roman"/>
          <w:i w:val="0"/>
          <w:sz w:val="24"/>
        </w:rPr>
        <w:t>After correction, rows will be inserted in dependency order. Quality control will reconcile source, accepted and rejected counts; query orphan checks; review exception tables; and run the full integrity suite. Before/after screenshots will show the defect query, correction SQL and verified result for every supplied table. Prevention measures include structured input controls, reference tables/enums, PK/UK/FK/CHECK constraints, triggers, least-privilege import roles and regular exception reporting.</w:t>
      </w:r>
    </w:p>
    <w:p>
      <w:pPr>
        <w:widowControl/>
      </w:pPr>
      <w:r>
        <w:rPr>
          <w:rFonts w:ascii="Times New Roman" w:hAnsi="Times New Roman"/>
          <w:i w:val="0"/>
          <w:sz w:val="24"/>
        </w:rPr>
        <w:t>Current limitation. The official A2 workbook has not been supplied. Therefore no claim is made that actual source errors have been found or corrected. The repository provides a reproducible framework and explicit evidence placeholders; actual errors, scripts and screenshots must be completed after receipt of the workbook.</w:t>
      </w:r>
    </w:p>
    <w:p>
      <w:pPr>
        <w:pStyle w:val="Heading2"/>
      </w:pPr>
      <w:r>
        <w:t>6b. Test-data creation</w:t>
      </w:r>
    </w:p>
    <w:p>
      <w:pPr>
        <w:widowControl/>
      </w:pPr>
      <w:r>
        <w:rPr>
          <w:rFonts w:ascii="Times New Roman" w:hAnsi="Times New Roman"/>
          <w:i w:val="0"/>
          <w:sz w:val="24"/>
        </w:rPr>
        <w:t>Synthetic data was designed backwards from the five rules and six management questions. It includes permanent, casual and seasonal employees; several operational areas; completed, failed and absent training; 25/80/150-day qualification horizons; normal and overtime shifts; low, moderate and high incidents; open, overdue and completed corrective actions; wellbeing concerns; base winery production; procurement; and a paid customer shipment. All names, TFNs, ABNs, emails and operational events are fictitious.</w:t>
      </w:r>
    </w:p>
    <w:p>
      <w:pPr>
        <w:widowControl/>
      </w:pPr>
      <w:r>
        <w:rPr>
          <w:rFonts w:ascii="Times New Roman" w:hAnsi="Times New Roman"/>
          <w:i w:val="0"/>
          <w:sz w:val="24"/>
        </w:rPr>
        <w:t>AI assisted with scenario coverage and value generation. Suitability was then verified by successful FK-constrained import, domain checks, manual result reconciliation and non-empty query outputs. Boundary/negative data is executed separately so deliberately invalid rows never remain in the baseline database.</w:t>
      </w:r>
    </w:p>
    <w:p>
      <w:pPr>
        <w:pStyle w:val="Heading2"/>
      </w:pPr>
      <w:r>
        <w:t>6c. Integrity suite</w:t>
      </w:r>
    </w:p>
    <w:p>
      <w:pPr>
        <w:widowControl/>
      </w:pPr>
      <w:r>
        <w:rPr>
          <w:rFonts w:ascii="Times New Roman" w:hAnsi="Times New Roman"/>
          <w:i w:val="0"/>
          <w:sz w:val="24"/>
        </w:rPr>
        <w:t>The SQL and genuine MySQL output are maintained under database/tests/ and docs/evidence/test-output/.</w:t>
      </w:r>
    </w:p>
    <w:p>
      <w:pPr>
        <w:keepNext/>
        <w:jc w:val="center"/>
      </w:pPr>
      <w:r>
        <w:drawing>
          <wp:inline xmlns:a="http://schemas.openxmlformats.org/drawingml/2006/main" xmlns:pic="http://schemas.openxmlformats.org/drawingml/2006/picture">
            <wp:extent cx="5669280" cy="1376089"/>
            <wp:docPr id="7" name="Picture 7" descr="Image: image7.png"/>
            <wp:cNvGraphicFramePr>
              <a:graphicFrameLocks noChangeAspect="1"/>
            </wp:cNvGraphicFramePr>
            <a:graphic>
              <a:graphicData uri="http://schemas.openxmlformats.org/drawingml/2006/picture">
                <pic:pic>
                  <pic:nvPicPr>
                    <pic:cNvPr id="0" name="t01_validtraining.png"/>
                    <pic:cNvPicPr/>
                  </pic:nvPicPr>
                  <pic:blipFill>
                    <a:blip r:embed="rId17"/>
                    <a:stretch>
                      <a:fillRect/>
                    </a:stretch>
                  </pic:blipFill>
                  <pic:spPr>
                    <a:xfrm>
                      <a:off x="0" y="0"/>
                      <a:ext cx="5669280" cy="1376089"/>
                    </a:xfrm>
                    <a:prstGeom prst="rect"/>
                  </pic:spPr>
                </pic:pic>
              </a:graphicData>
            </a:graphic>
          </wp:inline>
        </w:drawing>
      </w:r>
    </w:p>
    <w:p>
      <w:pPr>
        <w:spacing w:after="160"/>
        <w:jc w:val="center"/>
      </w:pPr>
      <w:r>
        <w:rPr>
          <w:rFonts w:ascii="Times New Roman" w:hAnsi="Times New Roman"/>
          <w:i/>
          <w:color w:val="5B6573"/>
          <w:sz w:val="18"/>
        </w:rPr>
        <w:t>Figure — Positive integrity test accepted and rolled back</w:t>
      </w:r>
    </w:p>
    <w:p>
      <w:pPr>
        <w:pStyle w:val="Heading1"/>
      </w:pPr>
      <w:r>
        <w:t>Task 7 — Decision-Support SQL Queries</w:t>
      </w:r>
    </w:p>
    <w:p>
      <w:pPr>
        <w:pStyle w:val="Heading2"/>
      </w:pPr>
      <w:r>
        <w:t>Query 1 — Annual safety and sustainability training coverage</w:t>
      </w:r>
    </w:p>
    <w:p>
      <w:pPr>
        <w:widowControl/>
      </w:pPr>
      <w:r>
        <w:rPr>
          <w:rFonts w:ascii="Times New Roman" w:hAnsi="Times New Roman"/>
          <w:i w:val="0"/>
          <w:sz w:val="24"/>
        </w:rPr>
        <w:t>Decision. Direct training resources to operational areas below target. The query counts active workers and employees who completed both categories during the current year. Current test results show Vineyard at 50%, while Cellar and Administration are 0%; management should schedule the missing sustainability/safety sessions rather than treating attendance at either category as full coverage.</w:t>
      </w:r>
    </w:p>
    <w:p>
      <w:pPr>
        <w:widowControl/>
      </w:pPr>
      <w:r>
        <w:rPr>
          <w:rFonts w:ascii="Times New Roman" w:hAnsi="Times New Roman"/>
          <w:i w:val="0"/>
          <w:sz w:val="24"/>
        </w:rPr>
        <w:t>Features. Six tables/CTEs, left join, annual date logic, distinct-category validation, safe percentage calculation.</w:t>
      </w:r>
    </w:p>
    <w:p>
      <w:pPr>
        <w:spacing w:after="60"/>
      </w:pPr>
      <w:r>
        <w:rPr>
          <w:rFonts w:ascii="Times New Roman" w:hAnsi="Times New Roman"/>
          <w:b/>
          <w:color w:val="5B6573"/>
          <w:sz w:val="18"/>
        </w:rPr>
        <w:t>Query 1 SQL</w:t>
      </w:r>
    </w:p>
    <w:p>
      <w:pPr>
        <w:spacing w:after="120"/>
        <w:ind w:left="173" w:right="173"/>
        <w:shd w:fill="F2F4F7"/>
      </w:pPr>
      <w:r>
        <w:rPr>
          <w:rFonts w:ascii="Menlo" w:hAnsi="Menlo"/>
          <w:color w:val="111827"/>
          <w:sz w:val="15"/>
        </w:rPr>
        <w:t>USE cloudrestwines;</w:t>
        <w:br/>
        <w:t>-- Management question: Which operational areas have gaps in annual mandatory safety/sustainability training?</w:t>
        <w:br/>
        <w:t>WITH activeworkforce AS (</w:t>
        <w:br/>
        <w:t xml:space="preserve">  SELECT er.employeeId, er.operationalAreaId</w:t>
        <w:br/>
        <w:t xml:space="preserve">  FROM employeerole er</w:t>
        <w:br/>
        <w:t xml:space="preserve">  WHERE er.startDateTime &lt;= NOW() AND (er.endDateTime IS NULL OR er.endDateTime &gt; NOW())</w:t>
        <w:br/>
        <w:t>), completion AS (</w:t>
        <w:br/>
        <w:t xml:space="preserve">  SELECT ta.employeeId, ts.operationalAreaId</w:t>
        <w:br/>
        <w:t xml:space="preserve">  FROM trainingattendance ta</w:t>
        <w:br/>
        <w:t xml:space="preserve">  JOIN trainingsession ts ON ts.trainingSessionId = ta.trainingSessionId</w:t>
        <w:br/>
        <w:t xml:space="preserve">  JOIN trainingcourse tc ON tc.trainingCourseId = ts.trainingCourseId</w:t>
        <w:br/>
        <w:t xml:space="preserve">  WHERE ta.attendanceStatus = 'COMPLETED'</w:t>
        <w:br/>
        <w:t xml:space="preserve">    AND tc.trainingCategory IN ('SAFETY','SUSTAINABILITY')</w:t>
        <w:br/>
        <w:t xml:space="preserve">    AND ts.sessionDate &gt;= MAKEDATE(YEAR(CURRENT_DATE), 1)</w:t>
        <w:br/>
        <w:t xml:space="preserve">  GROUP BY ta.employeeId, ts.operationalAreaId</w:t>
        <w:br/>
        <w:t xml:space="preserve">  HAVING COUNT(DISTINCT tc.trainingCategory) = 2</w:t>
        <w:br/>
        <w:t>)</w:t>
        <w:br/>
        <w:t>SELECT oa.areaName,</w:t>
        <w:br/>
        <w:t xml:space="preserve">       COUNT(DISTINCT aw.employeeId) AS activeEmployees,</w:t>
        <w:br/>
        <w:t xml:space="preserve">       COUNT(DISTINCT c.employeeId) AS employeesTrained,</w:t>
        <w:br/>
        <w:t xml:space="preserve">       ROUND(100.0 * COUNT(DISTINCT c.employeeId) / NULLIF(COUNT(DISTINCT aw.employeeId),0), 1) AS coveragePercent</w:t>
        <w:br/>
        <w:t>FROM activeworkforce aw</w:t>
        <w:br/>
        <w:t>JOIN operationalarea oa ON oa.operationalAreaId = aw.operationalAreaId</w:t>
        <w:br/>
        <w:t>LEFT JOIN completion c ON c.employeeId = aw.employeeId AND c.operationalAreaId = aw.operationalAreaId</w:t>
        <w:br/>
        <w:t>GROUP BY oa.operationalAreaId, oa.areaName</w:t>
        <w:br/>
        <w:t>ORDER BY coveragePercent, oa.areaName;</w:t>
      </w:r>
    </w:p>
    <w:p>
      <w:pPr>
        <w:keepNext/>
        <w:jc w:val="center"/>
      </w:pPr>
      <w:r>
        <w:drawing>
          <wp:inline xmlns:a="http://schemas.openxmlformats.org/drawingml/2006/main" xmlns:pic="http://schemas.openxmlformats.org/drawingml/2006/picture">
            <wp:extent cx="5669280" cy="1515244"/>
            <wp:docPr id="8" name="Picture 8" descr="Image: image8.png"/>
            <wp:cNvGraphicFramePr>
              <a:graphicFrameLocks noChangeAspect="1"/>
            </wp:cNvGraphicFramePr>
            <a:graphic>
              <a:graphicData uri="http://schemas.openxmlformats.org/drawingml/2006/picture">
                <pic:pic>
                  <pic:nvPicPr>
                    <pic:cNvPr id="0" name="01_trainingcoverage.png"/>
                    <pic:cNvPicPr/>
                  </pic:nvPicPr>
                  <pic:blipFill>
                    <a:blip r:embed="rId18"/>
                    <a:stretch>
                      <a:fillRect/>
                    </a:stretch>
                  </pic:blipFill>
                  <pic:spPr>
                    <a:xfrm>
                      <a:off x="0" y="0"/>
                      <a:ext cx="5669280" cy="1515244"/>
                    </a:xfrm>
                    <a:prstGeom prst="rect"/>
                  </pic:spPr>
                </pic:pic>
              </a:graphicData>
            </a:graphic>
          </wp:inline>
        </w:drawing>
      </w:r>
    </w:p>
    <w:p>
      <w:pPr>
        <w:spacing w:after="160"/>
        <w:jc w:val="center"/>
      </w:pPr>
      <w:r>
        <w:rPr>
          <w:rFonts w:ascii="Times New Roman" w:hAnsi="Times New Roman"/>
          <w:i/>
          <w:color w:val="5B6573"/>
          <w:sz w:val="18"/>
        </w:rPr>
        <w:t>Figure — Query 1 genuine MySQL 8.4 output</w:t>
      </w:r>
    </w:p>
    <w:p>
      <w:pPr>
        <w:pStyle w:val="Heading2"/>
      </w:pPr>
      <w:r>
        <w:t>Query 2 — Incidents per 1,000 labour hours</w:t>
      </w:r>
    </w:p>
    <w:p>
      <w:pPr>
        <w:widowControl/>
      </w:pPr>
      <w:r>
        <w:rPr>
          <w:rFonts w:ascii="Times New Roman" w:hAnsi="Times New Roman"/>
          <w:i w:val="0"/>
          <w:sz w:val="24"/>
        </w:rPr>
        <w:t>Decision. Prioritise intervention using an exposure-adjusted measure rather than raw event counts. In the current test baseline, Vineyard records 22.73 incidents per 1,000 hours and Cellar 18.52. Because the dataset is intentionally small, these are demonstration results and not real operational estimates.</w:t>
      </w:r>
    </w:p>
    <w:p>
      <w:pPr>
        <w:widowControl/>
      </w:pPr>
      <w:r>
        <w:rPr>
          <w:rFonts w:ascii="Times New Roman" w:hAnsi="Times New Roman"/>
          <w:i w:val="0"/>
          <w:sz w:val="24"/>
        </w:rPr>
        <w:t>Features. Rolling 12-month window, separate numerator/denominator CTEs, several joins, safe division, lost-hours context. This is sustainability query two.</w:t>
      </w:r>
    </w:p>
    <w:p>
      <w:pPr>
        <w:spacing w:after="60"/>
      </w:pPr>
      <w:r>
        <w:rPr>
          <w:rFonts w:ascii="Times New Roman" w:hAnsi="Times New Roman"/>
          <w:b/>
          <w:color w:val="5B6573"/>
          <w:sz w:val="18"/>
        </w:rPr>
        <w:t>Query 2 SQL</w:t>
      </w:r>
    </w:p>
    <w:p>
      <w:pPr>
        <w:spacing w:after="120"/>
        <w:ind w:left="173" w:right="173"/>
        <w:shd w:fill="F2F4F7"/>
      </w:pPr>
      <w:r>
        <w:rPr>
          <w:rFonts w:ascii="Menlo" w:hAnsi="Menlo"/>
          <w:color w:val="111827"/>
          <w:sz w:val="15"/>
        </w:rPr>
        <w:t>USE cloudrestwines;</w:t>
        <w:br/>
        <w:t>-- Sustainability measure: incidents per 1,000 labour hours during the last 12 months.</w:t>
        <w:br/>
        <w:t>WITH hoursbyarea AS (</w:t>
        <w:br/>
        <w:t xml:space="preserve">  SELECT s.operationalAreaId, SUM(sa.regularHours + sa.overtimeHours) AS labourHours</w:t>
        <w:br/>
        <w:t xml:space="preserve">  FROM shift s JOIN shiftassignment sa ON sa.shiftId = s.shiftId</w:t>
        <w:br/>
        <w:t xml:space="preserve">  WHERE s.shiftDate &gt;= DATE_SUB(CURRENT_DATE, INTERVAL 12 MONTH)</w:t>
        <w:br/>
        <w:t xml:space="preserve">  GROUP BY s.operationalAreaId</w:t>
        <w:br/>
        <w:t>), incidentsbyarea AS (</w:t>
        <w:br/>
        <w:t xml:space="preserve">  SELECT operationalAreaId, COUNT(*) AS incidentCount, SUM(totalLostHours) AS lostHours</w:t>
        <w:br/>
        <w:t xml:space="preserve">  FROM incident</w:t>
        <w:br/>
        <w:t xml:space="preserve">  WHERE incidentDateTime &gt;= DATE_SUB(CURRENT_DATE, INTERVAL 12 MONTH)</w:t>
        <w:br/>
        <w:t xml:space="preserve">  GROUP BY operationalAreaId</w:t>
        <w:br/>
        <w:t>)</w:t>
        <w:br/>
        <w:t>SELECT oa.areaName, h.labourHours, COALESCE(i.incidentCount,0) AS incidentCount,</w:t>
        <w:br/>
        <w:t xml:space="preserve">       COALESCE(i.lostHours,0) AS lostHours,</w:t>
        <w:br/>
        <w:t xml:space="preserve">       ROUND(COALESCE(i.incidentCount,0) * 1000.0 / NULLIF(h.labourHours,0), 2) AS incidentsPer1000Hours</w:t>
        <w:br/>
        <w:t>FROM hoursbyarea h</w:t>
        <w:br/>
        <w:t>JOIN operationalarea oa ON oa.operationalAreaId = h.operationalAreaId</w:t>
        <w:br/>
        <w:t>LEFT JOIN incidentsbyarea i ON i.operationalAreaId = h.operationalAreaId</w:t>
        <w:br/>
        <w:t>ORDER BY incidentsPer1000Hours DESC;</w:t>
      </w:r>
    </w:p>
    <w:p>
      <w:pPr>
        <w:keepNext/>
        <w:jc w:val="center"/>
      </w:pPr>
      <w:r>
        <w:drawing>
          <wp:inline xmlns:a="http://schemas.openxmlformats.org/drawingml/2006/main" xmlns:pic="http://schemas.openxmlformats.org/drawingml/2006/picture">
            <wp:extent cx="5669280" cy="1376089"/>
            <wp:docPr id="9" name="Picture 9" descr="Image: image9.png"/>
            <wp:cNvGraphicFramePr>
              <a:graphicFrameLocks noChangeAspect="1"/>
            </wp:cNvGraphicFramePr>
            <a:graphic>
              <a:graphicData uri="http://schemas.openxmlformats.org/drawingml/2006/picture">
                <pic:pic>
                  <pic:nvPicPr>
                    <pic:cNvPr id="0" name="02_incidentrate.png"/>
                    <pic:cNvPicPr/>
                  </pic:nvPicPr>
                  <pic:blipFill>
                    <a:blip r:embed="rId19"/>
                    <a:stretch>
                      <a:fillRect/>
                    </a:stretch>
                  </pic:blipFill>
                  <pic:spPr>
                    <a:xfrm>
                      <a:off x="0" y="0"/>
                      <a:ext cx="5669280" cy="1376089"/>
                    </a:xfrm>
                    <a:prstGeom prst="rect"/>
                  </pic:spPr>
                </pic:pic>
              </a:graphicData>
            </a:graphic>
          </wp:inline>
        </w:drawing>
      </w:r>
    </w:p>
    <w:p>
      <w:pPr>
        <w:spacing w:after="160"/>
        <w:jc w:val="center"/>
      </w:pPr>
      <w:r>
        <w:rPr>
          <w:rFonts w:ascii="Times New Roman" w:hAnsi="Times New Roman"/>
          <w:i/>
          <w:color w:val="5B6573"/>
          <w:sz w:val="18"/>
        </w:rPr>
        <w:t>Figure — Query 2 genuine MySQL 8.4 output</w:t>
      </w:r>
    </w:p>
    <w:p>
      <w:pPr>
        <w:pStyle w:val="Heading2"/>
      </w:pPr>
      <w:r>
        <w:t>Query 3 — Incidents before and after training</w:t>
      </w:r>
    </w:p>
    <w:p>
      <w:pPr>
        <w:widowControl/>
      </w:pPr>
      <w:r>
        <w:rPr>
          <w:rFonts w:ascii="Times New Roman" w:hAnsi="Times New Roman"/>
          <w:i w:val="0"/>
          <w:sz w:val="24"/>
        </w:rPr>
        <w:t>Decision. Assess whether annual safety training is associated with fewer employee incidents. The query uses each employee's first completed safety course and counts incidents in symmetric 180-day windows. Test employee EMP0008 changes from one incident before to zero after; the report must not claim causality from this small synthetic sample.</w:t>
      </w:r>
    </w:p>
    <w:p>
      <w:pPr>
        <w:widowControl/>
      </w:pPr>
      <w:r>
        <w:rPr>
          <w:rFonts w:ascii="Times New Roman" w:hAnsi="Times New Roman"/>
          <w:i w:val="0"/>
          <w:sz w:val="24"/>
        </w:rPr>
        <w:t>Features. Pre/post date arithmetic, conditional aggregation, employee/course/session/incident joins.</w:t>
      </w:r>
    </w:p>
    <w:p>
      <w:pPr>
        <w:spacing w:after="60"/>
      </w:pPr>
      <w:r>
        <w:rPr>
          <w:rFonts w:ascii="Times New Roman" w:hAnsi="Times New Roman"/>
          <w:b/>
          <w:color w:val="5B6573"/>
          <w:sz w:val="18"/>
        </w:rPr>
        <w:t>Query 3 SQL</w:t>
      </w:r>
    </w:p>
    <w:p>
      <w:pPr>
        <w:spacing w:after="120"/>
        <w:ind w:left="173" w:right="173"/>
        <w:shd w:fill="F2F4F7"/>
      </w:pPr>
      <w:r>
        <w:rPr>
          <w:rFonts w:ascii="Menlo" w:hAnsi="Menlo"/>
          <w:color w:val="111827"/>
          <w:sz w:val="15"/>
        </w:rPr>
        <w:t>USE cloudrestwines;</w:t>
        <w:br/>
        <w:t>-- Compare employee incidents in the 180 days before and after completed annual safety training.</w:t>
        <w:br/>
        <w:t>WITH completion AS (</w:t>
        <w:br/>
        <w:t xml:space="preserve">  SELECT ta.employeeId, MIN(ta.completionDate) AS completionDate</w:t>
        <w:br/>
        <w:t xml:space="preserve">  FROM trainingattendance ta</w:t>
        <w:br/>
        <w:t xml:space="preserve">  JOIN trainingsession ts ON ts.trainingSessionId = ta.trainingSessionId</w:t>
        <w:br/>
        <w:t xml:space="preserve">  JOIN trainingcourse tc ON tc.trainingCourseId = ts.trainingCourseId</w:t>
        <w:br/>
        <w:t xml:space="preserve">  WHERE ta.attendanceStatus = 'COMPLETED' AND tc.trainingCategory = 'SAFETY'</w:t>
        <w:br/>
        <w:t xml:space="preserve">  GROUP BY ta.employeeId</w:t>
        <w:br/>
        <w:t>)</w:t>
        <w:br/>
        <w:t>SELECT c.employeeId, CONCAT(e.firstName,' ',e.lastName) AS employeeName, c.completionDate,</w:t>
        <w:br/>
        <w:t xml:space="preserve">       SUM(CASE WHEN i.incidentDateTime &gt;= DATE_SUB(c.completionDate, INTERVAL 180 DAY)</w:t>
        <w:br/>
        <w:t xml:space="preserve">                 AND i.incidentDateTime &lt; c.completionDate THEN 1 ELSE 0 END) AS incidentsBefore,</w:t>
        <w:br/>
        <w:t xml:space="preserve">       SUM(CASE WHEN i.incidentDateTime &gt;= c.completionDate</w:t>
        <w:br/>
        <w:t xml:space="preserve">                 AND i.incidentDateTime &lt; DATE_ADD(c.completionDate, INTERVAL 180 DAY) THEN 1 ELSE 0 END) AS incidentsAfter</w:t>
        <w:br/>
        <w:t>FROM completion c</w:t>
        <w:br/>
        <w:t>JOIN employee e ON e.employeeId = c.employeeId</w:t>
        <w:br/>
        <w:t>LEFT JOIN incidentemployee ie ON ie.employeeId = c.employeeId</w:t>
        <w:br/>
        <w:t>LEFT JOIN incident i ON i.incidentId = ie.incidentId</w:t>
        <w:br/>
        <w:t>GROUP BY c.employeeId, e.firstName, e.lastName, c.completionDate</w:t>
        <w:br/>
        <w:t>ORDER BY incidentsBefore DESC, incidentsAfter DESC;</w:t>
      </w:r>
    </w:p>
    <w:p>
      <w:pPr>
        <w:keepNext/>
        <w:jc w:val="center"/>
      </w:pPr>
      <w:r>
        <w:drawing>
          <wp:inline xmlns:a="http://schemas.openxmlformats.org/drawingml/2006/main" xmlns:pic="http://schemas.openxmlformats.org/drawingml/2006/picture">
            <wp:extent cx="5669280" cy="1756821"/>
            <wp:docPr id="10" name="Picture 10" descr="Image: image10.png"/>
            <wp:cNvGraphicFramePr>
              <a:graphicFrameLocks noChangeAspect="1"/>
            </wp:cNvGraphicFramePr>
            <a:graphic>
              <a:graphicData uri="http://schemas.openxmlformats.org/drawingml/2006/picture">
                <pic:pic>
                  <pic:nvPicPr>
                    <pic:cNvPr id="0" name="03_trainingimpact.png"/>
                    <pic:cNvPicPr/>
                  </pic:nvPicPr>
                  <pic:blipFill>
                    <a:blip r:embed="rId20"/>
                    <a:stretch>
                      <a:fillRect/>
                    </a:stretch>
                  </pic:blipFill>
                  <pic:spPr>
                    <a:xfrm>
                      <a:off x="0" y="0"/>
                      <a:ext cx="5669280" cy="1756821"/>
                    </a:xfrm>
                    <a:prstGeom prst="rect"/>
                  </pic:spPr>
                </pic:pic>
              </a:graphicData>
            </a:graphic>
          </wp:inline>
        </w:drawing>
      </w:r>
    </w:p>
    <w:p>
      <w:pPr>
        <w:spacing w:after="160"/>
        <w:jc w:val="center"/>
      </w:pPr>
      <w:r>
        <w:rPr>
          <w:rFonts w:ascii="Times New Roman" w:hAnsi="Times New Roman"/>
          <w:i/>
          <w:color w:val="5B6573"/>
          <w:sz w:val="18"/>
        </w:rPr>
        <w:t>Figure — Query 3 genuine MySQL 8.4 output</w:t>
      </w:r>
    </w:p>
    <w:p>
      <w:pPr>
        <w:pStyle w:val="Heading2"/>
      </w:pPr>
      <w:r>
        <w:t>Query 4 — Recent overtime and review indicators</w:t>
      </w:r>
    </w:p>
    <w:p>
      <w:pPr>
        <w:widowControl/>
      </w:pPr>
      <w:r>
        <w:rPr>
          <w:rFonts w:ascii="Times New Roman" w:hAnsi="Times New Roman"/>
          <w:i w:val="0"/>
          <w:sz w:val="24"/>
        </w:rPr>
        <w:t>Decision. Identify employees for supervisor workload/safety review without exposing confidential wellbeing notes. The test output flags EMP0009 and EMP0011 because each has seven overtime hours plus a recent incident and concern. Results are triage indicators, not medical or disciplinary conclusions.</w:t>
      </w:r>
    </w:p>
    <w:p>
      <w:pPr>
        <w:widowControl/>
      </w:pPr>
      <w:r>
        <w:rPr>
          <w:rFonts w:ascii="Times New Roman" w:hAnsi="Times New Roman"/>
          <w:i w:val="0"/>
          <w:sz w:val="24"/>
        </w:rPr>
        <w:t>Features. Last-30-days logic, three CTEs, left joins, privacy-aware output and rule-based action label.</w:t>
      </w:r>
    </w:p>
    <w:p>
      <w:pPr>
        <w:spacing w:after="60"/>
      </w:pPr>
      <w:r>
        <w:rPr>
          <w:rFonts w:ascii="Times New Roman" w:hAnsi="Times New Roman"/>
          <w:b/>
          <w:color w:val="5B6573"/>
          <w:sz w:val="18"/>
        </w:rPr>
        <w:t>Query 4 SQL</w:t>
      </w:r>
    </w:p>
    <w:p>
      <w:pPr>
        <w:spacing w:after="120"/>
        <w:ind w:left="173" w:right="173"/>
        <w:shd w:fill="F2F4F7"/>
      </w:pPr>
      <w:r>
        <w:rPr>
          <w:rFonts w:ascii="Menlo" w:hAnsi="Menlo"/>
          <w:color w:val="111827"/>
          <w:sz w:val="15"/>
        </w:rPr>
        <w:t>USE cloudrestwines;</w:t>
        <w:br/>
        <w:t>-- Identify people for supervisor review without exposing confidential wellbeing notes.</w:t>
        <w:br/>
        <w:t>WITH workload AS (</w:t>
        <w:br/>
        <w:t xml:space="preserve">  SELECT sa.employeeId, SUM(sa.regularHours) AS regularHours, SUM(sa.overtimeHours) AS overtimeHours</w:t>
        <w:br/>
        <w:t xml:space="preserve">  FROM shiftassignment sa JOIN shift s ON s.shiftId = sa.shiftId</w:t>
        <w:br/>
        <w:t xml:space="preserve">  WHERE s.shiftDate &gt;= DATE_SUB(CURRENT_DATE, INTERVAL 30 DAY)</w:t>
        <w:br/>
        <w:t xml:space="preserve">  GROUP BY sa.employeeId</w:t>
        <w:br/>
        <w:t>), recentincident AS (</w:t>
        <w:br/>
        <w:t xml:space="preserve">  SELECT ie.employeeId, COUNT(DISTINCT ie.incidentId) AS incidentCount</w:t>
        <w:br/>
        <w:t xml:space="preserve">  FROM incidentemployee ie JOIN incident i ON i.incidentId = ie.incidentId</w:t>
        <w:br/>
        <w:t xml:space="preserve">  WHERE i.incidentDateTime &gt;= DATE_SUB(NOW(), INTERVAL 30 DAY)</w:t>
        <w:br/>
        <w:t xml:space="preserve">  GROUP BY ie.employeeId</w:t>
        <w:br/>
        <w:t>), recentconcern AS (</w:t>
        <w:br/>
        <w:t xml:space="preserve">  SELECT employeeId, COUNT(*) AS concernCount</w:t>
        <w:br/>
        <w:t xml:space="preserve">  FROM wellbeingcheckin</w:t>
        <w:br/>
        <w:t xml:space="preserve">  WHERE checkinDate &gt;= DATE_SUB(CURRENT_DATE, INTERVAL 30 DAY) AND concernRaisedFlag = TRUE</w:t>
        <w:br/>
        <w:t xml:space="preserve">  GROUP BY employeeId</w:t>
        <w:br/>
        <w:t>)</w:t>
        <w:br/>
        <w:t>SELECT w.employeeId, CONCAT(e.firstName,' ',e.lastName) AS employeeName,</w:t>
        <w:br/>
        <w:t xml:space="preserve">       w.regularHours, w.overtimeHours, COALESCE(ri.incidentCount,0) AS recentIncidents,</w:t>
        <w:br/>
        <w:t xml:space="preserve">       COALESCE(rc.concernCount,0) AS wellbeingConcernCount,</w:t>
        <w:br/>
        <w:t xml:space="preserve">       CASE WHEN w.overtimeHours &gt;= 4 OR ri.incidentCount &gt; 0 OR rc.concernCount &gt; 0 THEN 'SUPERVISOR REVIEW' ELSE 'MONITOR' END AS recommendedAction</w:t>
        <w:br/>
        <w:t>FROM workload w</w:t>
        <w:br/>
        <w:t>JOIN employee e ON e.employeeId = w.employeeId</w:t>
        <w:br/>
        <w:t>LEFT JOIN recentincident ri ON ri.employeeId = w.employeeId</w:t>
        <w:br/>
        <w:t>LEFT JOIN recentconcern rc ON rc.employeeId = w.employeeId</w:t>
        <w:br/>
        <w:t>ORDER BY (w.overtimeHours + COALESCE(ri.incidentCount,0) * 5 + COALESCE(rc.concernCount,0) * 5) DESC;</w:t>
      </w:r>
    </w:p>
    <w:p>
      <w:pPr>
        <w:keepNext/>
        <w:jc w:val="center"/>
      </w:pPr>
      <w:r>
        <w:drawing>
          <wp:inline xmlns:a="http://schemas.openxmlformats.org/drawingml/2006/main" xmlns:pic="http://schemas.openxmlformats.org/drawingml/2006/picture">
            <wp:extent cx="5669280" cy="1376238"/>
            <wp:docPr id="11" name="Picture 11" descr="Image: image11.png"/>
            <wp:cNvGraphicFramePr>
              <a:graphicFrameLocks noChangeAspect="1"/>
            </wp:cNvGraphicFramePr>
            <a:graphic>
              <a:graphicData uri="http://schemas.openxmlformats.org/drawingml/2006/picture">
                <pic:pic>
                  <pic:nvPicPr>
                    <pic:cNvPr id="0" name="04_overtimerisk.png"/>
                    <pic:cNvPicPr/>
                  </pic:nvPicPr>
                  <pic:blipFill>
                    <a:blip r:embed="rId21"/>
                    <a:stretch>
                      <a:fillRect/>
                    </a:stretch>
                  </pic:blipFill>
                  <pic:spPr>
                    <a:xfrm>
                      <a:off x="0" y="0"/>
                      <a:ext cx="5669280" cy="1376238"/>
                    </a:xfrm>
                    <a:prstGeom prst="rect"/>
                  </pic:spPr>
                </pic:pic>
              </a:graphicData>
            </a:graphic>
          </wp:inline>
        </w:drawing>
      </w:r>
    </w:p>
    <w:p>
      <w:pPr>
        <w:spacing w:after="160"/>
        <w:jc w:val="center"/>
      </w:pPr>
      <w:r>
        <w:rPr>
          <w:rFonts w:ascii="Times New Roman" w:hAnsi="Times New Roman"/>
          <w:i/>
          <w:color w:val="5B6573"/>
          <w:sz w:val="18"/>
        </w:rPr>
        <w:t>Figure — Query 4 genuine MySQL 8.4 output</w:t>
      </w:r>
    </w:p>
    <w:p>
      <w:pPr>
        <w:pStyle w:val="Heading2"/>
      </w:pPr>
      <w:r>
        <w:t>Query 5 — Expiring qualifications procedure</w:t>
      </w:r>
    </w:p>
    <w:p>
      <w:pPr>
        <w:widowControl/>
      </w:pPr>
      <w:r>
        <w:rPr>
          <w:rFonts w:ascii="Times New Roman" w:hAnsi="Times New Roman"/>
          <w:i w:val="0"/>
          <w:sz w:val="24"/>
        </w:rPr>
        <w:t>Decision. Plan renewals using different horizons. CALL getExpiringQualifications(30) returns one first-aid certificate; CALL getExpiringQualifications(90) adds a chemical-handling permit. The parameter is constrained to 0–730 days to reject unreasonable input.</w:t>
      </w:r>
    </w:p>
    <w:p>
      <w:pPr>
        <w:widowControl/>
      </w:pPr>
      <w:r>
        <w:rPr>
          <w:rFonts w:ascii="Times New Roman" w:hAnsi="Times New Roman"/>
          <w:i w:val="0"/>
          <w:sz w:val="24"/>
        </w:rPr>
        <w:t>Features. Stored procedure with input parameter, two video calls, current-date interval logic, multiple joins.</w:t>
      </w:r>
    </w:p>
    <w:p>
      <w:pPr>
        <w:spacing w:after="60"/>
      </w:pPr>
      <w:r>
        <w:rPr>
          <w:rFonts w:ascii="Times New Roman" w:hAnsi="Times New Roman"/>
          <w:b/>
          <w:color w:val="5B6573"/>
          <w:sz w:val="18"/>
        </w:rPr>
        <w:t>Query 5 SQL</w:t>
      </w:r>
    </w:p>
    <w:p>
      <w:pPr>
        <w:spacing w:after="120"/>
        <w:ind w:left="173" w:right="173"/>
        <w:shd w:fill="F2F4F7"/>
      </w:pPr>
      <w:r>
        <w:rPr>
          <w:rFonts w:ascii="Menlo" w:hAnsi="Menlo"/>
          <w:color w:val="111827"/>
          <w:sz w:val="15"/>
        </w:rPr>
        <w:t>USE cloudrestwines;</w:t>
        <w:br/>
        <w:t>-- Video demonstration must call both parameter values.</w:t>
        <w:br/>
        <w:t>CALL getExpiringQualifications(30);</w:t>
        <w:br/>
        <w:t>CALL getExpiringQualifications(90);</w:t>
      </w:r>
    </w:p>
    <w:p>
      <w:pPr>
        <w:keepNext/>
        <w:jc w:val="center"/>
      </w:pPr>
      <w:r>
        <w:drawing>
          <wp:inline xmlns:a="http://schemas.openxmlformats.org/drawingml/2006/main" xmlns:pic="http://schemas.openxmlformats.org/drawingml/2006/picture">
            <wp:extent cx="5669280" cy="1573930"/>
            <wp:docPr id="12" name="Picture 12" descr="Image: image12.png"/>
            <wp:cNvGraphicFramePr>
              <a:graphicFrameLocks noChangeAspect="1"/>
            </wp:cNvGraphicFramePr>
            <a:graphic>
              <a:graphicData uri="http://schemas.openxmlformats.org/drawingml/2006/picture">
                <pic:pic>
                  <pic:nvPicPr>
                    <pic:cNvPr id="0" name="05_expiringqualification.png"/>
                    <pic:cNvPicPr/>
                  </pic:nvPicPr>
                  <pic:blipFill>
                    <a:blip r:embed="rId22"/>
                    <a:stretch>
                      <a:fillRect/>
                    </a:stretch>
                  </pic:blipFill>
                  <pic:spPr>
                    <a:xfrm>
                      <a:off x="0" y="0"/>
                      <a:ext cx="5669280" cy="1573930"/>
                    </a:xfrm>
                    <a:prstGeom prst="rect"/>
                  </pic:spPr>
                </pic:pic>
              </a:graphicData>
            </a:graphic>
          </wp:inline>
        </w:drawing>
      </w:r>
    </w:p>
    <w:p>
      <w:pPr>
        <w:spacing w:after="160"/>
        <w:jc w:val="center"/>
      </w:pPr>
      <w:r>
        <w:rPr>
          <w:rFonts w:ascii="Times New Roman" w:hAnsi="Times New Roman"/>
          <w:i/>
          <w:color w:val="5B6573"/>
          <w:sz w:val="18"/>
        </w:rPr>
        <w:t>Figure — Query 5 genuine MySQL 8.4 output</w:t>
      </w:r>
    </w:p>
    <w:p>
      <w:pPr>
        <w:pStyle w:val="Heading2"/>
      </w:pPr>
      <w:r>
        <w:t>Query 6 — Open corrective actions View and EXPLAIN</w:t>
      </w:r>
    </w:p>
    <w:p>
      <w:pPr>
        <w:widowControl/>
      </w:pPr>
      <w:r>
        <w:rPr>
          <w:rFonts w:ascii="Times New Roman" w:hAnsi="Times New Roman"/>
          <w:i w:val="0"/>
          <w:sz w:val="24"/>
        </w:rPr>
        <w:t>Decision. Prioritise overdue/high-severity corrective action. The View reports one action five days overdue and one future high-severity action. It excludes completed/cancelled actions and calculates days overdue consistently.</w:t>
      </w:r>
    </w:p>
    <w:p>
      <w:pPr>
        <w:widowControl/>
      </w:pPr>
      <w:r>
        <w:rPr>
          <w:rFonts w:ascii="Times New Roman" w:hAnsi="Times New Roman"/>
          <w:i w:val="0"/>
          <w:sz w:val="24"/>
        </w:rPr>
        <w:t>Features. View, multiple joins, current-date elapsed logic and EXPLAIN.</w:t>
      </w:r>
    </w:p>
    <w:p>
      <w:pPr>
        <w:widowControl/>
      </w:pPr>
      <w:r>
        <w:rPr>
          <w:rFonts w:ascii="Times New Roman" w:hAnsi="Times New Roman"/>
          <w:i w:val="0"/>
          <w:sz w:val="24"/>
        </w:rPr>
        <w:t>Execution-plan interpretation (under 100 words). MySQL uses idx_action_status_date with range access to filter open/in-progress actions, then resolves incident, operational-area and employee joins using eq_ref primary-key lookups (one matching row each). This indicates efficient join access. The final calculated ordering requires a temporary table and filesort because it combines daysOverdue, a Boolean expression and custom severity ordering. That is acceptable for the small action queue; if volume grows, a persisted priority or simpler indexed ordering should be evaluated without denormalising the authoritative incident data prematurely.</w:t>
      </w:r>
    </w:p>
    <w:p>
      <w:pPr>
        <w:spacing w:after="60"/>
      </w:pPr>
      <w:r>
        <w:rPr>
          <w:rFonts w:ascii="Times New Roman" w:hAnsi="Times New Roman"/>
          <w:b/>
          <w:color w:val="5B6573"/>
          <w:sz w:val="18"/>
        </w:rPr>
        <w:t>Query 6 SQL</w:t>
      </w:r>
    </w:p>
    <w:p>
      <w:pPr>
        <w:spacing w:after="120"/>
        <w:ind w:left="173" w:right="173"/>
        <w:shd w:fill="F2F4F7"/>
      </w:pPr>
      <w:r>
        <w:rPr>
          <w:rFonts w:ascii="Menlo" w:hAnsi="Menlo"/>
          <w:color w:val="111827"/>
          <w:sz w:val="15"/>
        </w:rPr>
        <w:t>USE cloudrestwines;</w:t>
        <w:br/>
        <w:t>-- View-based management query: prioritise overdue and high-severity corrective actions.</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br/>
        <w:br/>
        <w:t>EXPLAIN</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r>
    </w:p>
    <w:p>
      <w:pPr>
        <w:keepNext/>
        <w:jc w:val="center"/>
      </w:pPr>
      <w:r>
        <w:drawing>
          <wp:inline xmlns:a="http://schemas.openxmlformats.org/drawingml/2006/main" xmlns:pic="http://schemas.openxmlformats.org/drawingml/2006/picture">
            <wp:extent cx="5669280" cy="779022"/>
            <wp:docPr id="13" name="Picture 13" descr="Image: image13.png"/>
            <wp:cNvGraphicFramePr>
              <a:graphicFrameLocks noChangeAspect="1"/>
            </wp:cNvGraphicFramePr>
            <a:graphic>
              <a:graphicData uri="http://schemas.openxmlformats.org/drawingml/2006/picture">
                <pic:pic>
                  <pic:nvPicPr>
                    <pic:cNvPr id="0" name="06_openactions.png"/>
                    <pic:cNvPicPr/>
                  </pic:nvPicPr>
                  <pic:blipFill>
                    <a:blip r:embed="rId23"/>
                    <a:stretch>
                      <a:fillRect/>
                    </a:stretch>
                  </pic:blipFill>
                  <pic:spPr>
                    <a:xfrm>
                      <a:off x="0" y="0"/>
                      <a:ext cx="5669280" cy="779022"/>
                    </a:xfrm>
                    <a:prstGeom prst="rect"/>
                  </pic:spPr>
                </pic:pic>
              </a:graphicData>
            </a:graphic>
          </wp:inline>
        </w:drawing>
      </w:r>
    </w:p>
    <w:p>
      <w:pPr>
        <w:spacing w:after="160"/>
        <w:jc w:val="center"/>
      </w:pPr>
      <w:r>
        <w:rPr>
          <w:rFonts w:ascii="Times New Roman" w:hAnsi="Times New Roman"/>
          <w:i/>
          <w:color w:val="5B6573"/>
          <w:sz w:val="18"/>
        </w:rPr>
        <w:t>Figure — Query 6 genuine MySQL 8.4 output</w:t>
      </w:r>
    </w:p>
    <w:p>
      <w:pPr>
        <w:pStyle w:val="Heading1"/>
      </w:pPr>
      <w:r>
        <w:t>Conclusion</w:t>
      </w:r>
    </w:p>
    <w:p>
      <w:pPr>
        <w:widowControl/>
      </w:pPr>
      <w:r>
        <w:rPr>
          <w:rFonts w:ascii="Times New Roman" w:hAnsi="Times New Roman"/>
          <w:i w:val="0"/>
          <w:sz w:val="24"/>
        </w:rPr>
        <w:t>Cloudrest Wines now has a reproducible 3NF MySQL OLTP design covering the complete base case and a connected HR/workforce sustainability extension. Database constraints preserve critical history and transactional integrity, while six tested queries convert operational records into training, exposure, workload, renewal and corrective-action decisions. Remaining work depends on course inputs or genuine student participation and is listed transparently rather than simulated.</w:t>
      </w:r>
    </w:p>
    <w:p>
      <w:pPr>
        <w:pStyle w:val="Heading1"/>
      </w:pPr>
      <w:r>
        <w:t>References</w:t>
      </w:r>
    </w:p>
    <w:p>
      <w:pPr>
        <w:widowControl/>
      </w:pPr>
      <w:r>
        <w:rPr>
          <w:rFonts w:ascii="Times New Roman" w:hAnsi="Times New Roman"/>
          <w:i w:val="0"/>
          <w:sz w:val="24"/>
        </w:rPr>
        <w:t>BISM2207 teaching team. (2026a). Wine company case [Course case study]. The University of Queensland.</w:t>
      </w:r>
    </w:p>
    <w:p>
      <w:pPr>
        <w:widowControl/>
      </w:pPr>
      <w:r>
        <w:rPr>
          <w:rFonts w:ascii="Times New Roman" w:hAnsi="Times New Roman"/>
          <w:i w:val="0"/>
          <w:sz w:val="24"/>
        </w:rPr>
        <w:t>BISM2207 teaching team. (2026b). BISM2207 system development assessment specification [Course document]. The University of Queensland.</w:t>
      </w:r>
    </w:p>
    <w:p>
      <w:pPr>
        <w:widowControl/>
      </w:pPr>
      <w:r>
        <w:rPr>
          <w:rFonts w:ascii="Times New Roman" w:hAnsi="Times New Roman"/>
          <w:i w:val="0"/>
          <w:sz w:val="24"/>
        </w:rPr>
        <w:t>BISM2207 teaching team. (2026c). BISM2207 system development marking rubric [Course document]. The University of Queensland.</w:t>
      </w:r>
    </w:p>
    <w:p>
      <w:pPr>
        <w:widowControl/>
      </w:pPr>
      <w:r>
        <w:rPr>
          <w:rFonts w:ascii="Times New Roman" w:hAnsi="Times New Roman"/>
          <w:i w:val="0"/>
          <w:sz w:val="24"/>
        </w:rPr>
        <w:t>Oracle. (2026). MySQL 8.4 reference manual. https://dev.mysql.com/doc/refman/8.4/en/</w:t>
      </w:r>
    </w:p>
    <w:p>
      <w:pPr>
        <w:widowControl/>
      </w:pPr>
      <w:r>
        <w:rPr>
          <w:rFonts w:ascii="Times New Roman" w:hAnsi="Times New Roman"/>
          <w:i w:val="0"/>
          <w:sz w:val="24"/>
        </w:rPr>
        <w:t>Oracle. (2026). MySQL Workbench manual. https://dev.mysql.com/doc/workbench/en/</w:t>
      </w:r>
    </w:p>
    <w:p>
      <w:pPr>
        <w:pStyle w:val="Heading1"/>
      </w:pPr>
      <w:r>
        <w:t>Appendix A — Workbench Domain EER Views</w:t>
      </w:r>
    </w:p>
    <w:p>
      <w:pPr>
        <w:keepNext/>
        <w:jc w:val="center"/>
      </w:pPr>
      <w:r>
        <w:drawing>
          <wp:inline xmlns:a="http://schemas.openxmlformats.org/drawingml/2006/main" xmlns:pic="http://schemas.openxmlformats.org/drawingml/2006/picture">
            <wp:extent cx="3997638" cy="6583680"/>
            <wp:docPr id="14" name="Picture 14" descr="Image: image14.png"/>
            <wp:cNvGraphicFramePr>
              <a:graphicFrameLocks noChangeAspect="1"/>
            </wp:cNvGraphicFramePr>
            <a:graphic>
              <a:graphicData uri="http://schemas.openxmlformats.org/drawingml/2006/picture">
                <pic:pic>
                  <pic:nvPicPr>
                    <pic:cNvPr id="0" name="ER_Personnel_History.png"/>
                    <pic:cNvPicPr/>
                  </pic:nvPicPr>
                  <pic:blipFill>
                    <a:blip r:embed="rId24"/>
                    <a:stretch>
                      <a:fillRect/>
                    </a:stretch>
                  </pic:blipFill>
                  <pic:spPr>
                    <a:xfrm>
                      <a:off x="0" y="0"/>
                      <a:ext cx="3997638" cy="6583680"/>
                    </a:xfrm>
                    <a:prstGeom prst="rect"/>
                  </pic:spPr>
                </pic:pic>
              </a:graphicData>
            </a:graphic>
          </wp:inline>
        </w:drawing>
      </w:r>
    </w:p>
    <w:p>
      <w:pPr>
        <w:spacing w:after="160"/>
        <w:jc w:val="center"/>
      </w:pPr>
      <w:r>
        <w:rPr>
          <w:rFonts w:ascii="Times New Roman" w:hAnsi="Times New Roman"/>
          <w:i/>
          <w:color w:val="5B6573"/>
          <w:sz w:val="18"/>
        </w:rPr>
        <w:t>Personnel History</w:t>
      </w:r>
    </w:p>
    <w:p>
      <w:pPr>
        <w:keepNext/>
        <w:jc w:val="center"/>
      </w:pPr>
      <w:r>
        <w:drawing>
          <wp:inline xmlns:a="http://schemas.openxmlformats.org/drawingml/2006/main" xmlns:pic="http://schemas.openxmlformats.org/drawingml/2006/picture">
            <wp:extent cx="2620370" cy="6583680"/>
            <wp:docPr id="15" name="Picture 15" descr="Image: image15.png"/>
            <wp:cNvGraphicFramePr>
              <a:graphicFrameLocks noChangeAspect="1"/>
            </wp:cNvGraphicFramePr>
            <a:graphic>
              <a:graphicData uri="http://schemas.openxmlformats.org/drawingml/2006/picture">
                <pic:pic>
                  <pic:nvPicPr>
                    <pic:cNvPr id="0" name="ER_HR_Training_Qualifications.png"/>
                    <pic:cNvPicPr/>
                  </pic:nvPicPr>
                  <pic:blipFill>
                    <a:blip r:embed="rId25"/>
                    <a:stretch>
                      <a:fillRect/>
                    </a:stretch>
                  </pic:blipFill>
                  <pic:spPr>
                    <a:xfrm>
                      <a:off x="0" y="0"/>
                      <a:ext cx="2620370" cy="6583680"/>
                    </a:xfrm>
                    <a:prstGeom prst="rect"/>
                  </pic:spPr>
                </pic:pic>
              </a:graphicData>
            </a:graphic>
          </wp:inline>
        </w:drawing>
      </w:r>
    </w:p>
    <w:p>
      <w:pPr>
        <w:spacing w:after="160"/>
        <w:jc w:val="center"/>
      </w:pPr>
      <w:r>
        <w:rPr>
          <w:rFonts w:ascii="Times New Roman" w:hAnsi="Times New Roman"/>
          <w:i/>
          <w:color w:val="5B6573"/>
          <w:sz w:val="18"/>
        </w:rPr>
        <w:t>HR Training Qualifications</w:t>
      </w:r>
    </w:p>
    <w:p>
      <w:pPr>
        <w:keepNext/>
        <w:jc w:val="center"/>
      </w:pPr>
      <w:r>
        <w:drawing>
          <wp:inline xmlns:a="http://schemas.openxmlformats.org/drawingml/2006/main" xmlns:pic="http://schemas.openxmlformats.org/drawingml/2006/picture">
            <wp:extent cx="3766477" cy="6583680"/>
            <wp:docPr id="16" name="Picture 16" descr="Image: image16.png"/>
            <wp:cNvGraphicFramePr>
              <a:graphicFrameLocks noChangeAspect="1"/>
            </wp:cNvGraphicFramePr>
            <a:graphic>
              <a:graphicData uri="http://schemas.openxmlformats.org/drawingml/2006/picture">
                <pic:pic>
                  <pic:nvPicPr>
                    <pic:cNvPr id="0" name="ER_HR_Shifts_Safety_Wellbeing.png"/>
                    <pic:cNvPicPr/>
                  </pic:nvPicPr>
                  <pic:blipFill>
                    <a:blip r:embed="rId26"/>
                    <a:stretch>
                      <a:fillRect/>
                    </a:stretch>
                  </pic:blipFill>
                  <pic:spPr>
                    <a:xfrm>
                      <a:off x="0" y="0"/>
                      <a:ext cx="3766477" cy="6583680"/>
                    </a:xfrm>
                    <a:prstGeom prst="rect"/>
                  </pic:spPr>
                </pic:pic>
              </a:graphicData>
            </a:graphic>
          </wp:inline>
        </w:drawing>
      </w:r>
    </w:p>
    <w:p>
      <w:pPr>
        <w:spacing w:after="160"/>
        <w:jc w:val="center"/>
      </w:pPr>
      <w:r>
        <w:rPr>
          <w:rFonts w:ascii="Times New Roman" w:hAnsi="Times New Roman"/>
          <w:i/>
          <w:color w:val="5B6573"/>
          <w:sz w:val="18"/>
        </w:rPr>
        <w:t>HR Shifts Safety Wellbeing</w:t>
      </w:r>
    </w:p>
    <w:p>
      <w:pPr>
        <w:keepNext/>
        <w:jc w:val="center"/>
      </w:pPr>
      <w:r>
        <w:drawing>
          <wp:inline xmlns:a="http://schemas.openxmlformats.org/drawingml/2006/main" xmlns:pic="http://schemas.openxmlformats.org/drawingml/2006/picture">
            <wp:extent cx="3728996" cy="6583680"/>
            <wp:docPr id="17" name="Picture 17" descr="Image: image17.png"/>
            <wp:cNvGraphicFramePr>
              <a:graphicFrameLocks noChangeAspect="1"/>
            </wp:cNvGraphicFramePr>
            <a:graphic>
              <a:graphicData uri="http://schemas.openxmlformats.org/drawingml/2006/picture">
                <pic:pic>
                  <pic:nvPicPr>
                    <pic:cNvPr id="0" name="ER_Vineyard_Wine_Production.png"/>
                    <pic:cNvPicPr/>
                  </pic:nvPicPr>
                  <pic:blipFill>
                    <a:blip r:embed="rId27"/>
                    <a:stretch>
                      <a:fillRect/>
                    </a:stretch>
                  </pic:blipFill>
                  <pic:spPr>
                    <a:xfrm>
                      <a:off x="0" y="0"/>
                      <a:ext cx="3728996" cy="6583680"/>
                    </a:xfrm>
                    <a:prstGeom prst="rect"/>
                  </pic:spPr>
                </pic:pic>
              </a:graphicData>
            </a:graphic>
          </wp:inline>
        </w:drawing>
      </w:r>
    </w:p>
    <w:p>
      <w:pPr>
        <w:spacing w:after="160"/>
        <w:jc w:val="center"/>
      </w:pPr>
      <w:r>
        <w:rPr>
          <w:rFonts w:ascii="Times New Roman" w:hAnsi="Times New Roman"/>
          <w:i/>
          <w:color w:val="5B6573"/>
          <w:sz w:val="18"/>
        </w:rPr>
        <w:t>Vineyard Wine Production</w:t>
      </w:r>
    </w:p>
    <w:p>
      <w:pPr>
        <w:keepNext/>
        <w:jc w:val="center"/>
      </w:pPr>
      <w:r>
        <w:drawing>
          <wp:inline xmlns:a="http://schemas.openxmlformats.org/drawingml/2006/main" xmlns:pic="http://schemas.openxmlformats.org/drawingml/2006/picture">
            <wp:extent cx="5303520" cy="6302899"/>
            <wp:docPr id="18" name="Picture 18" descr="Image: image18.png"/>
            <wp:cNvGraphicFramePr>
              <a:graphicFrameLocks noChangeAspect="1"/>
            </wp:cNvGraphicFramePr>
            <a:graphic>
              <a:graphicData uri="http://schemas.openxmlformats.org/drawingml/2006/picture">
                <pic:pic>
                  <pic:nvPicPr>
                    <pic:cNvPr id="0" name="ER_Products_Procurement.png"/>
                    <pic:cNvPicPr/>
                  </pic:nvPicPr>
                  <pic:blipFill>
                    <a:blip r:embed="rId28"/>
                    <a:stretch>
                      <a:fillRect/>
                    </a:stretch>
                  </pic:blipFill>
                  <pic:spPr>
                    <a:xfrm>
                      <a:off x="0" y="0"/>
                      <a:ext cx="5303520" cy="6302899"/>
                    </a:xfrm>
                    <a:prstGeom prst="rect"/>
                  </pic:spPr>
                </pic:pic>
              </a:graphicData>
            </a:graphic>
          </wp:inline>
        </w:drawing>
      </w:r>
    </w:p>
    <w:p>
      <w:pPr>
        <w:spacing w:after="160"/>
        <w:jc w:val="center"/>
      </w:pPr>
      <w:r>
        <w:rPr>
          <w:rFonts w:ascii="Times New Roman" w:hAnsi="Times New Roman"/>
          <w:i/>
          <w:color w:val="5B6573"/>
          <w:sz w:val="18"/>
        </w:rPr>
        <w:t>Products Procurement</w:t>
      </w:r>
    </w:p>
    <w:p>
      <w:pPr>
        <w:keepNext/>
        <w:jc w:val="center"/>
      </w:pPr>
      <w:r>
        <w:drawing>
          <wp:inline xmlns:a="http://schemas.openxmlformats.org/drawingml/2006/main" xmlns:pic="http://schemas.openxmlformats.org/drawingml/2006/picture">
            <wp:extent cx="4028245" cy="6583680"/>
            <wp:docPr id="19" name="Picture 19" descr="Image: image19.png"/>
            <wp:cNvGraphicFramePr>
              <a:graphicFrameLocks noChangeAspect="1"/>
            </wp:cNvGraphicFramePr>
            <a:graphic>
              <a:graphicData uri="http://schemas.openxmlformats.org/drawingml/2006/picture">
                <pic:pic>
                  <pic:nvPicPr>
                    <pic:cNvPr id="0" name="ER_Customers_Orders.png"/>
                    <pic:cNvPicPr/>
                  </pic:nvPicPr>
                  <pic:blipFill>
                    <a:blip r:embed="rId29"/>
                    <a:stretch>
                      <a:fillRect/>
                    </a:stretch>
                  </pic:blipFill>
                  <pic:spPr>
                    <a:xfrm>
                      <a:off x="0" y="0"/>
                      <a:ext cx="4028245" cy="6583680"/>
                    </a:xfrm>
                    <a:prstGeom prst="rect"/>
                  </pic:spPr>
                </pic:pic>
              </a:graphicData>
            </a:graphic>
          </wp:inline>
        </w:drawing>
      </w:r>
    </w:p>
    <w:p>
      <w:pPr>
        <w:spacing w:after="160"/>
        <w:jc w:val="center"/>
      </w:pPr>
      <w:r>
        <w:rPr>
          <w:rFonts w:ascii="Times New Roman" w:hAnsi="Times New Roman"/>
          <w:i/>
          <w:color w:val="5B6573"/>
          <w:sz w:val="18"/>
        </w:rPr>
        <w:t>Customers Orders</w:t>
      </w:r>
    </w:p>
    <w:p>
      <w:r>
        <w:br w:type="page"/>
      </w:r>
    </w:p>
    <w:p>
      <w:pPr>
        <w:pStyle w:val="Heading1"/>
      </w:pPr>
      <w:r>
        <w:t>Appendix B — Complete Data Dictionary</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Generated evidence: </w:t>
            </w:r>
            <w:r>
              <w:rPr>
                <w:rFonts w:ascii="Times New Roman" w:hAnsi="Times New Roman"/>
                <w:sz w:val="20"/>
              </w:rPr>
              <w:t>This appendix is generated from information_schema after a clean build, preventing field/type/key drift. SQL CHECK and trigger definitions remain authoritative for complex domains.</w:t>
            </w:r>
          </w:p>
        </w:tc>
        <w:trPr>
          <w:tblHeader/>
        </w:trPr>
      </w:tr>
    </w:tbl>
    <w:p>
      <w:pPr>
        <w:spacing w:after="0"/>
      </w:pPr>
    </w:p>
    <w:p>
      <w:pPr>
        <w:pStyle w:val="Heading2"/>
      </w:pPr>
      <w:r>
        <w:t>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addressKind</w:t>
            </w:r>
          </w:p>
        </w:tc>
        <w:tc>
          <w:tcPr>
            <w:tcW w:type="dxa" w:w="950"/>
            <w:vAlign w:val="center"/>
            <w:tcMar>
              <w:top w:w="80" w:type="dxa"/>
              <w:start w:w="100" w:type="dxa"/>
              <w:bottom w:w="80" w:type="dxa"/>
              <w:end w:w="100" w:type="dxa"/>
            </w:tcMar>
          </w:tcPr>
          <w:p>
            <w:pPr>
              <w:spacing w:after="0"/>
            </w:pPr>
            <w:r>
              <w:rPr>
                <w:rFonts w:ascii="Times New Roman" w:hAnsi="Times New Roman"/>
                <w:sz w:val="15"/>
              </w:rPr>
              <w:t>enum('PHYSICAL','POSTAL')</w:t>
            </w:r>
          </w:p>
        </w:tc>
        <w:tc>
          <w:tcPr>
            <w:tcW w:type="dxa" w:w="1100"/>
            <w:vAlign w:val="center"/>
            <w:tcMar>
              <w:top w:w="80" w:type="dxa"/>
              <w:start w:w="100" w:type="dxa"/>
              <w:bottom w:w="80" w:type="dxa"/>
              <w:end w:w="100" w:type="dxa"/>
            </w:tcMar>
          </w:tcPr>
          <w:p>
            <w:pPr>
              <w:spacing w:after="0"/>
            </w:pPr>
            <w:r>
              <w:rPr>
                <w:rFonts w:ascii="Times New Roman" w:hAnsi="Times New Roman"/>
                <w:sz w:val="15"/>
              </w:rPr>
              <w:t>enum('PHYSICAL','POSTAL')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`addressKind`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postalType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enum('POBOX','PRIVATEBAG','OTHER')</w:t>
            </w:r>
          </w:p>
        </w:tc>
        <w:tc>
          <w:tcPr>
            <w:tcW w:type="dxa" w:w="1100"/>
            <w:vAlign w:val="center"/>
            <w:tcMar>
              <w:top w:w="80" w:type="dxa"/>
              <w:start w:w="100" w:type="dxa"/>
              <w:bottom w:w="80" w:type="dxa"/>
              <w:end w:w="100" w:type="dxa"/>
            </w:tcMar>
          </w:tcPr>
          <w:p>
            <w:pPr>
              <w:spacing w:after="0"/>
            </w:pPr>
            <w:r>
              <w:rPr>
                <w:rFonts w:ascii="Times New Roman" w:hAnsi="Times New Roman"/>
                <w:sz w:val="15"/>
              </w:rPr>
              <w:t>enum('POBOX','PRIVATEBAG','OTHER')</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`postalType`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unitType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`unitType`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unitNumber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`unitNumber`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levelType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`levelType`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levelNumber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`levelNumber`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buildingName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placeName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`addressNumber`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streetName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locality</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`locality`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stateCode</w:t>
            </w:r>
          </w:p>
        </w:tc>
        <w:tc>
          <w:tcPr>
            <w:tcW w:type="dxa" w:w="950"/>
            <w:vAlign w:val="center"/>
            <w:tcMar>
              <w:top w:w="80" w:type="dxa"/>
              <w:start w:w="100" w:type="dxa"/>
              <w:bottom w:w="80" w:type="dxa"/>
              <w:end w:w="100" w:type="dxa"/>
            </w:tcMar>
          </w:tcPr>
          <w:p>
            <w:pPr>
              <w:spacing w:after="0"/>
            </w:pPr>
            <w:r>
              <w:rPr>
                <w:rFonts w:ascii="Times New Roman" w:hAnsi="Times New Roman"/>
                <w:sz w:val="15"/>
              </w:rPr>
              <w:t>enum('ACT','NSW','NT','QLD','SA','TAS','VIC','WA')</w:t>
            </w:r>
          </w:p>
        </w:tc>
        <w:tc>
          <w:tcPr>
            <w:tcW w:type="dxa" w:w="1100"/>
            <w:vAlign w:val="center"/>
            <w:tcMar>
              <w:top w:w="80" w:type="dxa"/>
              <w:start w:w="100" w:type="dxa"/>
              <w:bottom w:w="80" w:type="dxa"/>
              <w:end w:w="100" w:type="dxa"/>
            </w:tcMar>
          </w:tcPr>
          <w:p>
            <w:pPr>
              <w:spacing w:after="0"/>
            </w:pPr>
            <w:r>
              <w:rPr>
                <w:rFonts w:ascii="Times New Roman" w:hAnsi="Times New Roman"/>
                <w:sz w:val="15"/>
              </w:rPr>
              <w:t>enum('ACT','NSW','NT','QLD','SA','TAS','VIC','WA')</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`stateCode` for the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postcode</w:t>
            </w:r>
          </w:p>
        </w:tc>
        <w:tc>
          <w:tcPr>
            <w:tcW w:type="dxa" w:w="950"/>
            <w:vAlign w:val="center"/>
            <w:tcMar>
              <w:top w:w="80" w:type="dxa"/>
              <w:start w:w="100" w:type="dxa"/>
              <w:bottom w:w="80" w:type="dxa"/>
              <w:end w:w="100" w:type="dxa"/>
            </w:tcMar>
          </w:tcPr>
          <w:p>
            <w:pPr>
              <w:spacing w:after="0"/>
            </w:pPr>
            <w:r>
              <w:rPr>
                <w:rFonts w:ascii="Times New Roman" w:hAnsi="Times New Roman"/>
                <w:sz w:val="15"/>
              </w:rPr>
              <w:t>char(4)</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`postcode` for the `address` record.</w:t>
            </w:r>
          </w:p>
        </w:tc>
      </w:tr>
    </w:tbl>
    <w:p>
      <w:pPr>
        <w:spacing w:after="0"/>
      </w:pPr>
    </w:p>
    <w:p>
      <w:pPr>
        <w:pStyle w:val="Heading2"/>
      </w:pPr>
      <w:r>
        <w:t>bottletype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capacityMl</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`capacityMl` for the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bottleShape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`bottleShape` for the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material</w:t>
            </w:r>
          </w:p>
        </w:tc>
        <w:tc>
          <w:tcPr>
            <w:tcW w:type="dxa" w:w="950"/>
            <w:vAlign w:val="center"/>
            <w:tcMar>
              <w:top w:w="80" w:type="dxa"/>
              <w:start w:w="100" w:type="dxa"/>
              <w:bottom w:w="80" w:type="dxa"/>
              <w:end w:w="100" w:type="dxa"/>
            </w:tcMar>
          </w:tcPr>
          <w:p>
            <w:pPr>
              <w:spacing w:after="0"/>
            </w:pPr>
            <w:r>
              <w:rPr>
                <w:rFonts w:ascii="Times New Roman" w:hAnsi="Times New Roman"/>
                <w:sz w:val="15"/>
              </w:rPr>
              <w:t>enum('GLASS','PLASTIC')</w:t>
            </w:r>
          </w:p>
        </w:tc>
        <w:tc>
          <w:tcPr>
            <w:tcW w:type="dxa" w:w="1100"/>
            <w:vAlign w:val="center"/>
            <w:tcMar>
              <w:top w:w="80" w:type="dxa"/>
              <w:start w:w="100" w:type="dxa"/>
              <w:bottom w:w="80" w:type="dxa"/>
              <w:end w:w="100" w:type="dxa"/>
            </w:tcMar>
          </w:tcPr>
          <w:p>
            <w:pPr>
              <w:spacing w:after="0"/>
            </w:pPr>
            <w:r>
              <w:rPr>
                <w:rFonts w:ascii="Times New Roman" w:hAnsi="Times New Roman"/>
                <w:sz w:val="15"/>
              </w:rPr>
              <w:t>enum('GLASS','PLASTIC')</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`material` for the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bottleColour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`bottleColour` for the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inventoryQuantity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bottletype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usualUnitCost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bottletype fact in Australian dollars.</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reorderFlag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whether this bottle type may be reordered.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reorderComment</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Required explanation when a bottle type will not be reordered.</w:t>
            </w:r>
          </w:p>
        </w:tc>
      </w:tr>
    </w:tbl>
    <w:p>
      <w:pPr>
        <w:spacing w:after="0"/>
      </w:pPr>
    </w:p>
    <w:p>
      <w:pPr>
        <w:pStyle w:val="Heading2"/>
      </w:pPr>
      <w:r>
        <w:t>businesscustomer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companyName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australianBusinessNumber</w:t>
            </w:r>
          </w:p>
        </w:tc>
        <w:tc>
          <w:tcPr>
            <w:tcW w:type="dxa" w:w="950"/>
            <w:vAlign w:val="center"/>
            <w:tcMar>
              <w:top w:w="80" w:type="dxa"/>
              <w:start w:w="100" w:type="dxa"/>
              <w:bottom w:w="80" w:type="dxa"/>
              <w:end w:w="100" w:type="dxa"/>
            </w:tcMar>
          </w:tcPr>
          <w:p>
            <w:pPr>
              <w:spacing w:after="0"/>
            </w:pPr>
            <w:r>
              <w:rPr>
                <w:rFonts w:ascii="Times New Roman" w:hAnsi="Times New Roman"/>
                <w:sz w:val="15"/>
              </w:rPr>
              <w:t>char(11)</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Eleven-digit ABN identifying an Australian business customer.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businesscustomer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businessType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enum('RESTAURANT','WINESHOP','EXPORTCOMPANY','OTHER')</w:t>
            </w:r>
          </w:p>
        </w:tc>
        <w:tc>
          <w:tcPr>
            <w:tcW w:type="dxa" w:w="1100"/>
            <w:vAlign w:val="center"/>
            <w:tcMar>
              <w:top w:w="80" w:type="dxa"/>
              <w:start w:w="100" w:type="dxa"/>
              <w:bottom w:w="80" w:type="dxa"/>
              <w:end w:w="100" w:type="dxa"/>
            </w:tcMar>
          </w:tcPr>
          <w:p>
            <w:pPr>
              <w:spacing w:after="0"/>
            </w:pPr>
            <w:r>
              <w:rPr>
                <w:rFonts w:ascii="Times New Roman" w:hAnsi="Times New Roman"/>
                <w:sz w:val="15"/>
              </w:rPr>
              <w:t>enum('RESTAURANT','WINESHOP','EXPORTCOMPANY','OTHER')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`businessType` for the `businesscustomer` record.</w:t>
            </w:r>
          </w:p>
        </w:tc>
      </w:tr>
    </w:tbl>
    <w:p>
      <w:pPr>
        <w:spacing w:after="0"/>
      </w:pPr>
    </w:p>
    <w:p>
      <w:pPr>
        <w:pStyle w:val="Heading2"/>
      </w:pPr>
      <w:r>
        <w:t>checkintopic</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wellbeingcheckin.wellbeingCheckinId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wellbeingTopicId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wellbeingtopic.wellbeingTopicId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wellbeingtopic record.</w:t>
            </w:r>
          </w:p>
        </w:tc>
      </w:tr>
    </w:tbl>
    <w:p>
      <w:pPr>
        <w:spacing w:after="0"/>
      </w:pPr>
    </w:p>
    <w:p>
      <w:pPr>
        <w:pStyle w:val="Heading2"/>
      </w:pPr>
      <w:r>
        <w:t>correctiveaction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correctiveActionId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correctiveaction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incident.incidentId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correctiveaction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responsibleEmployeeId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correctiveaction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correctiveaction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`actionStatus` for the `correctiveaction` record.</w:t>
            </w:r>
          </w:p>
        </w:tc>
      </w:tr>
    </w:tbl>
    <w:p>
      <w:pPr>
        <w:spacing w:after="0"/>
      </w:pPr>
    </w:p>
    <w:p>
      <w:pPr>
        <w:pStyle w:val="Heading2"/>
      </w:pPr>
      <w:r>
        <w:t>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enum('INDIVIDUAL','BUSINESS')</w:t>
            </w:r>
          </w:p>
        </w:tc>
        <w:tc>
          <w:tcPr>
            <w:tcW w:type="dxa" w:w="1100"/>
            <w:vAlign w:val="center"/>
            <w:tcMar>
              <w:top w:w="80" w:type="dxa"/>
              <w:start w:w="100" w:type="dxa"/>
              <w:bottom w:w="80" w:type="dxa"/>
              <w:end w:w="100" w:type="dxa"/>
            </w:tcMar>
          </w:tcPr>
          <w:p>
            <w:pPr>
              <w:spacing w:after="0"/>
            </w:pPr>
            <w:r>
              <w:rPr>
                <w:rFonts w:ascii="Times New Roman" w:hAnsi="Times New Roman"/>
                <w:sz w:val="15"/>
              </w:rPr>
              <w:t>enum('INDIVIDUAL','BUSINESS')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`customerType` for the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emailAddress</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varchar(254)</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`emailAddress` for the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isActive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customer.isActive.</w:t>
            </w:r>
          </w:p>
        </w:tc>
      </w:tr>
    </w:tbl>
    <w:p>
      <w:pPr>
        <w:spacing w:after="0"/>
      </w:pPr>
    </w:p>
    <w:p>
      <w:pPr>
        <w:pStyle w:val="Heading2"/>
      </w:pPr>
      <w:r>
        <w:t>customeraddress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customeraddress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customeraddress event or validity period.</w:t>
            </w:r>
          </w:p>
        </w:tc>
      </w:tr>
    </w:tbl>
    <w:p>
      <w:pPr>
        <w:spacing w:after="0"/>
      </w:pPr>
    </w:p>
    <w:p>
      <w:pPr>
        <w:pStyle w:val="Heading2"/>
      </w:pPr>
      <w:r>
        <w:t>customerorder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customerorder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paidFlag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Indicates accounting confirmation that shipment may proceed.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enum('PENDING','SHIPPED','CANCELLED')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enum('PENDING','SHIPPED','CANCELLED')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`orderStatus` for the `customerorder` record.</w:t>
            </w:r>
          </w:p>
        </w:tc>
      </w:tr>
    </w:tbl>
    <w:p>
      <w:pPr>
        <w:spacing w:after="0"/>
      </w:pPr>
    </w:p>
    <w:p>
      <w:pPr>
        <w:pStyle w:val="Heading2"/>
      </w:pPr>
      <w:r>
        <w:t>customerphone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customerphone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customerphone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customerphone.isPrimary.</w:t>
            </w:r>
          </w:p>
        </w:tc>
      </w:tr>
    </w:tbl>
    <w:p>
      <w:pPr>
        <w:spacing w:after="0"/>
      </w:pPr>
    </w:p>
    <w:p>
      <w:pPr>
        <w:pStyle w:val="Heading2"/>
      </w:pPr>
      <w:r>
        <w:t>employee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taxFileNumber</w:t>
            </w:r>
          </w:p>
        </w:tc>
        <w:tc>
          <w:tcPr>
            <w:tcW w:type="dxa" w:w="950"/>
            <w:vAlign w:val="center"/>
            <w:tcMar>
              <w:top w:w="80" w:type="dxa"/>
              <w:start w:w="100" w:type="dxa"/>
              <w:bottom w:w="80" w:type="dxa"/>
              <w:end w:w="100" w:type="dxa"/>
            </w:tcMar>
          </w:tcPr>
          <w:p>
            <w:pPr>
              <w:spacing w:after="0"/>
            </w:pPr>
            <w:r>
              <w:rPr>
                <w:rFonts w:ascii="Times New Roman" w:hAnsi="Times New Roman"/>
                <w:sz w:val="15"/>
              </w:rPr>
              <w:t>char(9)</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Australian tax file number; sensitive HR identifier.</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employmentStartDate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employmentEndDate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 record or validity period.</w:t>
            </w:r>
          </w:p>
        </w:tc>
      </w:tr>
    </w:tbl>
    <w:p>
      <w:pPr>
        <w:spacing w:after="0"/>
      </w:pPr>
    </w:p>
    <w:p>
      <w:pPr>
        <w:pStyle w:val="Heading2"/>
      </w:pPr>
      <w:r>
        <w:t>employeeaddress</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employeeaddress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employeeaddress event or validity period.</w:t>
            </w:r>
          </w:p>
        </w:tc>
      </w:tr>
    </w:tbl>
    <w:p>
      <w:pPr>
        <w:spacing w:after="0"/>
      </w:pPr>
    </w:p>
    <w:p>
      <w:pPr>
        <w:pStyle w:val="Heading2"/>
      </w:pPr>
      <w:r>
        <w:t>employeephone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phone.phoneId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employeephone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employeephone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isPrimary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employeephone.isPrimary.</w:t>
            </w:r>
          </w:p>
        </w:tc>
      </w:tr>
    </w:tbl>
    <w:p>
      <w:pPr>
        <w:spacing w:after="0"/>
      </w:pPr>
    </w:p>
    <w:p>
      <w:pPr>
        <w:pStyle w:val="Heading2"/>
      </w:pPr>
      <w:r>
        <w:t>employeequalification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qualification.qualificationId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employeequalification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expiryDate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employeequalification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certificateReference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`certificateReference` for the `employeequalification` record.</w:t>
            </w:r>
          </w:p>
        </w:tc>
      </w:tr>
    </w:tbl>
    <w:p>
      <w:pPr>
        <w:spacing w:after="0"/>
      </w:pPr>
    </w:p>
    <w:p>
      <w:pPr>
        <w:pStyle w:val="Heading2"/>
      </w:pPr>
      <w:r>
        <w:t>employeerole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role.roleId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employeerole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employeerole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workTimeType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enum('FULLTIME','PARTTIME')</w:t>
            </w:r>
          </w:p>
        </w:tc>
        <w:tc>
          <w:tcPr>
            <w:tcW w:type="dxa" w:w="1100"/>
            <w:vAlign w:val="center"/>
            <w:tcMar>
              <w:top w:w="80" w:type="dxa"/>
              <w:start w:w="100" w:type="dxa"/>
              <w:bottom w:w="80" w:type="dxa"/>
              <w:end w:w="100" w:type="dxa"/>
            </w:tcMar>
          </w:tcPr>
          <w:p>
            <w:pPr>
              <w:spacing w:after="0"/>
            </w:pPr>
            <w:r>
              <w:rPr>
                <w:rFonts w:ascii="Times New Roman" w:hAnsi="Times New Roman"/>
                <w:sz w:val="15"/>
              </w:rPr>
              <w:t>enum('FULLTIME','PARTTIME')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`workTimeType` for the `employeerole`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employmentType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enum('PERMANENT','CASUAL','SEASONAL')</w:t>
            </w:r>
          </w:p>
        </w:tc>
        <w:tc>
          <w:tcPr>
            <w:tcW w:type="dxa" w:w="1100"/>
            <w:vAlign w:val="center"/>
            <w:tcMar>
              <w:top w:w="80" w:type="dxa"/>
              <w:start w:w="100" w:type="dxa"/>
              <w:bottom w:w="80" w:type="dxa"/>
              <w:end w:w="100" w:type="dxa"/>
            </w:tcMar>
          </w:tcPr>
          <w:p>
            <w:pPr>
              <w:spacing w:after="0"/>
            </w:pPr>
            <w:r>
              <w:rPr>
                <w:rFonts w:ascii="Times New Roman" w:hAnsi="Times New Roman"/>
                <w:sz w:val="15"/>
              </w:rPr>
              <w:t>enum('PERMANENT','CASUAL','SEASONAL')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`employmentType` for the `employeerole` record.</w:t>
            </w:r>
          </w:p>
        </w:tc>
      </w:tr>
    </w:tbl>
    <w:p>
      <w:pPr>
        <w:spacing w:after="0"/>
      </w:pPr>
    </w:p>
    <w:p>
      <w:pPr>
        <w:pStyle w:val="Heading2"/>
      </w:pPr>
      <w:r>
        <w:t>grapevariety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varietyName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juiceConversionPercent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Expected percentage of grape weight converted to juice.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storageContainer</w:t>
            </w:r>
          </w:p>
        </w:tc>
        <w:tc>
          <w:tcPr>
            <w:tcW w:type="dxa" w:w="950"/>
            <w:vAlign w:val="center"/>
            <w:tcMar>
              <w:top w:w="80" w:type="dxa"/>
              <w:start w:w="100" w:type="dxa"/>
              <w:bottom w:w="80" w:type="dxa"/>
              <w:end w:w="100" w:type="dxa"/>
            </w:tcMar>
          </w:tcPr>
          <w:p>
            <w:pPr>
              <w:spacing w:after="0"/>
            </w:pPr>
            <w:r>
              <w:rPr>
                <w:rFonts w:ascii="Times New Roman" w:hAnsi="Times New Roman"/>
                <w:sz w:val="15"/>
              </w:rPr>
              <w:t>enum('STAINLESSSTEEL','OAKBARREL','OTHER')</w:t>
            </w:r>
          </w:p>
        </w:tc>
        <w:tc>
          <w:tcPr>
            <w:tcW w:type="dxa" w:w="1100"/>
            <w:vAlign w:val="center"/>
            <w:tcMar>
              <w:top w:w="80" w:type="dxa"/>
              <w:start w:w="100" w:type="dxa"/>
              <w:bottom w:w="80" w:type="dxa"/>
              <w:end w:w="100" w:type="dxa"/>
            </w:tcMar>
          </w:tcPr>
          <w:p>
            <w:pPr>
              <w:spacing w:after="0"/>
            </w:pPr>
            <w:r>
              <w:rPr>
                <w:rFonts w:ascii="Times New Roman" w:hAnsi="Times New Roman"/>
                <w:sz w:val="15"/>
              </w:rPr>
              <w:t>enum('STAINLESSSTEEL','OAKBARREL','OTHER')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`storageContainer` for the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agingDays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`agingDays` for the `grapevariety` record.</w:t>
            </w:r>
          </w:p>
        </w:tc>
      </w:tr>
    </w:tbl>
    <w:p>
      <w:pPr>
        <w:spacing w:after="0"/>
      </w:pPr>
    </w:p>
    <w:p>
      <w:pPr>
        <w:pStyle w:val="Heading2"/>
      </w:pPr>
      <w:r>
        <w:t>harvest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harvestId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harvest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vineyardplanting.vineyardId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vineyardplanting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vineyardplanting.vintageYear</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`vintageYear` for the `harvest`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harvestedDate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harvest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weightKg</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decimal(12,2)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`weightKg` for the `harvest`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ripenessSugarPercent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Harvest ripeness expressed as percentage sugar.</w:t>
            </w:r>
          </w:p>
        </w:tc>
      </w:tr>
    </w:tbl>
    <w:p>
      <w:pPr>
        <w:spacing w:after="0"/>
      </w:pPr>
    </w:p>
    <w:p>
      <w:pPr>
        <w:pStyle w:val="Heading2"/>
      </w:pPr>
      <w:r>
        <w:t>incident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incident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enum('INJURY','NEARMISS','ILLNESS','EQUIPMENT','ENVIRONMENTAL','OTHER')</w:t>
            </w:r>
          </w:p>
        </w:tc>
        <w:tc>
          <w:tcPr>
            <w:tcW w:type="dxa" w:w="1100"/>
            <w:vAlign w:val="center"/>
            <w:tcMar>
              <w:top w:w="80" w:type="dxa"/>
              <w:start w:w="100" w:type="dxa"/>
              <w:bottom w:w="80" w:type="dxa"/>
              <w:end w:w="100" w:type="dxa"/>
            </w:tcMar>
          </w:tcPr>
          <w:p>
            <w:pPr>
              <w:spacing w:after="0"/>
            </w:pPr>
            <w:r>
              <w:rPr>
                <w:rFonts w:ascii="Times New Roman" w:hAnsi="Times New Roman"/>
                <w:sz w:val="15"/>
              </w:rPr>
              <w:t>enum('INJURY','NEARMISS','ILLNESS','EQUIPMENT','ENVIRONMENTAL','OTHER')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`incidentType` for the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severity</w:t>
            </w:r>
          </w:p>
        </w:tc>
        <w:tc>
          <w:tcPr>
            <w:tcW w:type="dxa" w:w="95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110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`severity` for the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totalLostHours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decimal(7,2)</w:t>
            </w:r>
          </w:p>
        </w:tc>
        <w:tc>
          <w:tcPr>
            <w:tcW w:type="dxa" w:w="1100"/>
            <w:vAlign w:val="center"/>
            <w:tcMar>
              <w:top w:w="80" w:type="dxa"/>
              <w:start w:w="100" w:type="dxa"/>
              <w:bottom w:w="80" w:type="dxa"/>
              <w:end w:w="100" w:type="dxa"/>
            </w:tcMar>
          </w:tcPr>
          <w:p>
            <w:pPr>
              <w:spacing w:after="0"/>
            </w:pPr>
            <w:r>
              <w:rPr>
                <w:rFonts w:ascii="Times New Roman" w:hAnsi="Times New Roman"/>
                <w:sz w:val="15"/>
              </w:rPr>
              <w:t>0.00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Total labour hours lost because of an incident.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reportableFlag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incident.reportableFlag.</w:t>
            </w:r>
          </w:p>
        </w:tc>
      </w:tr>
    </w:tbl>
    <w:p>
      <w:pPr>
        <w:spacing w:after="0"/>
      </w:pPr>
    </w:p>
    <w:p>
      <w:pPr>
        <w:pStyle w:val="Heading2"/>
      </w:pPr>
      <w:r>
        <w:t>incidentemployee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incident.incidentId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incident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involvementRole</w:t>
            </w:r>
          </w:p>
        </w:tc>
        <w:tc>
          <w:tcPr>
            <w:tcW w:type="dxa" w:w="950"/>
            <w:vAlign w:val="center"/>
            <w:tcMar>
              <w:top w:w="80" w:type="dxa"/>
              <w:start w:w="100" w:type="dxa"/>
              <w:bottom w:w="80" w:type="dxa"/>
              <w:end w:w="100" w:type="dxa"/>
            </w:tcMar>
          </w:tcPr>
          <w:p>
            <w:pPr>
              <w:spacing w:after="0"/>
            </w:pPr>
            <w:r>
              <w:rPr>
                <w:rFonts w:ascii="Times New Roman" w:hAnsi="Times New Roman"/>
                <w:sz w:val="15"/>
              </w:rPr>
              <w:t>enum('AFFECTED','WITNESS','REPORTER')</w:t>
            </w:r>
          </w:p>
        </w:tc>
        <w:tc>
          <w:tcPr>
            <w:tcW w:type="dxa" w:w="1100"/>
            <w:vAlign w:val="center"/>
            <w:tcMar>
              <w:top w:w="80" w:type="dxa"/>
              <w:start w:w="100" w:type="dxa"/>
              <w:bottom w:w="80" w:type="dxa"/>
              <w:end w:w="100" w:type="dxa"/>
            </w:tcMar>
          </w:tcPr>
          <w:p>
            <w:pPr>
              <w:spacing w:after="0"/>
            </w:pPr>
            <w:r>
              <w:rPr>
                <w:rFonts w:ascii="Times New Roman" w:hAnsi="Times New Roman"/>
                <w:sz w:val="15"/>
              </w:rPr>
              <w:t>enum('AFFECTED','WITNESS','REPORTER')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`involvementRole` for the `incidentemployee`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employeeLostHours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decimal(7,2)</w:t>
            </w:r>
          </w:p>
        </w:tc>
        <w:tc>
          <w:tcPr>
            <w:tcW w:type="dxa" w:w="1100"/>
            <w:vAlign w:val="center"/>
            <w:tcMar>
              <w:top w:w="80" w:type="dxa"/>
              <w:start w:w="100" w:type="dxa"/>
              <w:bottom w:w="80" w:type="dxa"/>
              <w:end w:w="100" w:type="dxa"/>
            </w:tcMar>
          </w:tcPr>
          <w:p>
            <w:pPr>
              <w:spacing w:after="0"/>
            </w:pPr>
            <w:r>
              <w:rPr>
                <w:rFonts w:ascii="Times New Roman" w:hAnsi="Times New Roman"/>
                <w:sz w:val="15"/>
              </w:rPr>
              <w:t>0.00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`employeeLostHours` for the `incidentemployee` record.</w:t>
            </w:r>
          </w:p>
        </w:tc>
      </w:tr>
    </w:tbl>
    <w:p>
      <w:pPr>
        <w:spacing w:after="0"/>
      </w:pPr>
    </w:p>
    <w:p>
      <w:pPr>
        <w:pStyle w:val="Heading2"/>
      </w:pPr>
      <w:r>
        <w:t>individualcustomer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customer.customerId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individualcustomer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individualcustomer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dateOfBirth</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Birth date retained to demonstrate an individual customer's legal age.</w:t>
            </w:r>
          </w:p>
        </w:tc>
      </w:tr>
    </w:tbl>
    <w:p>
      <w:pPr>
        <w:spacing w:after="0"/>
      </w:pPr>
    </w:p>
    <w:p>
      <w:pPr>
        <w:pStyle w:val="Heading2"/>
      </w:pPr>
      <w:r>
        <w:t>medal</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medalId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medal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medalType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enum('BRONZE','SILVER','GOLD','TROPHY')</w:t>
            </w:r>
          </w:p>
        </w:tc>
        <w:tc>
          <w:tcPr>
            <w:tcW w:type="dxa" w:w="1100"/>
            <w:vAlign w:val="center"/>
            <w:tcMar>
              <w:top w:w="80" w:type="dxa"/>
              <w:start w:w="100" w:type="dxa"/>
              <w:bottom w:w="80" w:type="dxa"/>
              <w:end w:w="100" w:type="dxa"/>
            </w:tcMar>
          </w:tcPr>
          <w:p>
            <w:pPr>
              <w:spacing w:after="0"/>
            </w:pPr>
            <w:r>
              <w:rPr>
                <w:rFonts w:ascii="Times New Roman" w:hAnsi="Times New Roman"/>
                <w:sz w:val="15"/>
              </w:rPr>
              <w:t>enum('BRONZE','SILVER','GOLD','TROPHY')</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`medalType` for the `medal`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`awardYear` for the `medal`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awardingOrganisation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`awardingOrganisation` for the `medal` record.</w:t>
            </w:r>
          </w:p>
        </w:tc>
      </w:tr>
    </w:tbl>
    <w:p>
      <w:pPr>
        <w:spacing w:after="0"/>
      </w:pPr>
    </w:p>
    <w:p>
      <w:pPr>
        <w:pStyle w:val="Heading2"/>
      </w:pPr>
      <w:r>
        <w:t>openincidentaction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correctiveActionId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incidentDateTime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openincidentaction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severity</w:t>
            </w:r>
          </w:p>
        </w:tc>
        <w:tc>
          <w:tcPr>
            <w:tcW w:type="dxa" w:w="95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1100"/>
            <w:vAlign w:val="center"/>
            <w:tcMar>
              <w:top w:w="80" w:type="dxa"/>
              <w:start w:w="100" w:type="dxa"/>
              <w:bottom w:w="80" w:type="dxa"/>
              <w:end w:w="100" w:type="dxa"/>
            </w:tcMar>
          </w:tcPr>
          <w:p>
            <w:pPr>
              <w:spacing w:after="0"/>
            </w:pPr>
            <w:r>
              <w:rPr>
                <w:rFonts w:ascii="Times New Roman" w:hAnsi="Times New Roman"/>
                <w:sz w:val="15"/>
              </w:rPr>
              <w:t>enum('LOW','MODERATE','HIGH','CRITICAL')</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`severity` for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openincidentaction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`actionStatus` for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responsibleEmployee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varchar(101)</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`responsibleEmployee` for the `openincidentaction`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daysOverdue</w:t>
            </w:r>
          </w:p>
        </w:tc>
        <w:tc>
          <w:tcPr>
            <w:tcW w:type="dxa" w:w="950"/>
            <w:vAlign w:val="center"/>
            <w:tcMar>
              <w:top w:w="80" w:type="dxa"/>
              <w:start w:w="100" w:type="dxa"/>
              <w:bottom w:w="80" w:type="dxa"/>
              <w:end w:w="100" w:type="dxa"/>
            </w:tcMar>
          </w:tcPr>
          <w:p>
            <w:pPr>
              <w:spacing w:after="0"/>
            </w:pPr>
            <w:r>
              <w:rPr>
                <w:rFonts w:ascii="Times New Roman" w:hAnsi="Times New Roman"/>
                <w:sz w:val="15"/>
              </w:rPr>
              <w:t>int</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`daysOverdue` for the `openincidentaction` record.</w:t>
            </w:r>
          </w:p>
        </w:tc>
      </w:tr>
    </w:tbl>
    <w:p>
      <w:pPr>
        <w:spacing w:after="0"/>
      </w:pPr>
    </w:p>
    <w:p>
      <w:pPr>
        <w:pStyle w:val="Heading2"/>
      </w:pPr>
      <w:r>
        <w:t>operationalarea</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varchar(255)</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operationalarea record.</w:t>
            </w:r>
          </w:p>
        </w:tc>
      </w:tr>
    </w:tbl>
    <w:p>
      <w:pPr>
        <w:spacing w:after="0"/>
      </w:pPr>
    </w:p>
    <w:p>
      <w:pPr>
        <w:pStyle w:val="Heading2"/>
      </w:pPr>
      <w:r>
        <w:t>orderline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wineproduct.productId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orderline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agreedCasePrice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orderline fact in Australian dollars.</w:t>
            </w:r>
          </w:p>
        </w:tc>
      </w:tr>
    </w:tbl>
    <w:p>
      <w:pPr>
        <w:spacing w:after="0"/>
      </w:pPr>
    </w:p>
    <w:p>
      <w:pPr>
        <w:pStyle w:val="Heading2"/>
      </w:pPr>
      <w:r>
        <w:t>packmember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pickerPackId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pickerpack.pickerPackId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joinedDate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packmember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leftDate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packmember record or validity period.</w:t>
            </w:r>
          </w:p>
        </w:tc>
      </w:tr>
    </w:tbl>
    <w:p>
      <w:pPr>
        <w:spacing w:after="0"/>
      </w:pPr>
    </w:p>
    <w:p>
      <w:pPr>
        <w:pStyle w:val="Heading2"/>
      </w:pPr>
      <w:r>
        <w:t>phone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countryCode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w:t>
            </w:r>
          </w:p>
        </w:tc>
        <w:tc>
          <w:tcPr>
            <w:tcW w:type="dxa" w:w="1100"/>
            <w:vAlign w:val="center"/>
            <w:tcMar>
              <w:top w:w="80" w:type="dxa"/>
              <w:start w:w="100" w:type="dxa"/>
              <w:bottom w:w="80" w:type="dxa"/>
              <w:end w:w="100" w:type="dxa"/>
            </w:tcMar>
          </w:tcPr>
          <w:p>
            <w:pPr>
              <w:spacing w:after="0"/>
            </w:pPr>
            <w:r>
              <w:rPr>
                <w:rFonts w:ascii="Times New Roman" w:hAnsi="Times New Roman"/>
                <w:sz w:val="15"/>
              </w:rPr>
              <w:t>+61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`countryCode` for the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`phoneNumber` for the `phone`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phoneType</w:t>
            </w:r>
          </w:p>
        </w:tc>
        <w:tc>
          <w:tcPr>
            <w:tcW w:type="dxa" w:w="950"/>
            <w:vAlign w:val="center"/>
            <w:tcMar>
              <w:top w:w="80" w:type="dxa"/>
              <w:start w:w="100" w:type="dxa"/>
              <w:bottom w:w="80" w:type="dxa"/>
              <w:end w:w="100" w:type="dxa"/>
            </w:tcMar>
          </w:tcPr>
          <w:p>
            <w:pPr>
              <w:spacing w:after="0"/>
            </w:pPr>
            <w:r>
              <w:rPr>
                <w:rFonts w:ascii="Times New Roman" w:hAnsi="Times New Roman"/>
                <w:sz w:val="15"/>
              </w:rPr>
              <w:t>enum('MOBILE','WORK','HOME','OTHER')</w:t>
            </w:r>
          </w:p>
        </w:tc>
        <w:tc>
          <w:tcPr>
            <w:tcW w:type="dxa" w:w="1100"/>
            <w:vAlign w:val="center"/>
            <w:tcMar>
              <w:top w:w="80" w:type="dxa"/>
              <w:start w:w="100" w:type="dxa"/>
              <w:bottom w:w="80" w:type="dxa"/>
              <w:end w:w="100" w:type="dxa"/>
            </w:tcMar>
          </w:tcPr>
          <w:p>
            <w:pPr>
              <w:spacing w:after="0"/>
            </w:pPr>
            <w:r>
              <w:rPr>
                <w:rFonts w:ascii="Times New Roman" w:hAnsi="Times New Roman"/>
                <w:sz w:val="15"/>
              </w:rPr>
              <w:t>enum('MOBILE','WORK','HOME','OTHER')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`phoneType` for the `phone` record.</w:t>
            </w:r>
          </w:p>
        </w:tc>
      </w:tr>
    </w:tbl>
    <w:p>
      <w:pPr>
        <w:spacing w:after="0"/>
      </w:pPr>
    </w:p>
    <w:p>
      <w:pPr>
        <w:pStyle w:val="Heading2"/>
      </w:pPr>
      <w:r>
        <w:t>pickerpack</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pickerPackId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packName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pickerpack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seasonYear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`seasonYear` for the `pickerpack` record.</w:t>
            </w:r>
          </w:p>
        </w:tc>
      </w:tr>
    </w:tbl>
    <w:p>
      <w:pPr>
        <w:spacing w:after="0"/>
      </w:pPr>
    </w:p>
    <w:p>
      <w:pPr>
        <w:pStyle w:val="Heading2"/>
      </w:pPr>
      <w:r>
        <w:t>productprice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wineproduct.productId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effectiveDate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productprice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productprice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productprice fact in Australian dollars.</w:t>
            </w:r>
          </w:p>
        </w:tc>
      </w:tr>
    </w:tbl>
    <w:p>
      <w:pPr>
        <w:spacing w:after="0"/>
      </w:pPr>
    </w:p>
    <w:p>
      <w:pPr>
        <w:pStyle w:val="Heading2"/>
      </w:pPr>
      <w:r>
        <w:t>purchaseorder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purchaseorder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enum('PLACED','PARTRECEIVED','RECEIVED','CANCELLED')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enum('PLACED','PARTRECEIVED','RECEIVED','CANCELLED')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`orderStatus` for the `purchaseorder` record.</w:t>
            </w:r>
          </w:p>
        </w:tc>
      </w:tr>
    </w:tbl>
    <w:p>
      <w:pPr>
        <w:spacing w:after="0"/>
      </w:pPr>
    </w:p>
    <w:p>
      <w:pPr>
        <w:pStyle w:val="Heading2"/>
      </w:pPr>
      <w:r>
        <w:t>purchaseorderline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purchaseorder.purchaseOrderId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orderedQuantity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purchaseorderline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quotedUnitPrice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purchaseorderline fact in Australian dollars.</w:t>
            </w:r>
          </w:p>
        </w:tc>
      </w:tr>
    </w:tbl>
    <w:p>
      <w:pPr>
        <w:spacing w:after="0"/>
      </w:pPr>
    </w:p>
    <w:p>
      <w:pPr>
        <w:pStyle w:val="Heading2"/>
      </w:pPr>
      <w:r>
        <w:t>qualification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qualificationName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issuingAuthority</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qualification.issuingAuthority.</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defaultValidityMonths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`defaultValidityMonths` for the `qualification`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isSafetyCritical</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qualification.isSafetyCritical.</w:t>
            </w:r>
          </w:p>
        </w:tc>
      </w:tr>
    </w:tbl>
    <w:p>
      <w:pPr>
        <w:spacing w:after="0"/>
      </w:pPr>
    </w:p>
    <w:p>
      <w:pPr>
        <w:pStyle w:val="Heading2"/>
      </w:pPr>
      <w:r>
        <w:t>receipt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receiptId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receipt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purchaseOrderId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purchaseorder.purchaseOrderId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purchaseorder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receipt record or validity period.</w:t>
            </w:r>
          </w:p>
        </w:tc>
      </w:tr>
    </w:tbl>
    <w:p>
      <w:pPr>
        <w:spacing w:after="0"/>
      </w:pPr>
    </w:p>
    <w:p>
      <w:pPr>
        <w:pStyle w:val="Heading2"/>
      </w:pPr>
      <w:r>
        <w:t>receiptline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receiptId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receipt.receiptId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receipt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receivedQuantity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receiptline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actualUnitPrice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decimal(8,2)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receiptline fact in Australian dollars.</w:t>
            </w:r>
          </w:p>
        </w:tc>
      </w:tr>
    </w:tbl>
    <w:p>
      <w:pPr>
        <w:spacing w:after="0"/>
      </w:pPr>
    </w:p>
    <w:p>
      <w:pPr>
        <w:pStyle w:val="Heading2"/>
      </w:pPr>
      <w:r>
        <w:t>refund</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refund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refund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refundReason</w:t>
            </w:r>
          </w:p>
        </w:tc>
        <w:tc>
          <w:tcPr>
            <w:tcW w:type="dxa" w:w="950"/>
            <w:vAlign w:val="center"/>
            <w:tcMar>
              <w:top w:w="80" w:type="dxa"/>
              <w:start w:w="100" w:type="dxa"/>
              <w:bottom w:w="80" w:type="dxa"/>
              <w:end w:w="100" w:type="dxa"/>
            </w:tcMar>
          </w:tcPr>
          <w:p>
            <w:pPr>
              <w:spacing w:after="0"/>
            </w:pPr>
            <w:r>
              <w:rPr>
                <w:rFonts w:ascii="Times New Roman" w:hAnsi="Times New Roman"/>
                <w:sz w:val="15"/>
              </w:rPr>
              <w:t>enum('SHORTSUPPLY','TRANSITDAMAGE')</w:t>
            </w:r>
          </w:p>
        </w:tc>
        <w:tc>
          <w:tcPr>
            <w:tcW w:type="dxa" w:w="1100"/>
            <w:vAlign w:val="center"/>
            <w:tcMar>
              <w:top w:w="80" w:type="dxa"/>
              <w:start w:w="100" w:type="dxa"/>
              <w:bottom w:w="80" w:type="dxa"/>
              <w:end w:w="100" w:type="dxa"/>
            </w:tcMar>
          </w:tcPr>
          <w:p>
            <w:pPr>
              <w:spacing w:after="0"/>
            </w:pPr>
            <w:r>
              <w:rPr>
                <w:rFonts w:ascii="Times New Roman" w:hAnsi="Times New Roman"/>
                <w:sz w:val="15"/>
              </w:rPr>
              <w:t>enum('SHORTSUPPLY','TRANSITDAMAGE')</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`refundReason` for the `refund`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verifiedFlag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refund.verifiedFlag.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refundAmount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decimal(10,2)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Monetary value recorded for the refund fact in Australian dollars.</w:t>
            </w:r>
          </w:p>
        </w:tc>
      </w:tr>
    </w:tbl>
    <w:p>
      <w:pPr>
        <w:spacing w:after="0"/>
      </w:pPr>
    </w:p>
    <w:p>
      <w:pPr>
        <w:pStyle w:val="Heading2"/>
      </w:pPr>
      <w:r>
        <w:t>role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role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roleDescription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varchar(255)</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role record.</w:t>
            </w:r>
          </w:p>
        </w:tc>
      </w:tr>
    </w:tbl>
    <w:p>
      <w:pPr>
        <w:spacing w:after="0"/>
      </w:pPr>
    </w:p>
    <w:p>
      <w:pPr>
        <w:pStyle w:val="Heading2"/>
      </w:pPr>
      <w:r>
        <w:t>seasonalrating</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seasonYear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`seasonYear` for the `seasonalrating`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ratingValue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`ratingValue` for the `seasonalrating`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recommendReemployment</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`recommendReemployment` for the `seasonalrating`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ratingComment</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`ratingComment` for the `seasonalrating` record.</w:t>
            </w:r>
          </w:p>
        </w:tc>
      </w:tr>
    </w:tbl>
    <w:p>
      <w:pPr>
        <w:spacing w:after="0"/>
      </w:pPr>
    </w:p>
    <w:p>
      <w:pPr>
        <w:pStyle w:val="Heading2"/>
      </w:pPr>
      <w:r>
        <w:t>shift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shift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startTime</w:t>
            </w:r>
          </w:p>
        </w:tc>
        <w:tc>
          <w:tcPr>
            <w:tcW w:type="dxa" w:w="950"/>
            <w:vAlign w:val="center"/>
            <w:tcMar>
              <w:top w:w="80" w:type="dxa"/>
              <w:start w:w="100" w:type="dxa"/>
              <w:bottom w:w="80" w:type="dxa"/>
              <w:end w:w="100" w:type="dxa"/>
            </w:tcMar>
          </w:tcPr>
          <w:p>
            <w:pPr>
              <w:spacing w:after="0"/>
            </w:pPr>
            <w:r>
              <w:rPr>
                <w:rFonts w:ascii="Times New Roman" w:hAnsi="Times New Roman"/>
                <w:sz w:val="15"/>
              </w:rPr>
              <w:t>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`startTime` for the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endTime</w:t>
            </w:r>
          </w:p>
        </w:tc>
        <w:tc>
          <w:tcPr>
            <w:tcW w:type="dxa" w:w="950"/>
            <w:vAlign w:val="center"/>
            <w:tcMar>
              <w:top w:w="80" w:type="dxa"/>
              <w:start w:w="100" w:type="dxa"/>
              <w:bottom w:w="80" w:type="dxa"/>
              <w:end w:w="100" w:type="dxa"/>
            </w:tcMar>
          </w:tcPr>
          <w:p>
            <w:pPr>
              <w:spacing w:after="0"/>
            </w:pPr>
            <w:r>
              <w:rPr>
                <w:rFonts w:ascii="Times New Roman" w:hAnsi="Times New Roman"/>
                <w:sz w:val="15"/>
              </w:rPr>
              <w:t>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`endTime` for the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taskCategoryId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taskcategory.taskCategoryId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taskcategory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bl>
    <w:p>
      <w:pPr>
        <w:spacing w:after="0"/>
      </w:pPr>
    </w:p>
    <w:p>
      <w:pPr>
        <w:pStyle w:val="Heading2"/>
      </w:pPr>
      <w:r>
        <w:t>shiftassignment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shiftId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shift.shiftId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shift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regularHours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Regular labour hours worked on the assigned shift.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overtimeHours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0.00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Overtime hours used in workload and safety analysis.</w:t>
            </w:r>
          </w:p>
        </w:tc>
      </w:tr>
    </w:tbl>
    <w:p>
      <w:pPr>
        <w:spacing w:after="0"/>
      </w:pPr>
    </w:p>
    <w:p>
      <w:pPr>
        <w:pStyle w:val="Heading2"/>
      </w:pPr>
      <w:r>
        <w:t>shipment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shipmentId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shipment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customerOrderId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customerorder.customerOrderId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customerorder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shippedDate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shipment record or validity period.</w:t>
            </w:r>
          </w:p>
        </w:tc>
      </w:tr>
    </w:tbl>
    <w:p>
      <w:pPr>
        <w:spacing w:after="0"/>
      </w:pPr>
    </w:p>
    <w:p>
      <w:pPr>
        <w:pStyle w:val="Heading2"/>
      </w:pPr>
      <w:r>
        <w:t>supervision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supervisorId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startDateTime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supervision event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endDateTime</w:t>
            </w:r>
          </w:p>
        </w:tc>
        <w:tc>
          <w:tcPr>
            <w:tcW w:type="dxa" w:w="950"/>
            <w:vAlign w:val="center"/>
            <w:tcMar>
              <w:top w:w="80" w:type="dxa"/>
              <w:start w:w="100" w:type="dxa"/>
              <w:bottom w:w="80" w:type="dxa"/>
              <w:end w:w="100" w:type="dxa"/>
            </w:tcMar>
          </w:tcPr>
          <w:p>
            <w:pPr>
              <w:spacing w:after="0"/>
            </w:pPr>
            <w:r>
              <w:rPr>
                <w:rFonts w:ascii="Times New Roman" w:hAnsi="Times New Roman"/>
                <w:sz w:val="15"/>
              </w:rPr>
              <w:t>datetime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and time associated with the supervision event or validity period.</w:t>
            </w:r>
          </w:p>
        </w:tc>
      </w:tr>
    </w:tbl>
    <w:p>
      <w:pPr>
        <w:spacing w:after="0"/>
      </w:pPr>
    </w:p>
    <w:p>
      <w:pPr>
        <w:pStyle w:val="Heading2"/>
      </w:pPr>
      <w:r>
        <w:t>supplier</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phoneNumber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`phoneNumber`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contactFirstName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contactLastName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contactEmail</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varchar(254)</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`contactEmail` for the `supplier` record.</w:t>
            </w:r>
          </w:p>
        </w:tc>
      </w:tr>
    </w:tbl>
    <w:p>
      <w:pPr>
        <w:spacing w:after="0"/>
      </w:pPr>
    </w:p>
    <w:p>
      <w:pPr>
        <w:pStyle w:val="Heading2"/>
      </w:pPr>
      <w:r>
        <w:t>supplierbottle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supplier.supplierId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supplier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supplierBottleCode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`supplierBottleCode` for the `supplierbottle`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isAvailable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supplierbottle.isAvailable.</w:t>
            </w:r>
          </w:p>
        </w:tc>
      </w:tr>
    </w:tbl>
    <w:p>
      <w:pPr>
        <w:spacing w:after="0"/>
      </w:pPr>
    </w:p>
    <w:p>
      <w:pPr>
        <w:pStyle w:val="Heading2"/>
      </w:pPr>
      <w:r>
        <w:t>taskcategory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taskCategoryId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taskcategory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categoryName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varchar(60)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taskcategory record.</w:t>
            </w:r>
          </w:p>
        </w:tc>
      </w:tr>
    </w:tbl>
    <w:p>
      <w:pPr>
        <w:spacing w:after="0"/>
      </w:pPr>
    </w:p>
    <w:p>
      <w:pPr>
        <w:pStyle w:val="Heading2"/>
      </w:pPr>
      <w:r>
        <w:t>trainingattendance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trainingSessionId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trainingsession.trainingSessionId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attendanceStatus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enum('REGISTERED','COMPLETED','FAILED','ABSENT')</w:t>
            </w:r>
          </w:p>
        </w:tc>
        <w:tc>
          <w:tcPr>
            <w:tcW w:type="dxa" w:w="1100"/>
            <w:vAlign w:val="center"/>
            <w:tcMar>
              <w:top w:w="80" w:type="dxa"/>
              <w:start w:w="100" w:type="dxa"/>
              <w:bottom w:w="80" w:type="dxa"/>
              <w:end w:w="100" w:type="dxa"/>
            </w:tcMar>
          </w:tcPr>
          <w:p>
            <w:pPr>
              <w:spacing w:after="0"/>
            </w:pPr>
            <w:r>
              <w:rPr>
                <w:rFonts w:ascii="Times New Roman" w:hAnsi="Times New Roman"/>
                <w:sz w:val="15"/>
              </w:rPr>
              <w:t>enum('REGISTERED','COMPLETED','FAILED','ABSENT')</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`attendanceStatus` for the `trainingattendance`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completionDate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trainingattendance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renewalDate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trainingattendance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competencyLevel</w:t>
            </w:r>
          </w:p>
        </w:tc>
        <w:tc>
          <w:tcPr>
            <w:tcW w:type="dxa" w:w="950"/>
            <w:vAlign w:val="center"/>
            <w:tcMar>
              <w:top w:w="80" w:type="dxa"/>
              <w:start w:w="100" w:type="dxa"/>
              <w:bottom w:w="80" w:type="dxa"/>
              <w:end w:w="100" w:type="dxa"/>
            </w:tcMar>
          </w:tcPr>
          <w:p>
            <w:pPr>
              <w:spacing w:after="0"/>
            </w:pPr>
            <w:r>
              <w:rPr>
                <w:rFonts w:ascii="Times New Roman" w:hAnsi="Times New Roman"/>
                <w:sz w:val="15"/>
              </w:rPr>
              <w:t>enum('AWARENESS','COMPETENT','ADVANCED')</w:t>
            </w:r>
          </w:p>
        </w:tc>
        <w:tc>
          <w:tcPr>
            <w:tcW w:type="dxa" w:w="1100"/>
            <w:vAlign w:val="center"/>
            <w:tcMar>
              <w:top w:w="80" w:type="dxa"/>
              <w:start w:w="100" w:type="dxa"/>
              <w:bottom w:w="80" w:type="dxa"/>
              <w:end w:w="100" w:type="dxa"/>
            </w:tcMar>
          </w:tcPr>
          <w:p>
            <w:pPr>
              <w:spacing w:after="0"/>
            </w:pPr>
            <w:r>
              <w:rPr>
                <w:rFonts w:ascii="Times New Roman" w:hAnsi="Times New Roman"/>
                <w:sz w:val="15"/>
              </w:rPr>
              <w:t>enum('AWARENESS','COMPETENT','ADVANCED')</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`competencyLevel` for the `trainingattendance` record.</w:t>
            </w:r>
          </w:p>
        </w:tc>
      </w:tr>
    </w:tbl>
    <w:p>
      <w:pPr>
        <w:spacing w:after="0"/>
      </w:pPr>
    </w:p>
    <w:p>
      <w:pPr>
        <w:pStyle w:val="Heading2"/>
      </w:pPr>
      <w:r>
        <w:t>trainingcourse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trainingCourseId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courseName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courseProvider</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varchar(120)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`courseProvider` for the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trainingCategory</w:t>
            </w:r>
          </w:p>
        </w:tc>
        <w:tc>
          <w:tcPr>
            <w:tcW w:type="dxa" w:w="950"/>
            <w:vAlign w:val="center"/>
            <w:tcMar>
              <w:top w:w="80" w:type="dxa"/>
              <w:start w:w="100" w:type="dxa"/>
              <w:bottom w:w="80" w:type="dxa"/>
              <w:end w:w="100" w:type="dxa"/>
            </w:tcMar>
          </w:tcPr>
          <w:p>
            <w:pPr>
              <w:spacing w:after="0"/>
            </w:pPr>
            <w:r>
              <w:rPr>
                <w:rFonts w:ascii="Times New Roman" w:hAnsi="Times New Roman"/>
                <w:sz w:val="15"/>
              </w:rPr>
              <w:t>enum('SAFETY','SUSTAINABILITY','TECHNICAL','WELLBEING','OTHER')</w:t>
            </w:r>
          </w:p>
        </w:tc>
        <w:tc>
          <w:tcPr>
            <w:tcW w:type="dxa" w:w="1100"/>
            <w:vAlign w:val="center"/>
            <w:tcMar>
              <w:top w:w="80" w:type="dxa"/>
              <w:start w:w="100" w:type="dxa"/>
              <w:bottom w:w="80" w:type="dxa"/>
              <w:end w:w="100" w:type="dxa"/>
            </w:tcMar>
          </w:tcPr>
          <w:p>
            <w:pPr>
              <w:spacing w:after="0"/>
            </w:pPr>
            <w:r>
              <w:rPr>
                <w:rFonts w:ascii="Times New Roman" w:hAnsi="Times New Roman"/>
                <w:sz w:val="15"/>
              </w:rPr>
              <w:t>enum('SAFETY','SUSTAINABILITY','TECHNICAL','WELLBEING','OTHER')</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`trainingCategory` for the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renewalMonths</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`renewalMonths` for the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isMandatory</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0</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trainingcourse.isMandatory.</w:t>
            </w:r>
          </w:p>
        </w:tc>
      </w:tr>
    </w:tbl>
    <w:p>
      <w:pPr>
        <w:spacing w:after="0"/>
      </w:pPr>
    </w:p>
    <w:p>
      <w:pPr>
        <w:pStyle w:val="Heading2"/>
      </w:pPr>
      <w:r>
        <w:t>trainingsession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trainingSessionId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trainingCourseId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trainingcourse.trainingCourseId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trainingcourse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sessionDate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trainingsession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operationalAreaId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operationalarea.operationalAreaId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operationalarea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trainerName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trainingsession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deliveryMode</w:t>
            </w:r>
          </w:p>
        </w:tc>
        <w:tc>
          <w:tcPr>
            <w:tcW w:type="dxa" w:w="950"/>
            <w:vAlign w:val="center"/>
            <w:tcMar>
              <w:top w:w="80" w:type="dxa"/>
              <w:start w:w="100" w:type="dxa"/>
              <w:bottom w:w="80" w:type="dxa"/>
              <w:end w:w="100" w:type="dxa"/>
            </w:tcMar>
          </w:tcPr>
          <w:p>
            <w:pPr>
              <w:spacing w:after="0"/>
            </w:pPr>
            <w:r>
              <w:rPr>
                <w:rFonts w:ascii="Times New Roman" w:hAnsi="Times New Roman"/>
                <w:sz w:val="15"/>
              </w:rPr>
              <w:t>enum('INPERSON','ONLINE','BLENDED')</w:t>
            </w:r>
          </w:p>
        </w:tc>
        <w:tc>
          <w:tcPr>
            <w:tcW w:type="dxa" w:w="1100"/>
            <w:vAlign w:val="center"/>
            <w:tcMar>
              <w:top w:w="80" w:type="dxa"/>
              <w:start w:w="100" w:type="dxa"/>
              <w:bottom w:w="80" w:type="dxa"/>
              <w:end w:w="100" w:type="dxa"/>
            </w:tcMar>
          </w:tcPr>
          <w:p>
            <w:pPr>
              <w:spacing w:after="0"/>
            </w:pPr>
            <w:r>
              <w:rPr>
                <w:rFonts w:ascii="Times New Roman" w:hAnsi="Times New Roman"/>
                <w:sz w:val="15"/>
              </w:rPr>
              <w:t>enum('INPERSON','ONLINE','BLENDED')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`deliveryMode` for the `trainingsession` record.</w:t>
            </w:r>
          </w:p>
        </w:tc>
      </w:tr>
    </w:tbl>
    <w:p>
      <w:pPr>
        <w:spacing w:after="0"/>
      </w:pPr>
    </w:p>
    <w:p>
      <w:pPr>
        <w:pStyle w:val="Heading2"/>
      </w:pPr>
      <w:r>
        <w:t>vineyard</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areaHectares</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decimal(6,2)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`areaHectares` for the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latitude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decimal(9,6)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`latitude` for the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longitude</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decimal(9,6)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`longitude` for the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managerId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addressId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address.addressId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address record.</w:t>
            </w:r>
          </w:p>
        </w:tc>
      </w:tr>
    </w:tbl>
    <w:p>
      <w:pPr>
        <w:spacing w:after="0"/>
      </w:pPr>
    </w:p>
    <w:p>
      <w:pPr>
        <w:pStyle w:val="Heading2"/>
      </w:pPr>
      <w:r>
        <w:t>vineyardplanting</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vineyardId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vineyard.vineyardId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vineyard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`vintageYear` for the `vineyardplanting`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grapevariety.grapeVarietyId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plantedDate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vineyardplanting record or validity period.</w:t>
            </w:r>
          </w:p>
        </w:tc>
      </w:tr>
    </w:tbl>
    <w:p>
      <w:pPr>
        <w:spacing w:after="0"/>
      </w:pPr>
    </w:p>
    <w:p>
      <w:pPr>
        <w:pStyle w:val="Heading2"/>
      </w:pPr>
      <w:r>
        <w:t>wellbeingaction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wellbeingActionId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wellbeingcheckin.wellbeingCheckinId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actionDescription</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varchar(500)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description of the wellbeingaction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targetDate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completedDate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wellbeingaction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actionStatus</w:t>
            </w:r>
          </w:p>
        </w:tc>
        <w:tc>
          <w:tcPr>
            <w:tcW w:type="dxa" w:w="95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1100"/>
            <w:vAlign w:val="center"/>
            <w:tcMar>
              <w:top w:w="80" w:type="dxa"/>
              <w:start w:w="100" w:type="dxa"/>
              <w:bottom w:w="80" w:type="dxa"/>
              <w:end w:w="100" w:type="dxa"/>
            </w:tcMar>
          </w:tcPr>
          <w:p>
            <w:pPr>
              <w:spacing w:after="0"/>
            </w:pPr>
            <w:r>
              <w:rPr>
                <w:rFonts w:ascii="Times New Roman" w:hAnsi="Times New Roman"/>
                <w:sz w:val="15"/>
              </w:rPr>
              <w:t>enum('OPEN','INPROGRESS','COMPLETED','CANCELLED')</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`actionStatus` for the `wellbeingaction` record.</w:t>
            </w:r>
          </w:p>
        </w:tc>
      </w:tr>
    </w:tbl>
    <w:p>
      <w:pPr>
        <w:spacing w:after="0"/>
      </w:pPr>
    </w:p>
    <w:p>
      <w:pPr>
        <w:pStyle w:val="Heading2"/>
      </w:pPr>
      <w:r>
        <w:t>wellbeingcheckin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wellbeingCheckinId</w:t>
            </w:r>
          </w:p>
        </w:tc>
        <w:tc>
          <w:tcPr>
            <w:tcW w:type="dxa" w:w="950"/>
            <w:vAlign w:val="center"/>
            <w:tcMar>
              <w:top w:w="80" w:type="dxa"/>
              <w:start w:w="100" w:type="dxa"/>
              <w:bottom w:w="80" w:type="dxa"/>
              <w:end w:w="100" w:type="dxa"/>
            </w:tcMar>
          </w:tcPr>
          <w:p>
            <w:pPr>
              <w:spacing w:after="0"/>
            </w:pPr>
            <w:r>
              <w:rPr>
                <w:rFonts w:ascii="Times New Roman" w:hAnsi="Times New Roman"/>
                <w:sz w:val="15"/>
              </w:rPr>
              <w:t>char(8)</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wellbeingcheckin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employeeId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managerId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checkinDate</w:t>
            </w:r>
          </w:p>
        </w:tc>
        <w:tc>
          <w:tcPr>
            <w:tcW w:type="dxa" w:w="950"/>
            <w:vAlign w:val="center"/>
            <w:tcMar>
              <w:top w:w="80" w:type="dxa"/>
              <w:start w:w="100" w:type="dxa"/>
              <w:bottom w:w="80" w:type="dxa"/>
              <w:end w:w="100" w:type="dxa"/>
            </w:tcMar>
          </w:tcPr>
          <w:p>
            <w:pPr>
              <w:spacing w:after="0"/>
            </w:pPr>
            <w:r>
              <w:rPr>
                <w:rFonts w:ascii="Times New Roman" w:hAnsi="Times New Roman"/>
                <w:sz w:val="15"/>
              </w:rPr>
              <w:t>date</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Date associated with the wellbeingcheckin record or validity period.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concernRaisedFlag</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wellbeingcheckin.concernRaisedFlag.</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confidentialNote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YES</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Restricted wellbeing note; excluded from routine management reporting.</w:t>
            </w:r>
          </w:p>
        </w:tc>
      </w:tr>
    </w:tbl>
    <w:p>
      <w:pPr>
        <w:spacing w:after="0"/>
      </w:pPr>
    </w:p>
    <w:p>
      <w:pPr>
        <w:pStyle w:val="Heading2"/>
      </w:pPr>
      <w:r>
        <w:t>wellbeingtopic</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wellbeingTopicId</w:t>
            </w:r>
          </w:p>
        </w:tc>
        <w:tc>
          <w:tcPr>
            <w:tcW w:type="dxa" w:w="950"/>
            <w:vAlign w:val="center"/>
            <w:tcMar>
              <w:top w:w="80" w:type="dxa"/>
              <w:start w:w="100" w:type="dxa"/>
              <w:bottom w:w="80" w:type="dxa"/>
              <w:end w:w="100" w:type="dxa"/>
            </w:tcMar>
          </w:tcPr>
          <w:p>
            <w:pPr>
              <w:spacing w:after="0"/>
            </w:pPr>
            <w:r>
              <w:rPr>
                <w:rFonts w:ascii="Times New Roman" w:hAnsi="Times New Roman"/>
                <w:sz w:val="15"/>
              </w:rPr>
              <w:t>char(6)</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wellbeingtopic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topicName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varchar(80)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wellbeingtopic record.</w:t>
            </w:r>
          </w:p>
        </w:tc>
      </w:tr>
    </w:tbl>
    <w:p>
      <w:pPr>
        <w:spacing w:after="0"/>
      </w:pPr>
    </w:p>
    <w:p>
      <w:pPr>
        <w:pStyle w:val="Heading2"/>
      </w:pPr>
      <w:r>
        <w:t>wine</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varchar(100)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vintageYear</w:t>
            </w:r>
          </w:p>
        </w:tc>
        <w:tc>
          <w:tcPr>
            <w:tcW w:type="dxa" w:w="950"/>
            <w:vAlign w:val="center"/>
            <w:tcMar>
              <w:top w:w="80" w:type="dxa"/>
              <w:start w:w="100" w:type="dxa"/>
              <w:bottom w:w="80" w:type="dxa"/>
              <w:end w:w="100" w:type="dxa"/>
            </w:tcMar>
          </w:tcPr>
          <w:p>
            <w:pPr>
              <w:spacing w:after="0"/>
            </w:pPr>
            <w:r>
              <w:rPr>
                <w:rFonts w:ascii="Times New Roman" w:hAnsi="Times New Roman"/>
                <w:sz w:val="15"/>
              </w:rPr>
              <w:t>year</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`vintageYear` for the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char(5)</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winecategory.wineCategoryId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alcoholPercent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decimal(4,2)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Business attribute `alcoholPercent` for the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winemakerId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employee.employeeId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employee record.</w:t>
            </w:r>
          </w:p>
        </w:tc>
      </w:tr>
    </w:tbl>
    <w:p>
      <w:pPr>
        <w:spacing w:after="0"/>
      </w:pPr>
    </w:p>
    <w:p>
      <w:pPr>
        <w:pStyle w:val="Heading2"/>
      </w:pPr>
      <w:r>
        <w:t>winecategory</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wineCategoryId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char(5)</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winecategory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categoryName</w:t>
            </w:r>
          </w:p>
        </w:tc>
        <w:tc>
          <w:tcPr>
            <w:tcW w:type="dxa" w:w="950"/>
            <w:vAlign w:val="center"/>
            <w:tcMar>
              <w:top w:w="80" w:type="dxa"/>
              <w:start w:w="100" w:type="dxa"/>
              <w:bottom w:w="80" w:type="dxa"/>
              <w:end w:w="100" w:type="dxa"/>
            </w:tcMar>
          </w:tcPr>
          <w:p>
            <w:pPr>
              <w:spacing w:after="0"/>
            </w:pPr>
            <w:r>
              <w:rPr>
                <w:rFonts w:ascii="Times New Roman" w:hAnsi="Times New Roman"/>
                <w:sz w:val="15"/>
              </w:rPr>
              <w:t>varchar(40)</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Human-readable name used for the winecategory record.</w:t>
            </w:r>
          </w:p>
        </w:tc>
      </w:tr>
    </w:tbl>
    <w:p>
      <w:pPr>
        <w:spacing w:after="0"/>
      </w:pPr>
    </w:p>
    <w:p>
      <w:pPr>
        <w:pStyle w:val="Heading2"/>
      </w:pPr>
      <w:r>
        <w:t>winecomposition</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grapeVarietyId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grapevariety.grapeVarietyId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grapevariety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proportionPercent</w:t>
            </w:r>
          </w:p>
        </w:tc>
        <w:tc>
          <w:tcPr>
            <w:tcW w:type="dxa" w:w="950"/>
            <w:vAlign w:val="center"/>
            <w:tcMar>
              <w:top w:w="80" w:type="dxa"/>
              <w:start w:w="100" w:type="dxa"/>
              <w:bottom w:w="80" w:type="dxa"/>
              <w:end w:w="100" w:type="dxa"/>
            </w:tcMar>
          </w:tcPr>
          <w:p>
            <w:pPr>
              <w:spacing w:after="0"/>
            </w:pPr>
            <w:r>
              <w:rPr>
                <w:rFonts w:ascii="Times New Roman" w:hAnsi="Times New Roman"/>
                <w:sz w:val="15"/>
              </w:rPr>
              <w:t>decimal(5,2)</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Percentage contribution of a grape variety to a wine composition.</w:t>
            </w:r>
          </w:p>
        </w:tc>
      </w:tr>
    </w:tbl>
    <w:p>
      <w:pPr>
        <w:spacing w:after="0"/>
      </w:pPr>
    </w:p>
    <w:p>
      <w:pPr>
        <w:pStyle w:val="Heading2"/>
      </w:pPr>
      <w:r>
        <w:t>wineproduct</w:t>
      </w:r>
    </w:p>
    <w:tbl>
      <w:tblPr>
        <w:tblStyle w:val="TableGrid"/>
        <w:tblW w:type="dxa" w:w="9360"/>
        <w:tblLayout w:type="fixed"/>
        <w:tblLook w:firstColumn="1" w:firstRow="1" w:lastColumn="0" w:lastRow="0" w:noHBand="0" w:noVBand="1" w:val="04A0"/>
        <w:tblInd w:w="120" w:type="dxa"/>
      </w:tblPr>
      <w:tblGrid>
        <w:gridCol w:w="1050"/>
        <w:gridCol w:w="950"/>
        <w:gridCol w:w="1100"/>
        <w:gridCol w:w="400"/>
        <w:gridCol w:w="400"/>
        <w:gridCol w:w="350"/>
        <w:gridCol w:w="1100"/>
        <w:gridCol w:w="4010"/>
      </w:tblGrid>
      <w:tr>
        <w:trPr>
          <w:tblHeader w:val="true"/>
        </w:trPr>
        <w:tc>
          <w:tcPr>
            <w:tcW w:type="dxa" w:w="1050"/>
            <w:shd w:fill="DCE6F1"/>
            <w:vAlign w:val="center"/>
            <w:tcMar>
              <w:top w:w="80" w:type="dxa"/>
              <w:start w:w="100" w:type="dxa"/>
              <w:bottom w:w="80" w:type="dxa"/>
              <w:end w:w="100" w:type="dxa"/>
            </w:tcMar>
          </w:tcPr>
          <w:p>
            <w:pPr>
              <w:jc w:val="center"/>
            </w:pPr>
            <w:r>
              <w:rPr>
                <w:rFonts w:ascii="Times New Roman" w:hAnsi="Times New Roman"/>
                <w:b/>
                <w:color w:val="1F2937"/>
                <w:sz w:val="15"/>
              </w:rPr>
              <w:t>Attribute</w:t>
            </w:r>
          </w:p>
        </w:tc>
        <w:tc>
          <w:tcPr>
            <w:tcW w:type="dxa" w:w="950"/>
            <w:shd w:fill="DCE6F1"/>
            <w:vAlign w:val="center"/>
            <w:tcMar>
              <w:top w:w="80" w:type="dxa"/>
              <w:start w:w="100" w:type="dxa"/>
              <w:bottom w:w="80" w:type="dxa"/>
              <w:end w:w="100" w:type="dxa"/>
            </w:tcMar>
          </w:tcPr>
          <w:p>
            <w:pPr>
              <w:jc w:val="center"/>
            </w:pPr>
            <w:r>
              <w:rPr>
                <w:rFonts w:ascii="Times New Roman" w:hAnsi="Times New Roman"/>
                <w:b/>
                <w:color w:val="1F2937"/>
                <w:sz w:val="15"/>
              </w:rPr>
              <w:t>Type/size</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Domain/default</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Null</w:t>
            </w:r>
          </w:p>
        </w:tc>
        <w:tc>
          <w:tcPr>
            <w:tcW w:type="dxa" w:w="400"/>
            <w:shd w:fill="DCE6F1"/>
            <w:vAlign w:val="center"/>
            <w:tcMar>
              <w:top w:w="80" w:type="dxa"/>
              <w:start w:w="100" w:type="dxa"/>
              <w:bottom w:w="80" w:type="dxa"/>
              <w:end w:w="100" w:type="dxa"/>
            </w:tcMar>
          </w:tcPr>
          <w:p>
            <w:pPr>
              <w:jc w:val="center"/>
            </w:pPr>
            <w:r>
              <w:rPr>
                <w:rFonts w:ascii="Times New Roman" w:hAnsi="Times New Roman"/>
                <w:b/>
                <w:color w:val="1F2937"/>
                <w:sz w:val="15"/>
              </w:rPr>
              <w:t>Unique</w:t>
            </w:r>
          </w:p>
        </w:tc>
        <w:tc>
          <w:tcPr>
            <w:tcW w:type="dxa" w:w="350"/>
            <w:shd w:fill="DCE6F1"/>
            <w:vAlign w:val="center"/>
            <w:tcMar>
              <w:top w:w="80" w:type="dxa"/>
              <w:start w:w="100" w:type="dxa"/>
              <w:bottom w:w="80" w:type="dxa"/>
              <w:end w:w="100" w:type="dxa"/>
            </w:tcMar>
          </w:tcPr>
          <w:p>
            <w:pPr>
              <w:jc w:val="center"/>
            </w:pPr>
            <w:r>
              <w:rPr>
                <w:rFonts w:ascii="Times New Roman" w:hAnsi="Times New Roman"/>
                <w:b/>
                <w:color w:val="1F2937"/>
                <w:sz w:val="15"/>
              </w:rPr>
              <w:t>PK</w:t>
            </w:r>
          </w:p>
        </w:tc>
        <w:tc>
          <w:tcPr>
            <w:tcW w:type="dxa" w:w="1100"/>
            <w:shd w:fill="DCE6F1"/>
            <w:vAlign w:val="center"/>
            <w:tcMar>
              <w:top w:w="80" w:type="dxa"/>
              <w:start w:w="100" w:type="dxa"/>
              <w:bottom w:w="80" w:type="dxa"/>
              <w:end w:w="100" w:type="dxa"/>
            </w:tcMar>
          </w:tcPr>
          <w:p>
            <w:pPr>
              <w:jc w:val="center"/>
            </w:pPr>
            <w:r>
              <w:rPr>
                <w:rFonts w:ascii="Times New Roman" w:hAnsi="Times New Roman"/>
                <w:b/>
                <w:color w:val="1F2937"/>
                <w:sz w:val="15"/>
              </w:rPr>
              <w:t>FK reference</w:t>
            </w:r>
          </w:p>
        </w:tc>
        <w:tc>
          <w:tcPr>
            <w:tcW w:type="dxa" w:w="4010"/>
            <w:shd w:fill="DCE6F1"/>
            <w:vAlign w:val="center"/>
            <w:tcMar>
              <w:top w:w="80" w:type="dxa"/>
              <w:start w:w="100" w:type="dxa"/>
              <w:bottom w:w="80" w:type="dxa"/>
              <w:end w:w="100" w:type="dxa"/>
            </w:tcMar>
          </w:tcPr>
          <w:p>
            <w:pPr>
              <w:jc w:val="center"/>
            </w:pPr>
            <w:r>
              <w:rPr>
                <w:rFonts w:ascii="Times New Roman" w:hAnsi="Times New Roman"/>
                <w:b/>
                <w:color w:val="1F2937"/>
                <w:sz w:val="15"/>
              </w:rPr>
              <w:t>Definition / business purpose</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productId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Y</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Stable identifier for a wineproduct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wineId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wine.wineId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wine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bottleTypeId</w:t>
            </w:r>
          </w:p>
        </w:tc>
        <w:tc>
          <w:tcPr>
            <w:tcW w:type="dxa" w:w="950"/>
            <w:vAlign w:val="center"/>
            <w:tcMar>
              <w:top w:w="80" w:type="dxa"/>
              <w:start w:w="100" w:type="dxa"/>
              <w:bottom w:w="80" w:type="dxa"/>
              <w:end w:w="100" w:type="dxa"/>
            </w:tcMar>
          </w:tcPr>
          <w:p>
            <w:pPr>
              <w:spacing w:after="0"/>
            </w:pPr>
            <w:r>
              <w:rPr>
                <w:rFonts w:ascii="Times New Roman" w:hAnsi="Times New Roman"/>
                <w:sz w:val="15"/>
              </w:rPr>
              <w:t>char(7)</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bottletype.bottleTypeId</w:t>
            </w:r>
          </w:p>
        </w:tc>
        <w:tc>
          <w:tcPr>
            <w:tcW w:type="dxa" w:w="4010"/>
            <w:vAlign w:val="center"/>
            <w:tcMar>
              <w:top w:w="80" w:type="dxa"/>
              <w:start w:w="100" w:type="dxa"/>
              <w:bottom w:w="80" w:type="dxa"/>
              <w:end w:w="100" w:type="dxa"/>
            </w:tcMar>
          </w:tcPr>
          <w:p>
            <w:pPr>
              <w:spacing w:after="0"/>
            </w:pPr>
            <w:r>
              <w:rPr>
                <w:rFonts w:ascii="Times New Roman" w:hAnsi="Times New Roman"/>
                <w:sz w:val="15"/>
              </w:rPr>
              <w:t>Identifies the related bottletype record.</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caseQuantity</w:t>
            </w:r>
          </w:p>
        </w:tc>
        <w:tc>
          <w:tcPr>
            <w:tcW w:type="dxa" w:w="950"/>
            <w:vAlign w:val="center"/>
            <w:tcMar>
              <w:top w:w="80" w:type="dxa"/>
              <w:start w:w="100" w:type="dxa"/>
              <w:bottom w:w="80" w:type="dxa"/>
              <w:end w:w="100" w:type="dxa"/>
            </w:tcMar>
          </w:tcPr>
          <w:p>
            <w:pPr>
              <w:spacing w:after="0"/>
            </w:pPr>
            <w:r>
              <w:rPr>
                <w:rFonts w:ascii="Times New Roman" w:hAnsi="Times New Roman"/>
                <w:sz w:val="15"/>
              </w:rPr>
              <w:t>smallint unsigned</w:t>
            </w:r>
          </w:p>
        </w:tc>
        <w:tc>
          <w:tcPr>
            <w:tcW w:type="dxa" w:w="1100"/>
            <w:vAlign w:val="center"/>
            <w:tcMar>
              <w:top w:w="80" w:type="dxa"/>
              <w:start w:w="100" w:type="dxa"/>
              <w:bottom w:w="80" w:type="dxa"/>
              <w:end w:w="100" w:type="dxa"/>
            </w:tcMar>
          </w:tcPr>
          <w:p>
            <w:pPr>
              <w:spacing w:after="0"/>
            </w:pPr>
            <w:r>
              <w:rPr>
                <w:rFonts w:ascii="Times New Roman" w:hAnsi="Times New Roman"/>
                <w:sz w:val="15"/>
              </w:rPr>
              <w:t>See schema constraints</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Y</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Quantity recorded for the wineproduct transaction or inventory fact.</w:t>
            </w:r>
          </w:p>
        </w:tc>
      </w:tr>
      <w:tr>
        <w:tc>
          <w:tcPr>
            <w:tcW w:type="dxa" w:w="1050"/>
            <w:vAlign w:val="center"/>
            <w:tcMar>
              <w:top w:w="80" w:type="dxa"/>
              <w:start w:w="100" w:type="dxa"/>
              <w:bottom w:w="80" w:type="dxa"/>
              <w:end w:w="100" w:type="dxa"/>
            </w:tcMar>
          </w:tcPr>
          <w:p>
            <w:pPr>
              <w:spacing w:after="0"/>
            </w:pPr>
            <w:r>
              <w:rPr>
                <w:rFonts w:ascii="Times New Roman" w:hAnsi="Times New Roman"/>
                <w:sz w:val="15"/>
              </w:rPr>
              <w:t>isActive</w:t>
            </w:r>
          </w:p>
        </w:tc>
        <w:tc>
          <w:tcPr>
            <w:tcW w:type="dxa" w:w="950"/>
            <w:vAlign w:val="center"/>
            <w:tcMar>
              <w:top w:w="80" w:type="dxa"/>
              <w:start w:w="100" w:type="dxa"/>
              <w:bottom w:w="80" w:type="dxa"/>
              <w:end w:w="100" w:type="dxa"/>
            </w:tcMar>
          </w:tcPr>
          <w:p>
            <w:pPr>
              <w:spacing w:after="0"/>
            </w:pPr>
            <w:r>
              <w:rPr>
                <w:rFonts w:ascii="Times New Roman" w:hAnsi="Times New Roman"/>
                <w:sz w:val="15"/>
              </w:rPr>
              <w:t>tinyint(1)</w:t>
            </w:r>
          </w:p>
        </w:tc>
        <w:tc>
          <w:tcPr>
            <w:tcW w:type="dxa" w:w="1100"/>
            <w:vAlign w:val="center"/>
            <w:tcMar>
              <w:top w:w="80" w:type="dxa"/>
              <w:start w:w="100" w:type="dxa"/>
              <w:bottom w:w="80" w:type="dxa"/>
              <w:end w:w="100" w:type="dxa"/>
            </w:tcMar>
          </w:tcPr>
          <w:p>
            <w:pPr>
              <w:spacing w:after="0"/>
            </w:pPr>
            <w:r>
              <w:rPr>
                <w:rFonts w:ascii="Times New Roman" w:hAnsi="Times New Roman"/>
                <w:sz w:val="15"/>
              </w:rPr>
              <w:t>1</w:t>
            </w:r>
          </w:p>
        </w:tc>
        <w:tc>
          <w:tcPr>
            <w:tcW w:type="dxa" w:w="400"/>
            <w:vAlign w:val="center"/>
            <w:tcMar>
              <w:top w:w="80" w:type="dxa"/>
              <w:start w:w="100" w:type="dxa"/>
              <w:bottom w:w="80" w:type="dxa"/>
              <w:end w:w="100" w:type="dxa"/>
            </w:tcMar>
          </w:tcPr>
          <w:p>
            <w:pPr>
              <w:spacing w:after="0"/>
            </w:pPr>
            <w:r>
              <w:rPr>
                <w:rFonts w:ascii="Times New Roman" w:hAnsi="Times New Roman"/>
                <w:sz w:val="15"/>
              </w:rPr>
              <w:t>NO</w:t>
            </w:r>
          </w:p>
        </w:tc>
        <w:tc>
          <w:tcPr>
            <w:tcW w:type="dxa" w:w="400"/>
            <w:vAlign w:val="center"/>
            <w:tcMar>
              <w:top w:w="80" w:type="dxa"/>
              <w:start w:w="100" w:type="dxa"/>
              <w:bottom w:w="80" w:type="dxa"/>
              <w:end w:w="100" w:type="dxa"/>
            </w:tcMar>
          </w:tcPr>
          <w:p>
            <w:pPr>
              <w:spacing w:after="0"/>
            </w:pPr>
            <w:r>
              <w:rPr>
                <w:rFonts w:ascii="Times New Roman" w:hAnsi="Times New Roman"/>
                <w:sz w:val="15"/>
              </w:rPr>
              <w:t>N</w:t>
            </w:r>
          </w:p>
        </w:tc>
        <w:tc>
          <w:tcPr>
            <w:tcW w:type="dxa" w:w="350"/>
            <w:vAlign w:val="center"/>
            <w:tcMar>
              <w:top w:w="80" w:type="dxa"/>
              <w:start w:w="100" w:type="dxa"/>
              <w:bottom w:w="80" w:type="dxa"/>
              <w:end w:w="100" w:type="dxa"/>
            </w:tcMar>
          </w:tcPr>
          <w:p>
            <w:pPr>
              <w:spacing w:after="0"/>
            </w:pPr>
            <w:r>
              <w:rPr>
                <w:rFonts w:ascii="Times New Roman" w:hAnsi="Times New Roman"/>
                <w:sz w:val="15"/>
              </w:rPr>
              <w:t>N</w:t>
            </w:r>
          </w:p>
        </w:tc>
        <w:tc>
          <w:tcPr>
            <w:tcW w:type="dxa" w:w="1100"/>
            <w:vAlign w:val="center"/>
            <w:tcMar>
              <w:top w:w="80" w:type="dxa"/>
              <w:start w:w="100" w:type="dxa"/>
              <w:bottom w:w="80" w:type="dxa"/>
              <w:end w:w="100" w:type="dxa"/>
            </w:tcMar>
          </w:tcPr>
          <w:p>
            <w:pPr>
              <w:spacing w:after="0"/>
            </w:pPr>
            <w:r>
              <w:rPr>
                <w:rFonts w:ascii="Times New Roman" w:hAnsi="Times New Roman"/>
                <w:sz w:val="15"/>
              </w:rPr>
              <w:t>—</w:t>
            </w:r>
          </w:p>
        </w:tc>
        <w:tc>
          <w:tcPr>
            <w:tcW w:type="dxa" w:w="4010"/>
            <w:vAlign w:val="center"/>
            <w:tcMar>
              <w:top w:w="80" w:type="dxa"/>
              <w:start w:w="100" w:type="dxa"/>
              <w:bottom w:w="80" w:type="dxa"/>
              <w:end w:w="100" w:type="dxa"/>
            </w:tcMar>
          </w:tcPr>
          <w:p>
            <w:pPr>
              <w:spacing w:after="0"/>
            </w:pPr>
            <w:r>
              <w:rPr>
                <w:rFonts w:ascii="Times New Roman" w:hAnsi="Times New Roman"/>
                <w:sz w:val="15"/>
              </w:rPr>
              <w:t>Boolean control/indicator for wineproduct.isActive.</w:t>
            </w:r>
          </w:p>
        </w:tc>
      </w:tr>
    </w:tbl>
    <w:p>
      <w:pPr>
        <w:spacing w:after="0"/>
      </w:pPr>
    </w:p>
    <w:p>
      <w:r>
        <w:br w:type="page"/>
      </w:r>
    </w:p>
    <w:p>
      <w:pPr>
        <w:pStyle w:val="Heading1"/>
      </w:pPr>
      <w:r>
        <w:t>Appendix C — Submission and Handoff Checklist</w:t>
      </w:r>
    </w:p>
    <w:tbl>
      <w:tblPr>
        <w:tblStyle w:val="TableGrid"/>
        <w:tblW w:type="dxa" w:w="9360"/>
        <w:tblLayout w:type="fixed"/>
        <w:tblLook w:firstColumn="1" w:firstRow="1" w:lastColumn="0" w:lastRow="0" w:noHBand="0" w:noVBand="1" w:val="04A0"/>
        <w:tblInd w:w="120" w:type="dxa"/>
      </w:tblPr>
      <w:tblGrid>
        <w:gridCol w:w="3600"/>
        <w:gridCol w:w="5760"/>
      </w:tblGrid>
      <w:tr>
        <w:trPr>
          <w:tblHeader w:val="true"/>
        </w:trPr>
        <w:tc>
          <w:tcPr>
            <w:tcW w:type="dxa" w:w="3600"/>
            <w:shd w:fill="DCE6F1"/>
            <w:vAlign w:val="center"/>
            <w:tcMar>
              <w:top w:w="80" w:type="dxa"/>
              <w:start w:w="100" w:type="dxa"/>
              <w:bottom w:w="80" w:type="dxa"/>
              <w:end w:w="100" w:type="dxa"/>
            </w:tcMar>
          </w:tcPr>
          <w:p>
            <w:pPr>
              <w:jc w:val="center"/>
            </w:pPr>
            <w:r>
              <w:rPr>
                <w:rFonts w:ascii="Times New Roman" w:hAnsi="Times New Roman"/>
                <w:b/>
                <w:color w:val="1F2937"/>
                <w:sz w:val="18"/>
              </w:rPr>
              <w:t>Item</w:t>
            </w:r>
          </w:p>
        </w:tc>
        <w:tc>
          <w:tcPr>
            <w:tcW w:type="dxa" w:w="5760"/>
            <w:shd w:fill="DCE6F1"/>
            <w:vAlign w:val="center"/>
            <w:tcMar>
              <w:top w:w="80" w:type="dxa"/>
              <w:start w:w="100" w:type="dxa"/>
              <w:bottom w:w="80" w:type="dxa"/>
              <w:end w:w="100" w:type="dxa"/>
            </w:tcMar>
          </w:tcPr>
          <w:p>
            <w:pPr>
              <w:jc w:val="center"/>
            </w:pPr>
            <w:r>
              <w:rPr>
                <w:rFonts w:ascii="Times New Roman" w:hAnsi="Times New Roman"/>
                <w:b/>
                <w:color w:val="1F2937"/>
                <w:sz w:val="18"/>
              </w:rPr>
              <w:t>Status</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Portable database SQL</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clean-build verified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Six query script</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executed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Five Task 3b violation blocks</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 and rejected as expected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Workbench model / EER views</w:t>
            </w:r>
          </w:p>
        </w:tc>
        <w:tc>
          <w:tcPr>
            <w:tcW w:type="dxa" w:w="5760"/>
            <w:vAlign w:val="center"/>
            <w:tcMar>
              <w:top w:w="80" w:type="dxa"/>
              <w:start w:w="100" w:type="dxa"/>
              <w:bottom w:w="80" w:type="dxa"/>
              <w:end w:w="100" w:type="dxa"/>
            </w:tcMar>
          </w:tcPr>
          <w:p>
            <w:pPr>
              <w:spacing w:after="0"/>
            </w:pPr>
            <w:r>
              <w:rPr>
                <w:rFonts w:ascii="Times New Roman" w:hAnsi="Times New Roman"/>
                <w:sz w:val="18"/>
              </w:rPr>
              <w:t>Completed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Official workbook cleaning</w:t>
            </w:r>
          </w:p>
        </w:tc>
        <w:tc>
          <w:tcPr>
            <w:tcW w:type="dxa" w:w="5760"/>
            <w:vAlign w:val="center"/>
            <w:tcMar>
              <w:top w:w="80" w:type="dxa"/>
              <w:start w:w="100" w:type="dxa"/>
              <w:bottom w:w="80" w:type="dxa"/>
              <w:end w:w="100" w:type="dxa"/>
            </w:tcMar>
          </w:tcPr>
          <w:p>
            <w:pPr>
              <w:spacing w:after="0"/>
            </w:pPr>
            <w:r>
              <w:rPr>
                <w:rFonts w:ascii="Times New Roman" w:hAnsi="Times New Roman"/>
                <w:sz w:val="18"/>
              </w:rPr>
              <w:t>Pending source workbook</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Week 11 scenario</w:t>
            </w:r>
          </w:p>
        </w:tc>
        <w:tc>
          <w:tcPr>
            <w:tcW w:type="dxa" w:w="5760"/>
            <w:vAlign w:val="center"/>
            <w:tcMar>
              <w:top w:w="80" w:type="dxa"/>
              <w:start w:w="100" w:type="dxa"/>
              <w:bottom w:w="80" w:type="dxa"/>
              <w:end w:w="100" w:type="dxa"/>
            </w:tcMar>
          </w:tcPr>
          <w:p>
            <w:pPr>
              <w:spacing w:after="0"/>
            </w:pPr>
            <w:r>
              <w:rPr>
                <w:rFonts w:ascii="Times New Roman" w:hAnsi="Times New Roman"/>
                <w:sz w:val="18"/>
              </w:rPr>
              <w:t>Pending tutor allocation</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Final Workbench screenshots</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capture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Four-person video</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recording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RiPPlE prompt logs / peer review</w:t>
            </w:r>
          </w:p>
        </w:tc>
        <w:tc>
          <w:tcPr>
            <w:tcW w:type="dxa" w:w="5760"/>
            <w:vAlign w:val="center"/>
            <w:tcMar>
              <w:top w:w="80" w:type="dxa"/>
              <w:start w:w="100" w:type="dxa"/>
              <w:bottom w:w="80" w:type="dxa"/>
              <w:end w:w="100" w:type="dxa"/>
            </w:tcMar>
          </w:tcPr>
          <w:p>
            <w:pPr>
              <w:spacing w:after="0"/>
            </w:pPr>
            <w:r>
              <w:rPr>
                <w:rFonts w:ascii="Times New Roman" w:hAnsi="Times New Roman"/>
                <w:sz w:val="18"/>
              </w:rPr>
              <w:t>Genuine student activity required</w:t>
            </w:r>
          </w:p>
        </w:tc>
      </w:tr>
      <w:tr>
        <w:tc>
          <w:tcPr>
            <w:tcW w:type="dxa" w:w="3600"/>
            <w:vAlign w:val="center"/>
            <w:tcMar>
              <w:top w:w="80" w:type="dxa"/>
              <w:start w:w="100" w:type="dxa"/>
              <w:bottom w:w="80" w:type="dxa"/>
              <w:end w:w="100" w:type="dxa"/>
            </w:tcMar>
          </w:tcPr>
          <w:p>
            <w:pPr>
              <w:spacing w:after="0"/>
            </w:pPr>
            <w:r>
              <w:rPr>
                <w:rFonts w:ascii="Times New Roman" w:hAnsi="Times New Roman"/>
                <w:sz w:val="18"/>
              </w:rPr>
              <w:t>Placeholder member name and dates</w:t>
            </w:r>
          </w:p>
        </w:tc>
        <w:tc>
          <w:tcPr>
            <w:tcW w:type="dxa" w:w="5760"/>
            <w:vAlign w:val="center"/>
            <w:tcMar>
              <w:top w:w="80" w:type="dxa"/>
              <w:start w:w="100" w:type="dxa"/>
              <w:bottom w:w="80" w:type="dxa"/>
              <w:end w:w="100" w:type="dxa"/>
            </w:tcMar>
          </w:tcPr>
          <w:p>
            <w:pPr>
              <w:spacing w:after="0"/>
            </w:pPr>
            <w:r>
              <w:rPr>
                <w:rFonts w:ascii="Times New Roman" w:hAnsi="Times New Roman"/>
                <w:sz w:val="18"/>
              </w:rPr>
              <w:t>Student must replace</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Confidential assessment draft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