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Mia | Zora | Rianna | 1</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[STUDENT TO COMPLETE]</w:t>
      </w:r>
    </w:p>
    <w:p>
      <w:pPr>
        <w:spacing w:before="1000"/>
        <w:jc w:val="center"/>
      </w:pPr>
      <w:r>
        <w:rPr>
          <w:rFonts w:ascii="Times New Roman" w:hAnsi="Times New Roman"/>
          <w:i/>
          <w:color w:val="9B1C1C"/>
          <w:sz w:val="20"/>
        </w:rPr>
        <w:t>Assessment draft — replace all bracketed course-dependent items before submission</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Important: </w:t>
            </w:r>
            <w:r>
              <w:rPr>
                <w:rFonts w:ascii="Times New Roman" w:hAnsi="Times New Roman"/>
                <w:sz w:val="20"/>
              </w:rPr>
              <w:t>This report contains all work currently possible from the supplied PDFs and validated local database. The official A2 workbook, Week 11 scenario, final Workbench screenshots, genuine group contribution dates, video and RiPPlE peer reviews are not available and are explicitly marked rather than fabricated.</w:t>
            </w:r>
          </w:p>
        </w:tc>
        <w:trPr>
          <w:tblHeader/>
        </w:trPr>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trPr>
        <w:tc>
          <w:tcPr>
            <w:tcW w:type="dxa" w:w="600"/>
            <w:shd w:fill="DCE6F1"/>
            <w:vAlign w:val="center"/>
            <w:tcMar>
              <w:top w:w="80" w:type="dxa"/>
              <w:start w:w="100" w:type="dxa"/>
              <w:bottom w:w="80" w:type="dxa"/>
              <w:end w:w="100" w:type="dxa"/>
            </w:tcMar>
          </w:tcPr>
          <w:p>
            <w:pPr>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jc w:val="center"/>
            </w:pPr>
            <w:r>
              <w:rPr>
                <w:rFonts w:ascii="Times New Roman" w:hAnsi="Times New Roman"/>
                <w:b/>
                <w:color w:val="1F2937"/>
                <w:sz w:val="18"/>
              </w:rPr>
              <w:t>Human validation / limitation</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1</w:t>
            </w:r>
          </w:p>
        </w:tc>
        <w:tc>
          <w:tcPr>
            <w:tcW w:type="dxa" w:w="2200"/>
            <w:vAlign w:val="center"/>
            <w:tcMar>
              <w:top w:w="80" w:type="dxa"/>
              <w:start w:w="100" w:type="dxa"/>
              <w:bottom w:w="80" w:type="dxa"/>
              <w:end w:w="100" w:type="dxa"/>
            </w:tcMar>
          </w:tcPr>
          <w:p>
            <w:pPr>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spacing w:after="0"/>
            </w:pPr>
            <w:r>
              <w:rPr>
                <w:rFonts w:ascii="Times New Roman" w:hAnsi="Times New Roman"/>
                <w:sz w:val="18"/>
              </w:rPr>
              <w:t>Sequencing/risk suggestions; team must confirm dates and ownership.</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2</w:t>
            </w:r>
          </w:p>
        </w:tc>
        <w:tc>
          <w:tcPr>
            <w:tcW w:type="dxa" w:w="2200"/>
            <w:vAlign w:val="center"/>
            <w:tcMar>
              <w:top w:w="80" w:type="dxa"/>
              <w:start w:w="100" w:type="dxa"/>
              <w:bottom w:w="80" w:type="dxa"/>
              <w:end w:w="100" w:type="dxa"/>
            </w:tcMar>
          </w:tcPr>
          <w:p>
            <w:pPr>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spacing w:after="0"/>
            </w:pPr>
            <w:r>
              <w:rPr>
                <w:rFonts w:ascii="Times New Roman" w:hAnsi="Times New Roman"/>
                <w:sz w:val="18"/>
              </w:rPr>
              <w:t>Alternatives and critique; decisions validated against case and schema.</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3</w:t>
            </w:r>
          </w:p>
        </w:tc>
        <w:tc>
          <w:tcPr>
            <w:tcW w:type="dxa" w:w="2200"/>
            <w:vAlign w:val="center"/>
            <w:tcMar>
              <w:top w:w="80" w:type="dxa"/>
              <w:start w:w="100" w:type="dxa"/>
              <w:bottom w:w="80" w:type="dxa"/>
              <w:end w:w="100" w:type="dxa"/>
            </w:tcMar>
          </w:tcPr>
          <w:p>
            <w:pPr>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spacing w:after="0"/>
            </w:pPr>
            <w:r>
              <w:rPr>
                <w:rFonts w:ascii="Times New Roman" w:hAnsi="Times New Roman"/>
                <w:sz w:val="18"/>
              </w:rPr>
              <w:t>Drafting and SQL alternatives; rules executed in MySQL.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4</w:t>
            </w:r>
          </w:p>
        </w:tc>
        <w:tc>
          <w:tcPr>
            <w:tcW w:type="dxa" w:w="2200"/>
            <w:vAlign w:val="center"/>
            <w:tcMar>
              <w:top w:w="80" w:type="dxa"/>
              <w:start w:w="100" w:type="dxa"/>
              <w:bottom w:w="80" w:type="dxa"/>
              <w:end w:w="100" w:type="dxa"/>
            </w:tcMar>
          </w:tcPr>
          <w:p>
            <w:pPr>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spacing w:after="0"/>
            </w:pPr>
            <w:r>
              <w:rPr>
                <w:rFonts w:ascii="Times New Roman" w:hAnsi="Times New Roman"/>
                <w:sz w:val="18"/>
              </w:rPr>
              <w:t>Schema-to-Workbench automation; structure derived from validated 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5</w:t>
            </w:r>
          </w:p>
        </w:tc>
        <w:tc>
          <w:tcPr>
            <w:tcW w:type="dxa" w:w="2200"/>
            <w:vAlign w:val="center"/>
            <w:tcMar>
              <w:top w:w="80" w:type="dxa"/>
              <w:start w:w="100" w:type="dxa"/>
              <w:bottom w:w="80" w:type="dxa"/>
              <w:end w:w="100" w:type="dxa"/>
            </w:tcMar>
          </w:tcPr>
          <w:p>
            <w:pPr>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spacing w:after="0"/>
            </w:pPr>
            <w:r>
              <w:rPr>
                <w:rFonts w:ascii="Times New Roman" w:hAnsi="Times New Roman"/>
                <w:sz w:val="18"/>
              </w:rPr>
              <w:t>Mechanical consistency checking; semantic wording reviewed.</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6</w:t>
            </w:r>
          </w:p>
        </w:tc>
        <w:tc>
          <w:tcPr>
            <w:tcW w:type="dxa" w:w="2200"/>
            <w:vAlign w:val="center"/>
            <w:tcMar>
              <w:top w:w="80" w:type="dxa"/>
              <w:start w:w="100" w:type="dxa"/>
              <w:bottom w:w="80" w:type="dxa"/>
              <w:end w:w="100" w:type="dxa"/>
            </w:tcMar>
          </w:tcPr>
          <w:p>
            <w:pPr>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spacing w:after="0"/>
            </w:pPr>
            <w:r>
              <w:rPr>
                <w:rFonts w:ascii="Times New Roman" w:hAnsi="Times New Roman"/>
                <w:sz w:val="18"/>
              </w:rPr>
              <w:t>Framework/test data; official workbook analysis pending.</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7</w:t>
            </w:r>
          </w:p>
        </w:tc>
        <w:tc>
          <w:tcPr>
            <w:tcW w:type="dxa" w:w="2200"/>
            <w:vAlign w:val="center"/>
            <w:tcMar>
              <w:top w:w="80" w:type="dxa"/>
              <w:start w:w="100" w:type="dxa"/>
              <w:bottom w:w="80" w:type="dxa"/>
              <w:end w:w="100" w:type="dxa"/>
            </w:tcMar>
          </w:tcPr>
          <w:p>
            <w:pPr>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spacing w:after="0"/>
            </w:pPr>
            <w:r>
              <w:rPr>
                <w:rFonts w:ascii="Times New Roman" w:hAnsi="Times New Roman"/>
                <w:sz w:val="18"/>
              </w:rPr>
              <w:t>SQL drafting/critique; all outputs independently executed.</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Video</w:t>
            </w:r>
          </w:p>
        </w:tc>
        <w:tc>
          <w:tcPr>
            <w:tcW w:type="dxa" w:w="2200"/>
            <w:vAlign w:val="center"/>
            <w:tcMar>
              <w:top w:w="80" w:type="dxa"/>
              <w:start w:w="100" w:type="dxa"/>
              <w:bottom w:w="80" w:type="dxa"/>
              <w:end w:w="100" w:type="dxa"/>
            </w:tcMar>
          </w:tcPr>
          <w:p>
            <w:pPr>
              <w:spacing w:after="0"/>
            </w:pPr>
            <w:r>
              <w:rPr>
                <w:rFonts w:ascii="Times New Roman" w:hAnsi="Times New Roman"/>
                <w:sz w:val="18"/>
              </w:rPr>
              <w:t>Script structure and timing support</w:t>
            </w:r>
          </w:p>
        </w:tc>
        <w:tc>
          <w:tcPr>
            <w:tcW w:type="dxa" w:w="6560"/>
            <w:vAlign w:val="center"/>
            <w:tcMar>
              <w:top w:w="80" w:type="dxa"/>
              <w:start w:w="100" w:type="dxa"/>
              <w:bottom w:w="80" w:type="dxa"/>
              <w:end w:w="100" w:type="dxa"/>
            </w:tcMar>
          </w:tcPr>
          <w:p>
            <w:pPr>
              <w:spacing w:after="0"/>
            </w:pPr>
            <w:r>
              <w:rPr>
                <w:rFonts w:ascii="Times New Roman" w:hAnsi="Times New Roman"/>
                <w:sz w:val="18"/>
              </w:rPr>
              <w:t>Students rehearse, understand, modify and present the material themselves.</w:t>
            </w:r>
          </w:p>
        </w:tc>
      </w:tr>
    </w:tbl>
    <w:p>
      <w:pPr>
        <w:spacing w:after="0"/>
      </w:pPr>
    </w:p>
    <w:p>
      <w:r>
        <w:br w:type="page"/>
      </w:r>
    </w:p>
    <w:p>
      <w:pPr>
        <w:pStyle w:val="Heading1"/>
      </w:pPr>
      <w:r>
        <w:t>Task 1 — Project Plan with Risk Register</w:t>
      </w:r>
    </w:p>
    <w:tbl>
      <w:tblPr>
        <w:tblStyle w:val="TableGrid"/>
        <w:tblW w:type="dxa" w:w="9360"/>
        <w:tblLayout w:type="fixed"/>
        <w:tblLook w:firstColumn="1" w:firstRow="1" w:lastColumn="0" w:lastRow="0" w:noHBand="0" w:noVBand="1" w:val="04A0"/>
        <w:tblInd w:w="120" w:type="dxa"/>
      </w:tblPr>
      <w:tblGrid>
        <w:gridCol w:w="1100"/>
        <w:gridCol w:w="850"/>
        <w:gridCol w:w="750"/>
        <w:gridCol w:w="500"/>
        <w:gridCol w:w="650"/>
        <w:gridCol w:w="650"/>
        <w:gridCol w:w="1400"/>
        <w:gridCol w:w="1050"/>
        <w:gridCol w:w="1300"/>
        <w:gridCol w:w="1110"/>
      </w:tblGrid>
      <w:tr>
        <w:trPr>
          <w:tblHeader w:val="true"/>
        </w:trPr>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2"/>
              </w:rPr>
              <w:t>Task Description</w:t>
            </w:r>
          </w:p>
        </w:tc>
        <w:tc>
          <w:tcPr>
            <w:tcW w:type="dxa" w:w="850"/>
            <w:shd w:fill="DCE6F1"/>
            <w:vAlign w:val="center"/>
            <w:tcMar>
              <w:top w:w="80" w:type="dxa"/>
              <w:start w:w="100" w:type="dxa"/>
              <w:bottom w:w="80" w:type="dxa"/>
              <w:end w:w="100" w:type="dxa"/>
            </w:tcMar>
          </w:tcPr>
          <w:p>
            <w:pPr>
              <w:jc w:val="center"/>
            </w:pPr>
            <w:r>
              <w:rPr>
                <w:rFonts w:ascii="Times New Roman" w:hAnsi="Times New Roman"/>
                <w:b/>
                <w:color w:val="1F2937"/>
                <w:sz w:val="12"/>
              </w:rPr>
              <w:t>Responsible Team Member(s)</w:t>
            </w:r>
          </w:p>
        </w:tc>
        <w:tc>
          <w:tcPr>
            <w:tcW w:type="dxa" w:w="750"/>
            <w:shd w:fill="DCE6F1"/>
            <w:vAlign w:val="center"/>
            <w:tcMar>
              <w:top w:w="80" w:type="dxa"/>
              <w:start w:w="100" w:type="dxa"/>
              <w:bottom w:w="80" w:type="dxa"/>
              <w:end w:w="100" w:type="dxa"/>
            </w:tcMar>
          </w:tcPr>
          <w:p>
            <w:pPr>
              <w:jc w:val="center"/>
            </w:pPr>
            <w:r>
              <w:rPr>
                <w:rFonts w:ascii="Times New Roman" w:hAnsi="Times New Roman"/>
                <w:b/>
                <w:color w:val="1F2937"/>
                <w:sz w:val="12"/>
              </w:rPr>
              <w:t>Final Deliverable Owner</w:t>
            </w:r>
          </w:p>
        </w:tc>
        <w:tc>
          <w:tcPr>
            <w:tcW w:type="dxa" w:w="500"/>
            <w:shd w:fill="DCE6F1"/>
            <w:vAlign w:val="center"/>
            <w:tcMar>
              <w:top w:w="80" w:type="dxa"/>
              <w:start w:w="100" w:type="dxa"/>
              <w:bottom w:w="80" w:type="dxa"/>
              <w:end w:w="100" w:type="dxa"/>
            </w:tcMar>
          </w:tcPr>
          <w:p>
            <w:pPr>
              <w:jc w:val="center"/>
            </w:pPr>
            <w:r>
              <w:rPr>
                <w:rFonts w:ascii="Times New Roman" w:hAnsi="Times New Roman"/>
                <w:b/>
                <w:color w:val="1F2937"/>
                <w:sz w:val="12"/>
              </w:rPr>
              <w:t>Estimated Hours</w:t>
            </w:r>
          </w:p>
        </w:tc>
        <w:tc>
          <w:tcPr>
            <w:tcW w:type="dxa" w:w="650"/>
            <w:shd w:fill="DCE6F1"/>
            <w:vAlign w:val="center"/>
            <w:tcMar>
              <w:top w:w="80" w:type="dxa"/>
              <w:start w:w="100" w:type="dxa"/>
              <w:bottom w:w="80" w:type="dxa"/>
              <w:end w:w="100" w:type="dxa"/>
            </w:tcMar>
          </w:tcPr>
          <w:p>
            <w:pPr>
              <w:jc w:val="center"/>
            </w:pPr>
            <w:r>
              <w:rPr>
                <w:rFonts w:ascii="Times New Roman" w:hAnsi="Times New Roman"/>
                <w:b/>
                <w:color w:val="1F2937"/>
                <w:sz w:val="12"/>
              </w:rPr>
              <w:t>Target Completion Date</w:t>
            </w:r>
          </w:p>
        </w:tc>
        <w:tc>
          <w:tcPr>
            <w:tcW w:type="dxa" w:w="650"/>
            <w:shd w:fill="DCE6F1"/>
            <w:vAlign w:val="center"/>
            <w:tcMar>
              <w:top w:w="80" w:type="dxa"/>
              <w:start w:w="100" w:type="dxa"/>
              <w:bottom w:w="80" w:type="dxa"/>
              <w:end w:w="100" w:type="dxa"/>
            </w:tcMar>
          </w:tcPr>
          <w:p>
            <w:pPr>
              <w:jc w:val="center"/>
            </w:pPr>
            <w:r>
              <w:rPr>
                <w:rFonts w:ascii="Times New Roman" w:hAnsi="Times New Roman"/>
                <w:b/>
                <w:color w:val="1F2937"/>
                <w:sz w:val="12"/>
              </w:rPr>
              <w:t>Actual Completion Date</w:t>
            </w:r>
          </w:p>
        </w:tc>
        <w:tc>
          <w:tcPr>
            <w:tcW w:type="dxa" w:w="1400"/>
            <w:shd w:fill="DCE6F1"/>
            <w:vAlign w:val="center"/>
            <w:tcMar>
              <w:top w:w="80" w:type="dxa"/>
              <w:start w:w="100" w:type="dxa"/>
              <w:bottom w:w="80" w:type="dxa"/>
              <w:end w:w="100" w:type="dxa"/>
            </w:tcMar>
          </w:tcPr>
          <w:p>
            <w:pPr>
              <w:jc w:val="center"/>
            </w:pPr>
            <w:r>
              <w:rPr>
                <w:rFonts w:ascii="Times New Roman" w:hAnsi="Times New Roman"/>
                <w:b/>
                <w:color w:val="1F2937"/>
                <w:sz w:val="12"/>
              </w:rPr>
              <w:t>Expected Output / Evidence</w:t>
            </w:r>
          </w:p>
        </w:tc>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2"/>
              </w:rPr>
              <w:t>Risk or Challenge</w:t>
            </w:r>
          </w:p>
        </w:tc>
        <w:tc>
          <w:tcPr>
            <w:tcW w:type="dxa" w:w="1300"/>
            <w:shd w:fill="DCE6F1"/>
            <w:vAlign w:val="center"/>
            <w:tcMar>
              <w:top w:w="80" w:type="dxa"/>
              <w:start w:w="100" w:type="dxa"/>
              <w:bottom w:w="80" w:type="dxa"/>
              <w:end w:w="100" w:type="dxa"/>
            </w:tcMar>
          </w:tcPr>
          <w:p>
            <w:pPr>
              <w:jc w:val="center"/>
            </w:pPr>
            <w:r>
              <w:rPr>
                <w:rFonts w:ascii="Times New Roman" w:hAnsi="Times New Roman"/>
                <w:b/>
                <w:color w:val="1F2937"/>
                <w:sz w:val="12"/>
              </w:rPr>
              <w:t>Mitigation Strategy</w:t>
            </w:r>
          </w:p>
        </w:tc>
        <w:tc>
          <w:tcPr>
            <w:tcW w:type="dxa" w:w="1110"/>
            <w:shd w:fill="DCE6F1"/>
            <w:vAlign w:val="center"/>
            <w:tcMar>
              <w:top w:w="80" w:type="dxa"/>
              <w:start w:w="100" w:type="dxa"/>
              <w:bottom w:w="80" w:type="dxa"/>
              <w:end w:w="100" w:type="dxa"/>
            </w:tcMar>
          </w:tcPr>
          <w:p>
            <w:pPr>
              <w:jc w:val="center"/>
            </w:pPr>
            <w:r>
              <w:rPr>
                <w:rFonts w:ascii="Times New Roman" w:hAnsi="Times New Roman"/>
                <w:b/>
                <w:color w:val="1F2937"/>
                <w:sz w:val="12"/>
              </w:rPr>
              <w:t>AI Used / How Used</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Requirements and planning</w:t>
            </w:r>
          </w:p>
        </w:tc>
        <w:tc>
          <w:tcPr>
            <w:tcW w:type="dxa" w:w="850"/>
            <w:vAlign w:val="center"/>
            <w:tcMar>
              <w:top w:w="80" w:type="dxa"/>
              <w:start w:w="100" w:type="dxa"/>
              <w:bottom w:w="80" w:type="dxa"/>
              <w:end w:w="100" w:type="dxa"/>
            </w:tcMar>
          </w:tcPr>
          <w:p>
            <w:pPr>
              <w:spacing w:after="0"/>
            </w:pPr>
            <w:r>
              <w:rPr>
                <w:rFonts w:ascii="Times New Roman" w:hAnsi="Times New Roman"/>
                <w:sz w:val="12"/>
              </w:rPr>
              <w:t>Mia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8</w:t>
            </w:r>
          </w:p>
        </w:tc>
        <w:tc>
          <w:tcPr>
            <w:tcW w:type="dxa" w:w="650"/>
            <w:vAlign w:val="center"/>
            <w:tcMar>
              <w:top w:w="80" w:type="dxa"/>
              <w:start w:w="100" w:type="dxa"/>
              <w:bottom w:w="80" w:type="dxa"/>
              <w:end w:w="100" w:type="dxa"/>
            </w:tcMar>
          </w:tcPr>
          <w:p>
            <w:pPr>
              <w:spacing w:after="0"/>
            </w:pPr>
            <w:r>
              <w:rPr>
                <w:rFonts w:ascii="Times New Roman" w:hAnsi="Times New Roman"/>
                <w:sz w:val="12"/>
              </w:rPr>
              <w:t>Week 4</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Traceability matrix</w:t>
            </w:r>
          </w:p>
        </w:tc>
        <w:tc>
          <w:tcPr>
            <w:tcW w:type="dxa" w:w="1050"/>
            <w:vAlign w:val="center"/>
            <w:tcMar>
              <w:top w:w="80" w:type="dxa"/>
              <w:start w:w="100" w:type="dxa"/>
              <w:bottom w:w="80" w:type="dxa"/>
              <w:end w:w="100" w:type="dxa"/>
            </w:tcMar>
          </w:tcPr>
          <w:p>
            <w:pPr>
              <w:spacing w:after="0"/>
            </w:pPr>
            <w:r>
              <w:rPr>
                <w:rFonts w:ascii="Times New Roman" w:hAnsi="Times New Roman"/>
                <w:sz w:val="12"/>
              </w:rPr>
              <w:t>Requirement omission</w:t>
            </w:r>
          </w:p>
        </w:tc>
        <w:tc>
          <w:tcPr>
            <w:tcW w:type="dxa" w:w="1300"/>
            <w:vAlign w:val="center"/>
            <w:tcMar>
              <w:top w:w="80" w:type="dxa"/>
              <w:start w:w="100" w:type="dxa"/>
              <w:bottom w:w="80" w:type="dxa"/>
              <w:end w:w="100" w:type="dxa"/>
            </w:tcMar>
          </w:tcPr>
          <w:p>
            <w:pPr>
              <w:spacing w:after="0"/>
            </w:pPr>
            <w:r>
              <w:rPr>
                <w:rFonts w:ascii="Times New Roman" w:hAnsi="Times New Roman"/>
                <w:sz w:val="12"/>
              </w:rPr>
              <w:t>Cross-check case</w:t>
            </w:r>
          </w:p>
        </w:tc>
        <w:tc>
          <w:tcPr>
            <w:tcW w:type="dxa" w:w="1110"/>
            <w:vAlign w:val="center"/>
            <w:tcMar>
              <w:top w:w="80" w:type="dxa"/>
              <w:start w:w="100" w:type="dxa"/>
              <w:bottom w:w="80" w:type="dxa"/>
              <w:end w:w="100" w:type="dxa"/>
            </w:tcMar>
          </w:tcPr>
          <w:p>
            <w:pPr>
              <w:spacing w:after="0"/>
            </w:pPr>
            <w:r>
              <w:rPr>
                <w:rFonts w:ascii="Times New Roman" w:hAnsi="Times New Roman"/>
                <w:sz w:val="12"/>
              </w:rPr>
              <w:t>Extraction/check</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HR scope and KPIs</w:t>
            </w:r>
          </w:p>
        </w:tc>
        <w:tc>
          <w:tcPr>
            <w:tcW w:type="dxa" w:w="850"/>
            <w:vAlign w:val="center"/>
            <w:tcMar>
              <w:top w:w="80" w:type="dxa"/>
              <w:start w:w="100" w:type="dxa"/>
              <w:bottom w:w="80" w:type="dxa"/>
              <w:end w:w="100" w:type="dxa"/>
            </w:tcMar>
          </w:tcPr>
          <w:p>
            <w:pPr>
              <w:spacing w:after="0"/>
            </w:pPr>
            <w:r>
              <w:rPr>
                <w:rFonts w:ascii="Times New Roman" w:hAnsi="Times New Roman"/>
                <w:sz w:val="12"/>
              </w:rPr>
              <w:t>Mia / Rianna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5</w:t>
            </w:r>
          </w:p>
        </w:tc>
        <w:tc>
          <w:tcPr>
            <w:tcW w:type="dxa" w:w="650"/>
            <w:vAlign w:val="center"/>
            <w:tcMar>
              <w:top w:w="80" w:type="dxa"/>
              <w:start w:w="100" w:type="dxa"/>
              <w:bottom w:w="80" w:type="dxa"/>
              <w:end w:w="100" w:type="dxa"/>
            </w:tcMar>
          </w:tcPr>
          <w:p>
            <w:pPr>
              <w:spacing w:after="0"/>
            </w:pPr>
            <w:r>
              <w:rPr>
                <w:rFonts w:ascii="Times New Roman" w:hAnsi="Times New Roman"/>
                <w:sz w:val="12"/>
              </w:rPr>
              <w:t>Week 4</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Defined measures</w:t>
            </w:r>
          </w:p>
        </w:tc>
        <w:tc>
          <w:tcPr>
            <w:tcW w:type="dxa" w:w="1050"/>
            <w:vAlign w:val="center"/>
            <w:tcMar>
              <w:top w:w="80" w:type="dxa"/>
              <w:start w:w="100" w:type="dxa"/>
              <w:bottom w:w="80" w:type="dxa"/>
              <w:end w:w="100" w:type="dxa"/>
            </w:tcMar>
          </w:tcPr>
          <w:p>
            <w:pPr>
              <w:spacing w:after="0"/>
            </w:pPr>
            <w:r>
              <w:rPr>
                <w:rFonts w:ascii="Times New Roman" w:hAnsi="Times New Roman"/>
                <w:sz w:val="12"/>
              </w:rPr>
              <w:t>Metric not calculable</w:t>
            </w:r>
          </w:p>
        </w:tc>
        <w:tc>
          <w:tcPr>
            <w:tcW w:type="dxa" w:w="1300"/>
            <w:vAlign w:val="center"/>
            <w:tcMar>
              <w:top w:w="80" w:type="dxa"/>
              <w:start w:w="100" w:type="dxa"/>
              <w:bottom w:w="80" w:type="dxa"/>
              <w:end w:w="100" w:type="dxa"/>
            </w:tcMar>
          </w:tcPr>
          <w:p>
            <w:pPr>
              <w:spacing w:after="0"/>
            </w:pPr>
            <w:r>
              <w:rPr>
                <w:rFonts w:ascii="Times New Roman" w:hAnsi="Times New Roman"/>
                <w:sz w:val="12"/>
              </w:rPr>
              <w:t>Define numerator/denominator</w:t>
            </w:r>
          </w:p>
        </w:tc>
        <w:tc>
          <w:tcPr>
            <w:tcW w:type="dxa" w:w="1110"/>
            <w:vAlign w:val="center"/>
            <w:tcMar>
              <w:top w:w="80" w:type="dxa"/>
              <w:start w:w="100" w:type="dxa"/>
              <w:bottom w:w="80" w:type="dxa"/>
              <w:end w:w="100" w:type="dxa"/>
            </w:tcMar>
          </w:tcPr>
          <w:p>
            <w:pPr>
              <w:spacing w:after="0"/>
            </w:pPr>
            <w:r>
              <w:rPr>
                <w:rFonts w:ascii="Times New Roman" w:hAnsi="Times New Roman"/>
                <w:sz w:val="12"/>
              </w:rPr>
              <w:t>Alternatives/critique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Base and HR ER model</w:t>
            </w:r>
          </w:p>
        </w:tc>
        <w:tc>
          <w:tcPr>
            <w:tcW w:type="dxa" w:w="850"/>
            <w:vAlign w:val="center"/>
            <w:tcMar>
              <w:top w:w="80" w:type="dxa"/>
              <w:start w:w="100" w:type="dxa"/>
              <w:bottom w:w="80" w:type="dxa"/>
              <w:end w:w="100" w:type="dxa"/>
            </w:tcMar>
          </w:tcPr>
          <w:p>
            <w:pPr>
              <w:spacing w:after="0"/>
            </w:pPr>
            <w:r>
              <w:rPr>
                <w:rFonts w:ascii="Times New Roman" w:hAnsi="Times New Roman"/>
                <w:sz w:val="12"/>
              </w:rPr>
              <w:t>Zora / All</w:t>
            </w:r>
          </w:p>
        </w:tc>
        <w:tc>
          <w:tcPr>
            <w:tcW w:type="dxa" w:w="750"/>
            <w:vAlign w:val="center"/>
            <w:tcMar>
              <w:top w:w="80" w:type="dxa"/>
              <w:start w:w="100" w:type="dxa"/>
              <w:bottom w:w="80" w:type="dxa"/>
              <w:end w:w="100" w:type="dxa"/>
            </w:tcMar>
          </w:tcPr>
          <w:p>
            <w:pPr>
              <w:spacing w:after="0"/>
            </w:pPr>
            <w:r>
              <w:rPr>
                <w:rFonts w:ascii="Times New Roman" w:hAnsi="Times New Roman"/>
                <w:sz w:val="12"/>
              </w:rPr>
              <w:t>Zora</w:t>
            </w:r>
          </w:p>
        </w:tc>
        <w:tc>
          <w:tcPr>
            <w:tcW w:type="dxa" w:w="500"/>
            <w:vAlign w:val="center"/>
            <w:tcMar>
              <w:top w:w="80" w:type="dxa"/>
              <w:start w:w="100" w:type="dxa"/>
              <w:bottom w:w="80" w:type="dxa"/>
              <w:end w:w="100" w:type="dxa"/>
            </w:tcMar>
          </w:tcPr>
          <w:p>
            <w:pPr>
              <w:spacing w:after="0"/>
            </w:pPr>
            <w:r>
              <w:rPr>
                <w:rFonts w:ascii="Times New Roman" w:hAnsi="Times New Roman"/>
                <w:sz w:val="12"/>
              </w:rPr>
              <w:t>28</w:t>
            </w:r>
          </w:p>
        </w:tc>
        <w:tc>
          <w:tcPr>
            <w:tcW w:type="dxa" w:w="650"/>
            <w:vAlign w:val="center"/>
            <w:tcMar>
              <w:top w:w="80" w:type="dxa"/>
              <w:start w:w="100" w:type="dxa"/>
              <w:bottom w:w="80" w:type="dxa"/>
              <w:end w:w="100" w:type="dxa"/>
            </w:tcMar>
          </w:tcPr>
          <w:p>
            <w:pPr>
              <w:spacing w:after="0"/>
            </w:pPr>
            <w:r>
              <w:rPr>
                <w:rFonts w:ascii="Times New Roman" w:hAnsi="Times New Roman"/>
                <w:sz w:val="12"/>
              </w:rPr>
              <w:t>Week 7</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Workbench model and alternatives</w:t>
            </w:r>
          </w:p>
        </w:tc>
        <w:tc>
          <w:tcPr>
            <w:tcW w:type="dxa" w:w="1050"/>
            <w:vAlign w:val="center"/>
            <w:tcMar>
              <w:top w:w="80" w:type="dxa"/>
              <w:start w:w="100" w:type="dxa"/>
              <w:bottom w:w="80" w:type="dxa"/>
              <w:end w:w="100" w:type="dxa"/>
            </w:tcMar>
          </w:tcPr>
          <w:p>
            <w:pPr>
              <w:spacing w:after="0"/>
            </w:pPr>
            <w:r>
              <w:rPr>
                <w:rFonts w:ascii="Times New Roman" w:hAnsi="Times New Roman"/>
                <w:sz w:val="12"/>
              </w:rPr>
              <w:t>Cardinality error</w:t>
            </w:r>
          </w:p>
        </w:tc>
        <w:tc>
          <w:tcPr>
            <w:tcW w:type="dxa" w:w="1300"/>
            <w:vAlign w:val="center"/>
            <w:tcMar>
              <w:top w:w="80" w:type="dxa"/>
              <w:start w:w="100" w:type="dxa"/>
              <w:bottom w:w="80" w:type="dxa"/>
              <w:end w:w="100" w:type="dxa"/>
            </w:tcMar>
          </w:tcPr>
          <w:p>
            <w:pPr>
              <w:spacing w:after="0"/>
            </w:pPr>
            <w:r>
              <w:rPr>
                <w:rFonts w:ascii="Times New Roman" w:hAnsi="Times New Roman"/>
                <w:sz w:val="12"/>
              </w:rPr>
              <w:t>Peer review against case</w:t>
            </w:r>
          </w:p>
        </w:tc>
        <w:tc>
          <w:tcPr>
            <w:tcW w:type="dxa" w:w="1110"/>
            <w:vAlign w:val="center"/>
            <w:tcMar>
              <w:top w:w="80" w:type="dxa"/>
              <w:start w:w="100" w:type="dxa"/>
              <w:bottom w:w="80" w:type="dxa"/>
              <w:end w:w="100" w:type="dxa"/>
            </w:tcMar>
          </w:tcPr>
          <w:p>
            <w:pPr>
              <w:spacing w:after="0"/>
            </w:pPr>
            <w:r>
              <w:rPr>
                <w:rFonts w:ascii="Times New Roman" w:hAnsi="Times New Roman"/>
                <w:sz w:val="12"/>
              </w:rPr>
              <w:t>Modelling 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Design decisions</w:t>
            </w:r>
          </w:p>
        </w:tc>
        <w:tc>
          <w:tcPr>
            <w:tcW w:type="dxa" w:w="850"/>
            <w:vAlign w:val="center"/>
            <w:tcMar>
              <w:top w:w="80" w:type="dxa"/>
              <w:start w:w="100" w:type="dxa"/>
              <w:bottom w:w="80" w:type="dxa"/>
              <w:end w:w="100" w:type="dxa"/>
            </w:tcMar>
          </w:tcPr>
          <w:p>
            <w:pPr>
              <w:spacing w:after="0"/>
            </w:pPr>
            <w:r>
              <w:rPr>
                <w:rFonts w:ascii="Times New Roman" w:hAnsi="Times New Roman"/>
                <w:sz w:val="12"/>
              </w:rPr>
              <w:t>Mia / Zora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8</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Four cited decision records</w:t>
            </w:r>
          </w:p>
        </w:tc>
        <w:tc>
          <w:tcPr>
            <w:tcW w:type="dxa" w:w="1050"/>
            <w:vAlign w:val="center"/>
            <w:tcMar>
              <w:top w:w="80" w:type="dxa"/>
              <w:start w:w="100" w:type="dxa"/>
              <w:bottom w:w="80" w:type="dxa"/>
              <w:end w:w="100" w:type="dxa"/>
            </w:tcMar>
          </w:tcPr>
          <w:p>
            <w:pPr>
              <w:spacing w:after="0"/>
            </w:pPr>
            <w:r>
              <w:rPr>
                <w:rFonts w:ascii="Times New Roman" w:hAnsi="Times New Roman"/>
                <w:sz w:val="12"/>
              </w:rPr>
              <w:t>Weak trade-offs</w:t>
            </w:r>
          </w:p>
        </w:tc>
        <w:tc>
          <w:tcPr>
            <w:tcW w:type="dxa" w:w="1300"/>
            <w:vAlign w:val="center"/>
            <w:tcMar>
              <w:top w:w="80" w:type="dxa"/>
              <w:start w:w="100" w:type="dxa"/>
              <w:bottom w:w="80" w:type="dxa"/>
              <w:end w:w="100" w:type="dxa"/>
            </w:tcMar>
          </w:tcPr>
          <w:p>
            <w:pPr>
              <w:spacing w:after="0"/>
            </w:pPr>
            <w:r>
              <w:rPr>
                <w:rFonts w:ascii="Times New Roman" w:hAnsi="Times New Roman"/>
                <w:sz w:val="12"/>
              </w:rPr>
              <w:t>Trace each to ER</w:t>
            </w:r>
          </w:p>
        </w:tc>
        <w:tc>
          <w:tcPr>
            <w:tcW w:type="dxa" w:w="1110"/>
            <w:vAlign w:val="center"/>
            <w:tcMar>
              <w:top w:w="80" w:type="dxa"/>
              <w:start w:w="100" w:type="dxa"/>
              <w:bottom w:w="80" w:type="dxa"/>
              <w:end w:w="100" w:type="dxa"/>
            </w:tcMar>
          </w:tcPr>
          <w:p>
            <w:pPr>
              <w:spacing w:after="0"/>
            </w:pPr>
            <w:r>
              <w:rPr>
                <w:rFonts w:ascii="Times New Roman" w:hAnsi="Times New Roman"/>
                <w:sz w:val="12"/>
              </w:rPr>
              <w:t>Draft/critique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Schema and rules</w:t>
            </w:r>
          </w:p>
        </w:tc>
        <w:tc>
          <w:tcPr>
            <w:tcW w:type="dxa" w:w="850"/>
            <w:vAlign w:val="center"/>
            <w:tcMar>
              <w:top w:w="80" w:type="dxa"/>
              <w:start w:w="100" w:type="dxa"/>
              <w:bottom w:w="80" w:type="dxa"/>
              <w:end w:w="100" w:type="dxa"/>
            </w:tcMar>
          </w:tcPr>
          <w:p>
            <w:pPr>
              <w:spacing w:after="0"/>
            </w:pPr>
            <w:r>
              <w:rPr>
                <w:rFonts w:ascii="Times New Roman" w:hAnsi="Times New Roman"/>
                <w:sz w:val="12"/>
              </w:rPr>
              <w:t>1 / Zora</w:t>
            </w:r>
          </w:p>
        </w:tc>
        <w:tc>
          <w:tcPr>
            <w:tcW w:type="dxa" w:w="750"/>
            <w:vAlign w:val="center"/>
            <w:tcMar>
              <w:top w:w="80" w:type="dxa"/>
              <w:start w:w="100" w:type="dxa"/>
              <w:bottom w:w="80" w:type="dxa"/>
              <w:end w:w="100" w:type="dxa"/>
            </w:tcMar>
          </w:tcPr>
          <w:p>
            <w:pPr>
              <w:spacing w:after="0"/>
            </w:pPr>
            <w:r>
              <w:rPr>
                <w:rFonts w:ascii="Times New Roman" w:hAnsi="Times New Roman"/>
                <w:sz w:val="12"/>
              </w:rPr>
              <w:t>1</w:t>
            </w:r>
          </w:p>
        </w:tc>
        <w:tc>
          <w:tcPr>
            <w:tcW w:type="dxa" w:w="500"/>
            <w:vAlign w:val="center"/>
            <w:tcMar>
              <w:top w:w="80" w:type="dxa"/>
              <w:start w:w="100" w:type="dxa"/>
              <w:bottom w:w="80" w:type="dxa"/>
              <w:end w:w="100" w:type="dxa"/>
            </w:tcMar>
          </w:tcPr>
          <w:p>
            <w:pPr>
              <w:spacing w:after="0"/>
            </w:pPr>
            <w:r>
              <w:rPr>
                <w:rFonts w:ascii="Times New Roman" w:hAnsi="Times New Roman"/>
                <w:sz w:val="12"/>
              </w:rPr>
              <w:t>32</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Clean SQL and five rules</w:t>
            </w:r>
          </w:p>
        </w:tc>
        <w:tc>
          <w:tcPr>
            <w:tcW w:type="dxa" w:w="1050"/>
            <w:vAlign w:val="center"/>
            <w:tcMar>
              <w:top w:w="80" w:type="dxa"/>
              <w:start w:w="100" w:type="dxa"/>
              <w:bottom w:w="80" w:type="dxa"/>
              <w:end w:w="100" w:type="dxa"/>
            </w:tcMar>
          </w:tcPr>
          <w:p>
            <w:pPr>
              <w:spacing w:after="0"/>
            </w:pPr>
            <w:r>
              <w:rPr>
                <w:rFonts w:ascii="Times New Roman" w:hAnsi="Times New Roman"/>
                <w:sz w:val="12"/>
              </w:rPr>
              <w:t>Build failure</w:t>
            </w:r>
          </w:p>
        </w:tc>
        <w:tc>
          <w:tcPr>
            <w:tcW w:type="dxa" w:w="1300"/>
            <w:vAlign w:val="center"/>
            <w:tcMar>
              <w:top w:w="80" w:type="dxa"/>
              <w:start w:w="100" w:type="dxa"/>
              <w:bottom w:w="80" w:type="dxa"/>
              <w:end w:w="100" w:type="dxa"/>
            </w:tcMar>
          </w:tcPr>
          <w:p>
            <w:pPr>
              <w:spacing w:after="0"/>
            </w:pPr>
            <w:r>
              <w:rPr>
                <w:rFonts w:ascii="Times New Roman" w:hAnsi="Times New Roman"/>
                <w:sz w:val="12"/>
              </w:rPr>
              <w:t>Empty-database tests</w:t>
            </w:r>
          </w:p>
        </w:tc>
        <w:tc>
          <w:tcPr>
            <w:tcW w:type="dxa" w:w="1110"/>
            <w:vAlign w:val="center"/>
            <w:tcMar>
              <w:top w:w="80" w:type="dxa"/>
              <w:start w:w="100" w:type="dxa"/>
              <w:bottom w:w="80" w:type="dxa"/>
              <w:end w:w="100" w:type="dxa"/>
            </w:tcMar>
          </w:tcPr>
          <w:p>
            <w:pPr>
              <w:spacing w:after="0"/>
            </w:pPr>
            <w:r>
              <w:rPr>
                <w:rFonts w:ascii="Times New Roman" w:hAnsi="Times New Roman"/>
                <w:sz w:val="12"/>
              </w:rPr>
              <w:t>SQL review</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Data dictionary</w:t>
            </w:r>
          </w:p>
        </w:tc>
        <w:tc>
          <w:tcPr>
            <w:tcW w:type="dxa" w:w="850"/>
            <w:vAlign w:val="center"/>
            <w:tcMar>
              <w:top w:w="80" w:type="dxa"/>
              <w:start w:w="100" w:type="dxa"/>
              <w:bottom w:w="80" w:type="dxa"/>
              <w:end w:w="100" w:type="dxa"/>
            </w:tcMar>
          </w:tcPr>
          <w:p>
            <w:pPr>
              <w:spacing w:after="0"/>
            </w:pPr>
            <w:r>
              <w:rPr>
                <w:rFonts w:ascii="Times New Roman" w:hAnsi="Times New Roman"/>
                <w:sz w:val="12"/>
              </w:rPr>
              <w:t>Zora / 1</w:t>
            </w:r>
          </w:p>
        </w:tc>
        <w:tc>
          <w:tcPr>
            <w:tcW w:type="dxa" w:w="750"/>
            <w:vAlign w:val="center"/>
            <w:tcMar>
              <w:top w:w="80" w:type="dxa"/>
              <w:start w:w="100" w:type="dxa"/>
              <w:bottom w:w="80" w:type="dxa"/>
              <w:end w:w="100" w:type="dxa"/>
            </w:tcMar>
          </w:tcPr>
          <w:p>
            <w:pPr>
              <w:spacing w:after="0"/>
            </w:pPr>
            <w:r>
              <w:rPr>
                <w:rFonts w:ascii="Times New Roman" w:hAnsi="Times New Roman"/>
                <w:sz w:val="12"/>
              </w:rPr>
              <w:t>Zora</w:t>
            </w:r>
          </w:p>
        </w:tc>
        <w:tc>
          <w:tcPr>
            <w:tcW w:type="dxa" w:w="500"/>
            <w:vAlign w:val="center"/>
            <w:tcMar>
              <w:top w:w="80" w:type="dxa"/>
              <w:start w:w="100" w:type="dxa"/>
              <w:bottom w:w="80" w:type="dxa"/>
              <w:end w:w="100" w:type="dxa"/>
            </w:tcMar>
          </w:tcPr>
          <w:p>
            <w:pPr>
              <w:spacing w:after="0"/>
            </w:pPr>
            <w:r>
              <w:rPr>
                <w:rFonts w:ascii="Times New Roman" w:hAnsi="Times New Roman"/>
                <w:sz w:val="12"/>
              </w:rPr>
              <w:t>16</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Complete Word tables</w:t>
            </w:r>
          </w:p>
        </w:tc>
        <w:tc>
          <w:tcPr>
            <w:tcW w:type="dxa" w:w="1050"/>
            <w:vAlign w:val="center"/>
            <w:tcMar>
              <w:top w:w="80" w:type="dxa"/>
              <w:start w:w="100" w:type="dxa"/>
              <w:bottom w:w="80" w:type="dxa"/>
              <w:end w:w="100" w:type="dxa"/>
            </w:tcMar>
          </w:tcPr>
          <w:p>
            <w:pPr>
              <w:spacing w:after="0"/>
            </w:pPr>
            <w:r>
              <w:rPr>
                <w:rFonts w:ascii="Times New Roman" w:hAnsi="Times New Roman"/>
                <w:sz w:val="12"/>
              </w:rPr>
              <w:t>Schema drift</w:t>
            </w:r>
          </w:p>
        </w:tc>
        <w:tc>
          <w:tcPr>
            <w:tcW w:type="dxa" w:w="1300"/>
            <w:vAlign w:val="center"/>
            <w:tcMar>
              <w:top w:w="80" w:type="dxa"/>
              <w:start w:w="100" w:type="dxa"/>
              <w:bottom w:w="80" w:type="dxa"/>
              <w:end w:w="100" w:type="dxa"/>
            </w:tcMar>
          </w:tcPr>
          <w:p>
            <w:pPr>
              <w:spacing w:after="0"/>
            </w:pPr>
            <w:r>
              <w:rPr>
                <w:rFonts w:ascii="Times New Roman" w:hAnsi="Times New Roman"/>
                <w:sz w:val="12"/>
              </w:rPr>
              <w:t>Automated consistency check</w:t>
            </w:r>
          </w:p>
        </w:tc>
        <w:tc>
          <w:tcPr>
            <w:tcW w:type="dxa" w:w="1110"/>
            <w:vAlign w:val="center"/>
            <w:tcMar>
              <w:top w:w="80" w:type="dxa"/>
              <w:start w:w="100" w:type="dxa"/>
              <w:bottom w:w="80" w:type="dxa"/>
              <w:end w:w="100" w:type="dxa"/>
            </w:tcMar>
          </w:tcPr>
          <w:p>
            <w:pPr>
              <w:spacing w:after="0"/>
            </w:pPr>
            <w:r>
              <w:rPr>
                <w:rFonts w:ascii="Times New Roman" w:hAnsi="Times New Roman"/>
                <w:sz w:val="12"/>
              </w:rPr>
              <w:t>Mechanical QA</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Official cleaning</w:t>
            </w:r>
          </w:p>
        </w:tc>
        <w:tc>
          <w:tcPr>
            <w:tcW w:type="dxa" w:w="850"/>
            <w:vAlign w:val="center"/>
            <w:tcMar>
              <w:top w:w="80" w:type="dxa"/>
              <w:start w:w="100" w:type="dxa"/>
              <w:bottom w:w="80" w:type="dxa"/>
              <w:end w:w="100" w:type="dxa"/>
            </w:tcMar>
          </w:tcPr>
          <w:p>
            <w:pPr>
              <w:spacing w:after="0"/>
            </w:pPr>
            <w:r>
              <w:rPr>
                <w:rFonts w:ascii="Times New Roman" w:hAnsi="Times New Roman"/>
                <w:sz w:val="12"/>
              </w:rPr>
              <w:t>1 / Mia</w:t>
            </w:r>
          </w:p>
        </w:tc>
        <w:tc>
          <w:tcPr>
            <w:tcW w:type="dxa" w:w="750"/>
            <w:vAlign w:val="center"/>
            <w:tcMar>
              <w:top w:w="80" w:type="dxa"/>
              <w:start w:w="100" w:type="dxa"/>
              <w:bottom w:w="80" w:type="dxa"/>
              <w:end w:w="100" w:type="dxa"/>
            </w:tcMar>
          </w:tcPr>
          <w:p>
            <w:pPr>
              <w:spacing w:after="0"/>
            </w:pPr>
            <w:r>
              <w:rPr>
                <w:rFonts w:ascii="Times New Roman" w:hAnsi="Times New Roman"/>
                <w:sz w:val="12"/>
              </w:rPr>
              <w:t>1</w:t>
            </w:r>
          </w:p>
        </w:tc>
        <w:tc>
          <w:tcPr>
            <w:tcW w:type="dxa" w:w="500"/>
            <w:vAlign w:val="center"/>
            <w:tcMar>
              <w:top w:w="80" w:type="dxa"/>
              <w:start w:w="100" w:type="dxa"/>
              <w:bottom w:w="80" w:type="dxa"/>
              <w:end w:w="100" w:type="dxa"/>
            </w:tcMar>
          </w:tcPr>
          <w:p>
            <w:pPr>
              <w:spacing w:after="0"/>
            </w:pPr>
            <w:r>
              <w:rPr>
                <w:rFonts w:ascii="Times New Roman" w:hAnsi="Times New Roman"/>
                <w:sz w:val="12"/>
              </w:rPr>
              <w:t>23</w:t>
            </w:r>
          </w:p>
        </w:tc>
        <w:tc>
          <w:tcPr>
            <w:tcW w:type="dxa" w:w="650"/>
            <w:vAlign w:val="center"/>
            <w:tcMar>
              <w:top w:w="80" w:type="dxa"/>
              <w:start w:w="100" w:type="dxa"/>
              <w:bottom w:w="80" w:type="dxa"/>
              <w:end w:w="100" w:type="dxa"/>
            </w:tcMar>
          </w:tcPr>
          <w:p>
            <w:pPr>
              <w:spacing w:after="0"/>
            </w:pPr>
            <w:r>
              <w:rPr>
                <w:rFonts w:ascii="Times New Roman" w:hAnsi="Times New Roman"/>
                <w:sz w:val="12"/>
              </w:rPr>
              <w:t>After workbook</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Audit and reconciliation</w:t>
            </w:r>
          </w:p>
        </w:tc>
        <w:tc>
          <w:tcPr>
            <w:tcW w:type="dxa" w:w="1050"/>
            <w:vAlign w:val="center"/>
            <w:tcMar>
              <w:top w:w="80" w:type="dxa"/>
              <w:start w:w="100" w:type="dxa"/>
              <w:bottom w:w="80" w:type="dxa"/>
              <w:end w:w="100" w:type="dxa"/>
            </w:tcMar>
          </w:tcPr>
          <w:p>
            <w:pPr>
              <w:spacing w:after="0"/>
            </w:pPr>
            <w:r>
              <w:rPr>
                <w:rFonts w:ascii="Times New Roman" w:hAnsi="Times New Roman"/>
                <w:sz w:val="12"/>
              </w:rPr>
              <w:t>Source missing</w:t>
            </w:r>
          </w:p>
        </w:tc>
        <w:tc>
          <w:tcPr>
            <w:tcW w:type="dxa" w:w="1300"/>
            <w:vAlign w:val="center"/>
            <w:tcMar>
              <w:top w:w="80" w:type="dxa"/>
              <w:start w:w="100" w:type="dxa"/>
              <w:bottom w:w="80" w:type="dxa"/>
              <w:end w:w="100" w:type="dxa"/>
            </w:tcMar>
          </w:tcPr>
          <w:p>
            <w:pPr>
              <w:spacing w:after="0"/>
            </w:pPr>
            <w:r>
              <w:rPr>
                <w:rFonts w:ascii="Times New Roman" w:hAnsi="Times New Roman"/>
                <w:sz w:val="12"/>
              </w:rPr>
              <w:t>Keep framework blocked</w:t>
            </w:r>
          </w:p>
        </w:tc>
        <w:tc>
          <w:tcPr>
            <w:tcW w:type="dxa" w:w="1110"/>
            <w:vAlign w:val="center"/>
            <w:tcMar>
              <w:top w:w="80" w:type="dxa"/>
              <w:start w:w="100" w:type="dxa"/>
              <w:bottom w:w="80" w:type="dxa"/>
              <w:end w:w="100" w:type="dxa"/>
            </w:tcMar>
          </w:tcPr>
          <w:p>
            <w:pPr>
              <w:spacing w:after="0"/>
            </w:pPr>
            <w:r>
              <w:rPr>
                <w:rFonts w:ascii="Times New Roman" w:hAnsi="Times New Roman"/>
                <w:sz w:val="12"/>
              </w:rPr>
              <w:t>Profiling support</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Test data and integrity</w:t>
            </w:r>
          </w:p>
        </w:tc>
        <w:tc>
          <w:tcPr>
            <w:tcW w:type="dxa" w:w="850"/>
            <w:vAlign w:val="center"/>
            <w:tcMar>
              <w:top w:w="80" w:type="dxa"/>
              <w:start w:w="100" w:type="dxa"/>
              <w:bottom w:w="80" w:type="dxa"/>
              <w:end w:w="100" w:type="dxa"/>
            </w:tcMar>
          </w:tcPr>
          <w:p>
            <w:pPr>
              <w:spacing w:after="0"/>
            </w:pPr>
            <w:r>
              <w:rPr>
                <w:rFonts w:ascii="Times New Roman" w:hAnsi="Times New Roman"/>
                <w:sz w:val="12"/>
              </w:rPr>
              <w:t>1 / Rianna</w:t>
            </w:r>
          </w:p>
        </w:tc>
        <w:tc>
          <w:tcPr>
            <w:tcW w:type="dxa" w:w="750"/>
            <w:vAlign w:val="center"/>
            <w:tcMar>
              <w:top w:w="80" w:type="dxa"/>
              <w:start w:w="100" w:type="dxa"/>
              <w:bottom w:w="80" w:type="dxa"/>
              <w:end w:w="100" w:type="dxa"/>
            </w:tcMar>
          </w:tcPr>
          <w:p>
            <w:pPr>
              <w:spacing w:after="0"/>
            </w:pPr>
            <w:r>
              <w:rPr>
                <w:rFonts w:ascii="Times New Roman" w:hAnsi="Times New Roman"/>
                <w:sz w:val="12"/>
              </w:rPr>
              <w:t>1</w:t>
            </w:r>
          </w:p>
        </w:tc>
        <w:tc>
          <w:tcPr>
            <w:tcW w:type="dxa" w:w="500"/>
            <w:vAlign w:val="center"/>
            <w:tcMar>
              <w:top w:w="80" w:type="dxa"/>
              <w:start w:w="100" w:type="dxa"/>
              <w:bottom w:w="80" w:type="dxa"/>
              <w:end w:w="100" w:type="dxa"/>
            </w:tcMar>
          </w:tcPr>
          <w:p>
            <w:pPr>
              <w:spacing w:after="0"/>
            </w:pPr>
            <w:r>
              <w:rPr>
                <w:rFonts w:ascii="Times New Roman" w:hAnsi="Times New Roman"/>
                <w:sz w:val="12"/>
              </w:rPr>
              <w:t>20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Five tests and histories</w:t>
            </w:r>
          </w:p>
        </w:tc>
        <w:tc>
          <w:tcPr>
            <w:tcW w:type="dxa" w:w="1050"/>
            <w:vAlign w:val="center"/>
            <w:tcMar>
              <w:top w:w="80" w:type="dxa"/>
              <w:start w:w="100" w:type="dxa"/>
              <w:bottom w:w="80" w:type="dxa"/>
              <w:end w:w="100" w:type="dxa"/>
            </w:tcMar>
          </w:tcPr>
          <w:p>
            <w:pPr>
              <w:spacing w:after="0"/>
            </w:pPr>
            <w:r>
              <w:rPr>
                <w:rFonts w:ascii="Times New Roman" w:hAnsi="Times New Roman"/>
                <w:sz w:val="12"/>
              </w:rPr>
              <w:t>Trivial coverage</w:t>
            </w:r>
          </w:p>
        </w:tc>
        <w:tc>
          <w:tcPr>
            <w:tcW w:type="dxa" w:w="1300"/>
            <w:vAlign w:val="center"/>
            <w:tcMar>
              <w:top w:w="80" w:type="dxa"/>
              <w:start w:w="100" w:type="dxa"/>
              <w:bottom w:w="80" w:type="dxa"/>
              <w:end w:w="100" w:type="dxa"/>
            </w:tcMar>
          </w:tcPr>
          <w:p>
            <w:pPr>
              <w:spacing w:after="0"/>
            </w:pPr>
            <w:r>
              <w:rPr>
                <w:rFonts w:ascii="Times New Roman" w:hAnsi="Times New Roman"/>
                <w:sz w:val="12"/>
              </w:rPr>
              <w:t>Scenario-based data</w:t>
            </w:r>
          </w:p>
        </w:tc>
        <w:tc>
          <w:tcPr>
            <w:tcW w:type="dxa" w:w="1110"/>
            <w:vAlign w:val="center"/>
            <w:tcMar>
              <w:top w:w="80" w:type="dxa"/>
              <w:start w:w="100" w:type="dxa"/>
              <w:bottom w:w="80" w:type="dxa"/>
              <w:end w:w="100" w:type="dxa"/>
            </w:tcMar>
          </w:tcPr>
          <w:p>
            <w:pPr>
              <w:spacing w:after="0"/>
            </w:pPr>
            <w:r>
              <w:rPr>
                <w:rFonts w:ascii="Times New Roman" w:hAnsi="Times New Roman"/>
                <w:sz w:val="12"/>
              </w:rPr>
              <w:t>Coverage 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Six analytical queries</w:t>
            </w:r>
          </w:p>
        </w:tc>
        <w:tc>
          <w:tcPr>
            <w:tcW w:type="dxa" w:w="850"/>
            <w:vAlign w:val="center"/>
            <w:tcMar>
              <w:top w:w="80" w:type="dxa"/>
              <w:start w:w="100" w:type="dxa"/>
              <w:bottom w:w="80" w:type="dxa"/>
              <w:end w:w="100" w:type="dxa"/>
            </w:tcMar>
          </w:tcPr>
          <w:p>
            <w:pPr>
              <w:spacing w:after="0"/>
            </w:pPr>
            <w:r>
              <w:rPr>
                <w:rFonts w:ascii="Times New Roman" w:hAnsi="Times New Roman"/>
                <w:sz w:val="12"/>
              </w:rPr>
              <w:t>Rianna / 1</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28</w:t>
            </w:r>
          </w:p>
        </w:tc>
        <w:tc>
          <w:tcPr>
            <w:tcW w:type="dxa" w:w="650"/>
            <w:vAlign w:val="center"/>
            <w:tcMar>
              <w:top w:w="80" w:type="dxa"/>
              <w:start w:w="100" w:type="dxa"/>
              <w:bottom w:w="80" w:type="dxa"/>
              <w:end w:w="100" w:type="dxa"/>
            </w:tcMar>
          </w:tcPr>
          <w:p>
            <w:pPr>
              <w:spacing w:after="0"/>
            </w:pPr>
            <w:r>
              <w:rPr>
                <w:rFonts w:ascii="Times New Roman" w:hAnsi="Times New Roman"/>
                <w:sz w:val="12"/>
              </w:rPr>
              <w:t>Week 11</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Queries/view/procedure/EXPLAIN</w:t>
            </w:r>
          </w:p>
        </w:tc>
        <w:tc>
          <w:tcPr>
            <w:tcW w:type="dxa" w:w="1050"/>
            <w:vAlign w:val="center"/>
            <w:tcMar>
              <w:top w:w="80" w:type="dxa"/>
              <w:start w:w="100" w:type="dxa"/>
              <w:bottom w:w="80" w:type="dxa"/>
              <w:end w:w="100" w:type="dxa"/>
            </w:tcMar>
          </w:tcPr>
          <w:p>
            <w:pPr>
              <w:spacing w:after="0"/>
            </w:pPr>
            <w:r>
              <w:rPr>
                <w:rFonts w:ascii="Times New Roman" w:hAnsi="Times New Roman"/>
                <w:sz w:val="12"/>
              </w:rPr>
              <w:t>Join inflation</w:t>
            </w:r>
          </w:p>
        </w:tc>
        <w:tc>
          <w:tcPr>
            <w:tcW w:type="dxa" w:w="1300"/>
            <w:vAlign w:val="center"/>
            <w:tcMar>
              <w:top w:w="80" w:type="dxa"/>
              <w:start w:w="100" w:type="dxa"/>
              <w:bottom w:w="80" w:type="dxa"/>
              <w:end w:w="100" w:type="dxa"/>
            </w:tcMar>
          </w:tcPr>
          <w:p>
            <w:pPr>
              <w:spacing w:after="0"/>
            </w:pPr>
            <w:r>
              <w:rPr>
                <w:rFonts w:ascii="Times New Roman" w:hAnsi="Times New Roman"/>
                <w:sz w:val="12"/>
              </w:rPr>
              <w:t>Manual reconciliation</w:t>
            </w:r>
          </w:p>
        </w:tc>
        <w:tc>
          <w:tcPr>
            <w:tcW w:type="dxa" w:w="1110"/>
            <w:vAlign w:val="center"/>
            <w:tcMar>
              <w:top w:w="80" w:type="dxa"/>
              <w:start w:w="100" w:type="dxa"/>
              <w:bottom w:w="80" w:type="dxa"/>
              <w:end w:w="100" w:type="dxa"/>
            </w:tcMar>
          </w:tcPr>
          <w:p>
            <w:pPr>
              <w:spacing w:after="0"/>
            </w:pPr>
            <w:r>
              <w:rPr>
                <w:rFonts w:ascii="Times New Roman" w:hAnsi="Times New Roman"/>
                <w:sz w:val="12"/>
              </w:rPr>
              <w:t>SQL alternatives</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Reflection</w:t>
            </w:r>
          </w:p>
        </w:tc>
        <w:tc>
          <w:tcPr>
            <w:tcW w:type="dxa" w:w="850"/>
            <w:vAlign w:val="center"/>
            <w:tcMar>
              <w:top w:w="80" w:type="dxa"/>
              <w:start w:w="100" w:type="dxa"/>
              <w:bottom w:w="80" w:type="dxa"/>
              <w:end w:w="100" w:type="dxa"/>
            </w:tcMar>
          </w:tcPr>
          <w:p>
            <w:pPr>
              <w:spacing w:after="0"/>
            </w:pPr>
            <w:r>
              <w:rPr>
                <w:rFonts w:ascii="Times New Roman" w:hAnsi="Times New Roman"/>
                <w:sz w:val="12"/>
              </w:rPr>
              <w:t>All</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Genuine RiPPlE evidence</w:t>
            </w:r>
          </w:p>
        </w:tc>
        <w:tc>
          <w:tcPr>
            <w:tcW w:type="dxa" w:w="1050"/>
            <w:vAlign w:val="center"/>
            <w:tcMar>
              <w:top w:w="80" w:type="dxa"/>
              <w:start w:w="100" w:type="dxa"/>
              <w:bottom w:w="80" w:type="dxa"/>
              <w:end w:w="100" w:type="dxa"/>
            </w:tcMar>
          </w:tcPr>
          <w:p>
            <w:pPr>
              <w:spacing w:after="0"/>
            </w:pPr>
            <w:r>
              <w:rPr>
                <w:rFonts w:ascii="Times New Roman" w:hAnsi="Times New Roman"/>
                <w:sz w:val="12"/>
              </w:rPr>
              <w:t>Fabrication risk</w:t>
            </w:r>
          </w:p>
        </w:tc>
        <w:tc>
          <w:tcPr>
            <w:tcW w:type="dxa" w:w="1300"/>
            <w:vAlign w:val="center"/>
            <w:tcMar>
              <w:top w:w="80" w:type="dxa"/>
              <w:start w:w="100" w:type="dxa"/>
              <w:bottom w:w="80" w:type="dxa"/>
              <w:end w:w="100" w:type="dxa"/>
            </w:tcMar>
          </w:tcPr>
          <w:p>
            <w:pPr>
              <w:spacing w:after="0"/>
            </w:pPr>
            <w:r>
              <w:rPr>
                <w:rFonts w:ascii="Times New Roman" w:hAnsi="Times New Roman"/>
                <w:sz w:val="12"/>
              </w:rPr>
              <w:t>Save real iterations</w:t>
            </w:r>
          </w:p>
        </w:tc>
        <w:tc>
          <w:tcPr>
            <w:tcW w:type="dxa" w:w="1110"/>
            <w:vAlign w:val="center"/>
            <w:tcMar>
              <w:top w:w="80" w:type="dxa"/>
              <w:start w:w="100" w:type="dxa"/>
              <w:bottom w:w="80" w:type="dxa"/>
              <w:end w:w="100" w:type="dxa"/>
            </w:tcMar>
          </w:tcPr>
          <w:p>
            <w:pPr>
              <w:spacing w:after="0"/>
            </w:pPr>
            <w:r>
              <w:rPr>
                <w:rFonts w:ascii="Times New Roman" w:hAnsi="Times New Roman"/>
                <w:sz w:val="12"/>
              </w:rPr>
              <w:t>Reflection subject</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Video</w:t>
            </w:r>
          </w:p>
        </w:tc>
        <w:tc>
          <w:tcPr>
            <w:tcW w:type="dxa" w:w="850"/>
            <w:vAlign w:val="center"/>
            <w:tcMar>
              <w:top w:w="80" w:type="dxa"/>
              <w:start w:w="100" w:type="dxa"/>
              <w:bottom w:w="80" w:type="dxa"/>
              <w:end w:w="100" w:type="dxa"/>
            </w:tcMar>
          </w:tcPr>
          <w:p>
            <w:pPr>
              <w:spacing w:after="0"/>
            </w:pPr>
            <w:r>
              <w:rPr>
                <w:rFonts w:ascii="Times New Roman" w:hAnsi="Times New Roman"/>
                <w:sz w:val="12"/>
              </w:rPr>
              <w:t>All</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12</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Five-minute demonstration</w:t>
            </w:r>
          </w:p>
        </w:tc>
        <w:tc>
          <w:tcPr>
            <w:tcW w:type="dxa" w:w="1050"/>
            <w:vAlign w:val="center"/>
            <w:tcMar>
              <w:top w:w="80" w:type="dxa"/>
              <w:start w:w="100" w:type="dxa"/>
              <w:bottom w:w="80" w:type="dxa"/>
              <w:end w:w="100" w:type="dxa"/>
            </w:tcMar>
          </w:tcPr>
          <w:p>
            <w:pPr>
              <w:spacing w:after="0"/>
            </w:pPr>
            <w:r>
              <w:rPr>
                <w:rFonts w:ascii="Times New Roman" w:hAnsi="Times New Roman"/>
                <w:sz w:val="12"/>
              </w:rPr>
              <w:t>Over time</w:t>
            </w:r>
          </w:p>
        </w:tc>
        <w:tc>
          <w:tcPr>
            <w:tcW w:type="dxa" w:w="1300"/>
            <w:vAlign w:val="center"/>
            <w:tcMar>
              <w:top w:w="80" w:type="dxa"/>
              <w:start w:w="100" w:type="dxa"/>
              <w:bottom w:w="80" w:type="dxa"/>
              <w:end w:w="100" w:type="dxa"/>
            </w:tcMar>
          </w:tcPr>
          <w:p>
            <w:pPr>
              <w:spacing w:after="0"/>
            </w:pPr>
            <w:r>
              <w:rPr>
                <w:rFonts w:ascii="Times New Roman" w:hAnsi="Times New Roman"/>
                <w:sz w:val="12"/>
              </w:rPr>
              <w:t>Timed rehearsal</w:t>
            </w:r>
          </w:p>
        </w:tc>
        <w:tc>
          <w:tcPr>
            <w:tcW w:type="dxa" w:w="1110"/>
            <w:vAlign w:val="center"/>
            <w:tcMar>
              <w:top w:w="80" w:type="dxa"/>
              <w:start w:w="100" w:type="dxa"/>
              <w:bottom w:w="80" w:type="dxa"/>
              <w:end w:w="100" w:type="dxa"/>
            </w:tcMar>
          </w:tcPr>
          <w:p>
            <w:pPr>
              <w:spacing w:after="0"/>
            </w:pPr>
            <w:r>
              <w:rPr>
                <w:rFonts w:ascii="Times New Roman" w:hAnsi="Times New Roman"/>
                <w:sz w:val="12"/>
              </w:rPr>
              <w:t>Structure/timing</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Final integration and QA</w:t>
            </w:r>
          </w:p>
        </w:tc>
        <w:tc>
          <w:tcPr>
            <w:tcW w:type="dxa" w:w="850"/>
            <w:vAlign w:val="center"/>
            <w:tcMar>
              <w:top w:w="80" w:type="dxa"/>
              <w:start w:w="100" w:type="dxa"/>
              <w:bottom w:w="80" w:type="dxa"/>
              <w:end w:w="100" w:type="dxa"/>
            </w:tcMar>
          </w:tcPr>
          <w:p>
            <w:pPr>
              <w:spacing w:after="0"/>
            </w:pPr>
            <w:r>
              <w:rPr>
                <w:rFonts w:ascii="Times New Roman" w:hAnsi="Times New Roman"/>
                <w:sz w:val="12"/>
              </w:rPr>
              <w:t>Mia / All</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Submission package/audit</w:t>
            </w:r>
          </w:p>
        </w:tc>
        <w:tc>
          <w:tcPr>
            <w:tcW w:type="dxa" w:w="1050"/>
            <w:vAlign w:val="center"/>
            <w:tcMar>
              <w:top w:w="80" w:type="dxa"/>
              <w:start w:w="100" w:type="dxa"/>
              <w:bottom w:w="80" w:type="dxa"/>
              <w:end w:w="100" w:type="dxa"/>
            </w:tcMar>
          </w:tcPr>
          <w:p>
            <w:pPr>
              <w:spacing w:after="0"/>
            </w:pPr>
            <w:r>
              <w:rPr>
                <w:rFonts w:ascii="Times New Roman" w:hAnsi="Times New Roman"/>
                <w:sz w:val="12"/>
              </w:rPr>
              <w:t>Cross-file mismatch</w:t>
            </w:r>
          </w:p>
        </w:tc>
        <w:tc>
          <w:tcPr>
            <w:tcW w:type="dxa" w:w="1300"/>
            <w:vAlign w:val="center"/>
            <w:tcMar>
              <w:top w:w="80" w:type="dxa"/>
              <w:start w:w="100" w:type="dxa"/>
              <w:bottom w:w="80" w:type="dxa"/>
              <w:end w:w="100" w:type="dxa"/>
            </w:tcMar>
          </w:tcPr>
          <w:p>
            <w:pPr>
              <w:spacing w:after="0"/>
            </w:pPr>
            <w:r>
              <w:rPr>
                <w:rFonts w:ascii="Times New Roman" w:hAnsi="Times New Roman"/>
                <w:sz w:val="12"/>
              </w:rPr>
              <w:t>Automated and human QA</w:t>
            </w:r>
          </w:p>
        </w:tc>
        <w:tc>
          <w:tcPr>
            <w:tcW w:type="dxa" w:w="1110"/>
            <w:vAlign w:val="center"/>
            <w:tcMar>
              <w:top w:w="80" w:type="dxa"/>
              <w:start w:w="100" w:type="dxa"/>
              <w:bottom w:w="80" w:type="dxa"/>
              <w:end w:w="100" w:type="dxa"/>
            </w:tcMar>
          </w:tcPr>
          <w:p>
            <w:pPr>
              <w:spacing w:after="0"/>
            </w:pPr>
            <w:r>
              <w:rPr>
                <w:rFonts w:ascii="Times New Roman" w:hAnsi="Times New Roman"/>
                <w:sz w:val="12"/>
              </w:rPr>
              <w:t>Consistency checking</w:t>
            </w:r>
          </w:p>
        </w:tc>
      </w:tr>
    </w:tbl>
    <w:p>
      <w:pPr>
        <w:spacing w:after="0"/>
      </w:pPr>
    </w:p>
    <w:p>
      <w:pPr>
        <w:pStyle w:val="Heading2"/>
      </w:pPr>
      <w:r>
        <w:t>Checkpoint sequence</w:t>
      </w:r>
    </w:p>
    <w:tbl>
      <w:tblPr>
        <w:tblStyle w:val="TableGrid"/>
        <w:tblW w:type="dxa" w:w="9360"/>
        <w:tblLayout w:type="fixed"/>
        <w:tblLook w:firstColumn="1" w:firstRow="1" w:lastColumn="0" w:lastRow="0" w:noHBand="0" w:noVBand="1" w:val="04A0"/>
        <w:tblInd w:w="120" w:type="dxa"/>
      </w:tblPr>
      <w:tblGrid>
        <w:gridCol w:w="1500"/>
        <w:gridCol w:w="78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8"/>
              </w:rPr>
              <w:t>Milestone</w:t>
            </w:r>
          </w:p>
        </w:tc>
        <w:tc>
          <w:tcPr>
            <w:tcW w:type="dxa" w:w="7860"/>
            <w:shd w:fill="DCE6F1"/>
            <w:vAlign w:val="center"/>
            <w:tcMar>
              <w:top w:w="80" w:type="dxa"/>
              <w:start w:w="100" w:type="dxa"/>
              <w:bottom w:w="80" w:type="dxa"/>
              <w:end w:w="100" w:type="dxa"/>
            </w:tcMar>
          </w:tcPr>
          <w:p>
            <w:pPr>
              <w:jc w:val="center"/>
            </w:pPr>
            <w:r>
              <w:rPr>
                <w:rFonts w:ascii="Times New Roman" w:hAnsi="Times New Roman"/>
                <w:b/>
                <w:color w:val="1F2937"/>
                <w:sz w:val="18"/>
              </w:rPr>
              <w:t>Evidence</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3</w:t>
            </w:r>
          </w:p>
        </w:tc>
        <w:tc>
          <w:tcPr>
            <w:tcW w:type="dxa" w:w="7860"/>
            <w:vAlign w:val="center"/>
            <w:tcMar>
              <w:top w:w="80" w:type="dxa"/>
              <w:start w:w="100" w:type="dxa"/>
              <w:bottom w:w="80" w:type="dxa"/>
              <w:end w:w="100" w:type="dxa"/>
            </w:tcMar>
          </w:tcPr>
          <w:p>
            <w:pPr>
              <w:spacing w:after="0"/>
            </w:pPr>
            <w:r>
              <w:rPr>
                <w:rFonts w:ascii="Times New Roman" w:hAnsi="Times New Roman"/>
                <w:sz w:val="18"/>
              </w:rPr>
              <w:t>Team confirmed; contacts shared</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4</w:t>
            </w:r>
          </w:p>
        </w:tc>
        <w:tc>
          <w:tcPr>
            <w:tcW w:type="dxa" w:w="7860"/>
            <w:vAlign w:val="center"/>
            <w:tcMar>
              <w:top w:w="80" w:type="dxa"/>
              <w:start w:w="100" w:type="dxa"/>
              <w:bottom w:w="80" w:type="dxa"/>
              <w:end w:w="100" w:type="dxa"/>
            </w:tcMar>
          </w:tcPr>
          <w:p>
            <w:pPr>
              <w:spacing w:after="0"/>
            </w:pPr>
            <w:r>
              <w:rPr>
                <w:rFonts w:ascii="Times New Roman" w:hAnsi="Times New Roman"/>
                <w:sz w:val="18"/>
              </w:rPr>
              <w:t>Case understanding, HR perspective, functionality plan</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7</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ER model and decisions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8 Fri</w:t>
            </w:r>
          </w:p>
        </w:tc>
        <w:tc>
          <w:tcPr>
            <w:tcW w:type="dxa" w:w="7860"/>
            <w:vAlign w:val="center"/>
            <w:tcMar>
              <w:top w:w="80" w:type="dxa"/>
              <w:start w:w="100" w:type="dxa"/>
              <w:bottom w:w="80" w:type="dxa"/>
              <w:end w:w="100" w:type="dxa"/>
            </w:tcMar>
          </w:tcPr>
          <w:p>
            <w:pPr>
              <w:spacing w:after="0"/>
            </w:pPr>
            <w:r>
              <w:rPr>
                <w:rFonts w:ascii="Times New Roman" w:hAnsi="Times New Roman"/>
                <w:sz w:val="18"/>
              </w:rPr>
              <w:t>Iteration Tasks 1–7</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10</w:t>
            </w:r>
          </w:p>
        </w:tc>
        <w:tc>
          <w:tcPr>
            <w:tcW w:type="dxa" w:w="7860"/>
            <w:vAlign w:val="center"/>
            <w:tcMar>
              <w:top w:w="80" w:type="dxa"/>
              <w:start w:w="100" w:type="dxa"/>
              <w:bottom w:w="80" w:type="dxa"/>
              <w:end w:w="100" w:type="dxa"/>
            </w:tcMar>
          </w:tcPr>
          <w:p>
            <w:pPr>
              <w:spacing w:after="0"/>
            </w:pPr>
            <w:r>
              <w:rPr>
                <w:rFonts w:ascii="Times New Roman" w:hAnsi="Times New Roman"/>
                <w:sz w:val="18"/>
              </w:rPr>
              <w:t>Normalisation, cleaning plan, business rules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11</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queries and assigned scenario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12</w:t>
            </w:r>
          </w:p>
        </w:tc>
        <w:tc>
          <w:tcPr>
            <w:tcW w:type="dxa" w:w="7860"/>
            <w:vAlign w:val="center"/>
            <w:tcMar>
              <w:top w:w="80" w:type="dxa"/>
              <w:start w:w="100" w:type="dxa"/>
              <w:bottom w:w="80" w:type="dxa"/>
              <w:end w:w="100" w:type="dxa"/>
            </w:tcMar>
          </w:tcPr>
          <w:p>
            <w:pPr>
              <w:spacing w:after="0"/>
            </w:pPr>
            <w:r>
              <w:rPr>
                <w:rFonts w:ascii="Times New Roman" w:hAnsi="Times New Roman"/>
                <w:sz w:val="18"/>
              </w:rPr>
              <w:t>Report, SQL and video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13+1</w:t>
            </w:r>
          </w:p>
        </w:tc>
        <w:tc>
          <w:tcPr>
            <w:tcW w:type="dxa" w:w="7860"/>
            <w:vAlign w:val="center"/>
            <w:tcMar>
              <w:top w:w="80" w:type="dxa"/>
              <w:start w:w="100" w:type="dxa"/>
              <w:bottom w:w="80" w:type="dxa"/>
              <w:end w:w="100" w:type="dxa"/>
            </w:tcMar>
          </w:tcPr>
          <w:p>
            <w:pPr>
              <w:spacing w:after="0"/>
            </w:pPr>
            <w:r>
              <w:rPr>
                <w:rFonts w:ascii="Times New Roman" w:hAnsi="Times New Roman"/>
                <w:sz w:val="18"/>
              </w:rPr>
              <w:t>Buddycheck</w:t>
            </w:r>
          </w:p>
        </w:tc>
      </w:tr>
    </w:tbl>
    <w:p>
      <w:pPr>
        <w:spacing w:after="0"/>
      </w:pPr>
    </w:p>
    <w:p>
      <w:r>
        <w:br w:type="page"/>
      </w: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and source. All customers share identifiers, email, phone, address and order behaviour. Individuals require names/date of birth while businesses require company name, ABN, type and contact names (Wine Company Case, pp. 4–5, “Customers”).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Selected design, justification, trade-off and ER traceability. customer is the supertype and individualcustomer/businesscustomer are subtypes. The structure avoids duplicated common attributes and inapplicable NULLs, supports 3NF and gives every order one enforceable customer FK. Type-specific controls improve data quality and reduce accidental exposure of date of birth. The trade-off is an extra join. The ER traces one customer to exactly one subtype and to dated contact associations.</w:t>
      </w:r>
    </w:p>
    <w:p>
      <w:pPr>
        <w:pStyle w:val="Heading2"/>
      </w:pPr>
      <w:r>
        <w:t>Decision 2 — Separate an address from its time-dependent use</w:t>
      </w:r>
    </w:p>
    <w:p>
      <w:pPr>
        <w:widowControl/>
      </w:pPr>
      <w:r>
        <w:rPr>
          <w:rFonts w:ascii="Times New Roman" w:hAnsi="Times New Roman"/>
          <w:i w:val="0"/>
          <w:sz w:val="24"/>
        </w:rPr>
        <w:t>Challenge and source. Employee role, supervisor, address and phone history must be retained; customer delivery uses the current physical address; supplier contact details support procurement (Wine Company Case, pp. 1, 3–5).</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Selected design, justification, trade-off and ER traceability. A shared address plus typed employeeaddress, customeraddress and supplieraddress associations provide enforceable FKs and preserve validity periods without overwriting. phone is similarly reused by dated owner-specific associations. A shipment retains its address key. More joins and overlap controls are required, but temporal accuracy, controlled updates and extensibility outweigh the performance cost at course scale. The ER traces each owner to contact history and the shipment to the actual address used.</w:t>
      </w:r>
    </w:p>
    <w:p>
      <w:pPr>
        <w:pStyle w:val="Heading2"/>
      </w:pPr>
      <w:r>
        <w:t>Decision 3 — Separate training definition, delivery and attendance</w:t>
      </w:r>
    </w:p>
    <w:p>
      <w:pPr>
        <w:widowControl/>
      </w:pPr>
      <w:r>
        <w:rPr>
          <w:rFonts w:ascii="Times New Roman" w:hAnsi="Times New Roman"/>
          <w:i w:val="0"/>
          <w:sz w:val="24"/>
        </w:rPr>
        <w:t>Challenge and source. The HR perspective requires course, provider, completion, renewal and competency data and annual coverage by operational area (BISM2207 Assessment Specification, p. 2, “Human Resources”).</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Selected design, justification, trade-off and ER traceability. trainingcourse, trainingsession and trainingattendance separate definition, delivery and outcome. This removes update anomalies, validates attendance controls and supports repeated/company-wide delivery. Two indexed joins are the accepted OLTP/reporting trade-off. The ER traces course 1:M session and session M:N employee through attendance.</w:t>
      </w:r>
    </w:p>
    <w:p>
      <w:pPr>
        <w:pStyle w:val="Heading2"/>
      </w:pPr>
      <w:r>
        <w:t>Decision 4 — Model incidents and involved employees as many-to-many</w:t>
      </w:r>
    </w:p>
    <w:p>
      <w:pPr>
        <w:widowControl/>
      </w:pPr>
      <w:r>
        <w:rPr>
          <w:rFonts w:ascii="Times New Roman" w:hAnsi="Times New Roman"/>
          <w:i w:val="0"/>
          <w:sz w:val="24"/>
        </w:rPr>
        <w:t>Challenge and source. A workplace event may involve several affected employees, witnesses or reporters; the HR perspective requires incident type, severity, corrective action and lost time (BISM2207 Assessment Specification, p. 2).</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Selected design, justification, trade-off and ER traceability. incident stores the event once and incidentemployee records people and involvement roles; correctiveaction depends on the incident. This prevents contradictory copies, permits privacy-aware person/area analysis and avoids duplicate incident-rate numerators. The associative table is additional complexity but correctly represents cardinality. The ER traces incident M:N employee and incident 1:M corrective action.</w:t>
      </w:r>
    </w:p>
    <w:p>
      <w:pPr>
        <w:pStyle w:val="Heading1"/>
      </w:pPr>
      <w:r>
        <w:t>Task 3 — Database Functionality and Business Rules</w:t>
      </w:r>
    </w:p>
    <w:tbl>
      <w:tblPr>
        <w:tblStyle w:val="TableGrid"/>
        <w:tblW w:type="dxa" w:w="9360"/>
        <w:tblLayout w:type="fixed"/>
        <w:tblLook w:firstColumn="1" w:firstRow="1" w:lastColumn="0" w:lastRow="0" w:noHBand="0" w:noVBand="1" w:val="04A0"/>
        <w:tblInd w:w="120" w:type="dxa"/>
      </w:tblPr>
      <w:tblGrid>
        <w:gridCol w:w="1300"/>
        <w:gridCol w:w="1700"/>
        <w:gridCol w:w="1900"/>
        <w:gridCol w:w="2200"/>
        <w:gridCol w:w="2260"/>
      </w:tblGrid>
      <w:tr>
        <w:trPr>
          <w:tblHeader w:val="true"/>
        </w:trPr>
        <w:tc>
          <w:tcPr>
            <w:tcW w:type="dxa" w:w="1300"/>
            <w:shd w:fill="DCE6F1"/>
            <w:vAlign w:val="center"/>
            <w:tcMar>
              <w:top w:w="80" w:type="dxa"/>
              <w:start w:w="100" w:type="dxa"/>
              <w:bottom w:w="80" w:type="dxa"/>
              <w:end w:w="100" w:type="dxa"/>
            </w:tcMar>
          </w:tcPr>
          <w:p>
            <w:pPr>
              <w:jc w:val="center"/>
            </w:pPr>
            <w:r>
              <w:rPr>
                <w:rFonts w:ascii="Times New Roman" w:hAnsi="Times New Roman"/>
                <w:b/>
                <w:color w:val="1F2937"/>
                <w:sz w:val="14"/>
              </w:rPr>
              <w:t>Stakeholder</w:t>
            </w:r>
          </w:p>
        </w:tc>
        <w:tc>
          <w:tcPr>
            <w:tcW w:type="dxa" w:w="1700"/>
            <w:shd w:fill="DCE6F1"/>
            <w:vAlign w:val="center"/>
            <w:tcMar>
              <w:top w:w="80" w:type="dxa"/>
              <w:start w:w="100" w:type="dxa"/>
              <w:bottom w:w="80" w:type="dxa"/>
              <w:end w:w="100" w:type="dxa"/>
            </w:tcMar>
          </w:tcPr>
          <w:p>
            <w:pPr>
              <w:jc w:val="center"/>
            </w:pPr>
            <w:r>
              <w:rPr>
                <w:rFonts w:ascii="Times New Roman" w:hAnsi="Times New Roman"/>
                <w:b/>
                <w:color w:val="1F2937"/>
                <w:sz w:val="14"/>
              </w:rPr>
              <w:t>Need / Risk</w:t>
            </w:r>
          </w:p>
        </w:tc>
        <w:tc>
          <w:tcPr>
            <w:tcW w:type="dxa" w:w="1900"/>
            <w:shd w:fill="DCE6F1"/>
            <w:vAlign w:val="center"/>
            <w:tcMar>
              <w:top w:w="80" w:type="dxa"/>
              <w:start w:w="100" w:type="dxa"/>
              <w:bottom w:w="80" w:type="dxa"/>
              <w:end w:w="100" w:type="dxa"/>
            </w:tcMar>
          </w:tcPr>
          <w:p>
            <w:pPr>
              <w:jc w:val="center"/>
            </w:pPr>
            <w:r>
              <w:rPr>
                <w:rFonts w:ascii="Times New Roman" w:hAnsi="Times New Roman"/>
                <w:b/>
                <w:color w:val="1F2937"/>
                <w:sz w:val="14"/>
              </w:rPr>
              <w:t>Database Requirement</w:t>
            </w:r>
          </w:p>
        </w:tc>
        <w:tc>
          <w:tcPr>
            <w:tcW w:type="dxa" w:w="2200"/>
            <w:shd w:fill="DCE6F1"/>
            <w:vAlign w:val="center"/>
            <w:tcMar>
              <w:top w:w="80" w:type="dxa"/>
              <w:start w:w="100" w:type="dxa"/>
              <w:bottom w:w="80" w:type="dxa"/>
              <w:end w:w="100" w:type="dxa"/>
            </w:tcMar>
          </w:tcPr>
          <w:p>
            <w:pPr>
              <w:jc w:val="center"/>
            </w:pPr>
            <w:r>
              <w:rPr>
                <w:rFonts w:ascii="Times New Roman" w:hAnsi="Times New Roman"/>
                <w:b/>
                <w:color w:val="1F2937"/>
                <w:sz w:val="14"/>
              </w:rPr>
              <w:t>Design Response</w:t>
            </w:r>
          </w:p>
        </w:tc>
        <w:tc>
          <w:tcPr>
            <w:tcW w:type="dxa" w:w="2260"/>
            <w:shd w:fill="DCE6F1"/>
            <w:vAlign w:val="center"/>
            <w:tcMar>
              <w:top w:w="80" w:type="dxa"/>
              <w:start w:w="100" w:type="dxa"/>
              <w:bottom w:w="80" w:type="dxa"/>
              <w:end w:w="100" w:type="dxa"/>
            </w:tcMar>
          </w:tcPr>
          <w:p>
            <w:pPr>
              <w:jc w:val="center"/>
            </w:pPr>
            <w:r>
              <w:rPr>
                <w:rFonts w:ascii="Times New Roman" w:hAnsi="Times New Roman"/>
                <w:b/>
                <w:color w:val="1F2937"/>
                <w:sz w:val="14"/>
              </w:rPr>
              <w:t>Priority / Trade-off</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Owners / management</w:t>
            </w:r>
          </w:p>
        </w:tc>
        <w:tc>
          <w:tcPr>
            <w:tcW w:type="dxa" w:w="1700"/>
            <w:vAlign w:val="center"/>
            <w:tcMar>
              <w:top w:w="80" w:type="dxa"/>
              <w:start w:w="100" w:type="dxa"/>
              <w:bottom w:w="80" w:type="dxa"/>
              <w:end w:w="100" w:type="dxa"/>
            </w:tcMar>
          </w:tcPr>
          <w:p>
            <w:pPr>
              <w:spacing w:after="0"/>
            </w:pPr>
            <w:r>
              <w:rPr>
                <w:rFonts w:ascii="Times New Roman" w:hAnsi="Times New Roman"/>
                <w:sz w:val="14"/>
              </w:rPr>
              <w:t>Reliable compliance data</w:t>
            </w:r>
          </w:p>
        </w:tc>
        <w:tc>
          <w:tcPr>
            <w:tcW w:type="dxa" w:w="1900"/>
            <w:vAlign w:val="center"/>
            <w:tcMar>
              <w:top w:w="80" w:type="dxa"/>
              <w:start w:w="100" w:type="dxa"/>
              <w:bottom w:w="80" w:type="dxa"/>
              <w:end w:w="100" w:type="dxa"/>
            </w:tcMar>
          </w:tcPr>
          <w:p>
            <w:pPr>
              <w:spacing w:after="0"/>
            </w:pPr>
            <w:r>
              <w:rPr>
                <w:rFonts w:ascii="Times New Roman" w:hAnsi="Times New Roman"/>
                <w:sz w:val="14"/>
              </w:rPr>
              <w:t>Integrated history and decision queries</w:t>
            </w:r>
          </w:p>
        </w:tc>
        <w:tc>
          <w:tcPr>
            <w:tcW w:type="dxa" w:w="2200"/>
            <w:vAlign w:val="center"/>
            <w:tcMar>
              <w:top w:w="80" w:type="dxa"/>
              <w:start w:w="100" w:type="dxa"/>
              <w:bottom w:w="80" w:type="dxa"/>
              <w:end w:w="100" w:type="dxa"/>
            </w:tcMar>
          </w:tcPr>
          <w:p>
            <w:pPr>
              <w:spacing w:after="0"/>
            </w:pPr>
            <w:r>
              <w:rPr>
                <w:rFonts w:ascii="Times New Roman" w:hAnsi="Times New Roman"/>
                <w:sz w:val="14"/>
              </w:rPr>
              <w:t>Normalised schema and six queries</w:t>
            </w:r>
          </w:p>
        </w:tc>
        <w:tc>
          <w:tcPr>
            <w:tcW w:type="dxa" w:w="2260"/>
            <w:vAlign w:val="center"/>
            <w:tcMar>
              <w:top w:w="80" w:type="dxa"/>
              <w:start w:w="100" w:type="dxa"/>
              <w:bottom w:w="80" w:type="dxa"/>
              <w:end w:w="100" w:type="dxa"/>
            </w:tcMar>
          </w:tcPr>
          <w:p>
            <w:pPr>
              <w:spacing w:after="0"/>
            </w:pPr>
            <w:r>
              <w:rPr>
                <w:rFonts w:ascii="Times New Roman" w:hAnsi="Times New Roman"/>
                <w:sz w:val="14"/>
              </w:rPr>
              <w:t>Reporting convenience vs integrity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HR manager</w:t>
            </w:r>
          </w:p>
        </w:tc>
        <w:tc>
          <w:tcPr>
            <w:tcW w:type="dxa" w:w="1700"/>
            <w:vAlign w:val="center"/>
            <w:tcMar>
              <w:top w:w="80" w:type="dxa"/>
              <w:start w:w="100" w:type="dxa"/>
              <w:bottom w:w="80" w:type="dxa"/>
              <w:end w:w="100" w:type="dxa"/>
            </w:tcMar>
          </w:tcPr>
          <w:p>
            <w:pPr>
              <w:spacing w:after="0"/>
            </w:pPr>
            <w:r>
              <w:rPr>
                <w:rFonts w:ascii="Times New Roman" w:hAnsi="Times New Roman"/>
                <w:sz w:val="14"/>
              </w:rPr>
              <w:t>Accurate private HR records</w:t>
            </w:r>
          </w:p>
        </w:tc>
        <w:tc>
          <w:tcPr>
            <w:tcW w:type="dxa" w:w="1900"/>
            <w:vAlign w:val="center"/>
            <w:tcMar>
              <w:top w:w="80" w:type="dxa"/>
              <w:start w:w="100" w:type="dxa"/>
              <w:bottom w:w="80" w:type="dxa"/>
              <w:end w:w="100" w:type="dxa"/>
            </w:tcMar>
          </w:tcPr>
          <w:p>
            <w:pPr>
              <w:spacing w:after="0"/>
            </w:pPr>
            <w:r>
              <w:rPr>
                <w:rFonts w:ascii="Times New Roman" w:hAnsi="Times New Roman"/>
                <w:sz w:val="14"/>
              </w:rPr>
              <w:t>Temporal roles/classifications</w:t>
            </w:r>
          </w:p>
        </w:tc>
        <w:tc>
          <w:tcPr>
            <w:tcW w:type="dxa" w:w="2200"/>
            <w:vAlign w:val="center"/>
            <w:tcMar>
              <w:top w:w="80" w:type="dxa"/>
              <w:start w:w="100" w:type="dxa"/>
              <w:bottom w:w="80" w:type="dxa"/>
              <w:end w:w="100" w:type="dxa"/>
            </w:tcMar>
          </w:tcPr>
          <w:p>
            <w:pPr>
              <w:spacing w:after="0"/>
            </w:pPr>
            <w:r>
              <w:rPr>
                <w:rFonts w:ascii="Times New Roman" w:hAnsi="Times New Roman"/>
                <w:sz w:val="14"/>
              </w:rPr>
              <w:t>Dated HR tables; restricted notes</w:t>
            </w:r>
          </w:p>
        </w:tc>
        <w:tc>
          <w:tcPr>
            <w:tcW w:type="dxa" w:w="2260"/>
            <w:vAlign w:val="center"/>
            <w:tcMar>
              <w:top w:w="80" w:type="dxa"/>
              <w:start w:w="100" w:type="dxa"/>
              <w:bottom w:w="80" w:type="dxa"/>
              <w:end w:w="100" w:type="dxa"/>
            </w:tcMar>
          </w:tcPr>
          <w:p>
            <w:pPr>
              <w:spacing w:after="0"/>
            </w:pPr>
            <w:r>
              <w:rPr>
                <w:rFonts w:ascii="Times New Roman" w:hAnsi="Times New Roman"/>
                <w:sz w:val="14"/>
              </w:rPr>
              <w:t>Privacy first</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Supervisors</w:t>
            </w:r>
          </w:p>
        </w:tc>
        <w:tc>
          <w:tcPr>
            <w:tcW w:type="dxa" w:w="1700"/>
            <w:vAlign w:val="center"/>
            <w:tcMar>
              <w:top w:w="80" w:type="dxa"/>
              <w:start w:w="100" w:type="dxa"/>
              <w:bottom w:w="80" w:type="dxa"/>
              <w:end w:w="100" w:type="dxa"/>
            </w:tcMar>
          </w:tcPr>
          <w:p>
            <w:pPr>
              <w:spacing w:after="0"/>
            </w:pPr>
            <w:r>
              <w:rPr>
                <w:rFonts w:ascii="Times New Roman" w:hAnsi="Times New Roman"/>
                <w:sz w:val="14"/>
              </w:rPr>
              <w:t>Current teams and workload</w:t>
            </w:r>
          </w:p>
        </w:tc>
        <w:tc>
          <w:tcPr>
            <w:tcW w:type="dxa" w:w="1900"/>
            <w:vAlign w:val="center"/>
            <w:tcMar>
              <w:top w:w="80" w:type="dxa"/>
              <w:start w:w="100" w:type="dxa"/>
              <w:bottom w:w="80" w:type="dxa"/>
              <w:end w:w="100" w:type="dxa"/>
            </w:tcMar>
          </w:tcPr>
          <w:p>
            <w:pPr>
              <w:spacing w:after="0"/>
            </w:pPr>
            <w:r>
              <w:rPr>
                <w:rFonts w:ascii="Times New Roman" w:hAnsi="Times New Roman"/>
                <w:sz w:val="14"/>
              </w:rPr>
              <w:t>One supervisor at a time</w:t>
            </w:r>
          </w:p>
        </w:tc>
        <w:tc>
          <w:tcPr>
            <w:tcW w:type="dxa" w:w="2200"/>
            <w:vAlign w:val="center"/>
            <w:tcMar>
              <w:top w:w="80" w:type="dxa"/>
              <w:start w:w="100" w:type="dxa"/>
              <w:bottom w:w="80" w:type="dxa"/>
              <w:end w:w="100" w:type="dxa"/>
            </w:tcMar>
          </w:tcPr>
          <w:p>
            <w:pPr>
              <w:spacing w:after="0"/>
            </w:pPr>
            <w:r>
              <w:rPr>
                <w:rFonts w:ascii="Times New Roman" w:hAnsi="Times New Roman"/>
                <w:sz w:val="14"/>
              </w:rPr>
              <w:t>Overlap trigger</w:t>
            </w:r>
          </w:p>
        </w:tc>
        <w:tc>
          <w:tcPr>
            <w:tcW w:type="dxa" w:w="2260"/>
            <w:vAlign w:val="center"/>
            <w:tcMar>
              <w:top w:w="80" w:type="dxa"/>
              <w:start w:w="100" w:type="dxa"/>
              <w:bottom w:w="80" w:type="dxa"/>
              <w:end w:w="100" w:type="dxa"/>
            </w:tcMar>
          </w:tcPr>
          <w:p>
            <w:pPr>
              <w:spacing w:after="0"/>
            </w:pPr>
            <w:r>
              <w:rPr>
                <w:rFonts w:ascii="Times New Roman" w:hAnsi="Times New Roman"/>
                <w:sz w:val="14"/>
              </w:rPr>
              <w:t>Integrity first</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Permanent employees</w:t>
            </w:r>
          </w:p>
        </w:tc>
        <w:tc>
          <w:tcPr>
            <w:tcW w:type="dxa" w:w="1700"/>
            <w:vAlign w:val="center"/>
            <w:tcMar>
              <w:top w:w="80" w:type="dxa"/>
              <w:start w:w="100" w:type="dxa"/>
              <w:bottom w:w="80" w:type="dxa"/>
              <w:end w:w="100" w:type="dxa"/>
            </w:tcMar>
          </w:tcPr>
          <w:p>
            <w:pPr>
              <w:spacing w:after="0"/>
            </w:pPr>
            <w:r>
              <w:rPr>
                <w:rFonts w:ascii="Times New Roman" w:hAnsi="Times New Roman"/>
                <w:sz w:val="14"/>
              </w:rPr>
              <w:t>Correct history</w:t>
            </w:r>
          </w:p>
        </w:tc>
        <w:tc>
          <w:tcPr>
            <w:tcW w:type="dxa" w:w="1900"/>
            <w:vAlign w:val="center"/>
            <w:tcMar>
              <w:top w:w="80" w:type="dxa"/>
              <w:start w:w="100" w:type="dxa"/>
              <w:bottom w:w="80" w:type="dxa"/>
              <w:end w:w="100" w:type="dxa"/>
            </w:tcMar>
          </w:tcPr>
          <w:p>
            <w:pPr>
              <w:spacing w:after="0"/>
            </w:pPr>
            <w:r>
              <w:rPr>
                <w:rFonts w:ascii="Times New Roman" w:hAnsi="Times New Roman"/>
                <w:sz w:val="14"/>
              </w:rPr>
              <w:t>Current and historical contacts</w:t>
            </w:r>
          </w:p>
        </w:tc>
        <w:tc>
          <w:tcPr>
            <w:tcW w:type="dxa" w:w="2200"/>
            <w:vAlign w:val="center"/>
            <w:tcMar>
              <w:top w:w="80" w:type="dxa"/>
              <w:start w:w="100" w:type="dxa"/>
              <w:bottom w:w="80" w:type="dxa"/>
              <w:end w:w="100" w:type="dxa"/>
            </w:tcMar>
          </w:tcPr>
          <w:p>
            <w:pPr>
              <w:spacing w:after="0"/>
            </w:pPr>
            <w:r>
              <w:rPr>
                <w:rFonts w:ascii="Times New Roman" w:hAnsi="Times New Roman"/>
                <w:sz w:val="14"/>
              </w:rPr>
              <w:t>Dated associations</w:t>
            </w:r>
          </w:p>
        </w:tc>
        <w:tc>
          <w:tcPr>
            <w:tcW w:type="dxa" w:w="2260"/>
            <w:vAlign w:val="center"/>
            <w:tcMar>
              <w:top w:w="80" w:type="dxa"/>
              <w:start w:w="100" w:type="dxa"/>
              <w:bottom w:w="80" w:type="dxa"/>
              <w:end w:w="100" w:type="dxa"/>
            </w:tcMar>
          </w:tcPr>
          <w:p>
            <w:pPr>
              <w:spacing w:after="0"/>
            </w:pPr>
            <w:r>
              <w:rPr>
                <w:rFonts w:ascii="Times New Roman" w:hAnsi="Times New Roman"/>
                <w:sz w:val="14"/>
              </w:rPr>
              <w:t>High</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Casual / seasonal employees</w:t>
            </w:r>
          </w:p>
        </w:tc>
        <w:tc>
          <w:tcPr>
            <w:tcW w:type="dxa" w:w="1700"/>
            <w:vAlign w:val="center"/>
            <w:tcMar>
              <w:top w:w="80" w:type="dxa"/>
              <w:start w:w="100" w:type="dxa"/>
              <w:bottom w:w="80" w:type="dxa"/>
              <w:end w:w="100" w:type="dxa"/>
            </w:tcMar>
          </w:tcPr>
          <w:p>
            <w:pPr>
              <w:spacing w:after="0"/>
            </w:pPr>
            <w:r>
              <w:rPr>
                <w:rFonts w:ascii="Times New Roman" w:hAnsi="Times New Roman"/>
                <w:sz w:val="14"/>
              </w:rPr>
              <w:t>Correct seasonal status</w:t>
            </w:r>
          </w:p>
        </w:tc>
        <w:tc>
          <w:tcPr>
            <w:tcW w:type="dxa" w:w="1900"/>
            <w:vAlign w:val="center"/>
            <w:tcMar>
              <w:top w:w="80" w:type="dxa"/>
              <w:start w:w="100" w:type="dxa"/>
              <w:bottom w:w="80" w:type="dxa"/>
              <w:end w:w="100" w:type="dxa"/>
            </w:tcMar>
          </w:tcPr>
          <w:p>
            <w:pPr>
              <w:spacing w:after="0"/>
            </w:pPr>
            <w:r>
              <w:rPr>
                <w:rFonts w:ascii="Times New Roman" w:hAnsi="Times New Roman"/>
                <w:sz w:val="14"/>
              </w:rPr>
              <w:t>CASUAL + SEASONAL dimensions</w:t>
            </w:r>
          </w:p>
        </w:tc>
        <w:tc>
          <w:tcPr>
            <w:tcW w:type="dxa" w:w="2200"/>
            <w:vAlign w:val="center"/>
            <w:tcMar>
              <w:top w:w="80" w:type="dxa"/>
              <w:start w:w="100" w:type="dxa"/>
              <w:bottom w:w="80" w:type="dxa"/>
              <w:end w:w="100" w:type="dxa"/>
            </w:tcMar>
          </w:tcPr>
          <w:p>
            <w:pPr>
              <w:spacing w:after="0"/>
            </w:pPr>
            <w:r>
              <w:rPr>
                <w:rFonts w:ascii="Times New Roman" w:hAnsi="Times New Roman"/>
                <w:sz w:val="14"/>
              </w:rPr>
              <w:t>Separate type/pattern</w:t>
            </w:r>
          </w:p>
        </w:tc>
        <w:tc>
          <w:tcPr>
            <w:tcW w:type="dxa" w:w="2260"/>
            <w:vAlign w:val="center"/>
            <w:tcMar>
              <w:top w:w="80" w:type="dxa"/>
              <w:start w:w="100" w:type="dxa"/>
              <w:bottom w:w="80" w:type="dxa"/>
              <w:end w:w="100" w:type="dxa"/>
            </w:tcMar>
          </w:tcPr>
          <w:p>
            <w:pPr>
              <w:spacing w:after="0"/>
            </w:pPr>
            <w:r>
              <w:rPr>
                <w:rFonts w:ascii="Times New Roman" w:hAnsi="Times New Roman"/>
                <w:sz w:val="14"/>
              </w:rPr>
              <w:t>Avoid conflation</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Safety / compliance</w:t>
            </w:r>
          </w:p>
        </w:tc>
        <w:tc>
          <w:tcPr>
            <w:tcW w:type="dxa" w:w="1700"/>
            <w:vAlign w:val="center"/>
            <w:tcMar>
              <w:top w:w="80" w:type="dxa"/>
              <w:start w:w="100" w:type="dxa"/>
              <w:bottom w:w="80" w:type="dxa"/>
              <w:end w:w="100" w:type="dxa"/>
            </w:tcMar>
          </w:tcPr>
          <w:p>
            <w:pPr>
              <w:spacing w:after="0"/>
            </w:pPr>
            <w:r>
              <w:rPr>
                <w:rFonts w:ascii="Times New Roman" w:hAnsi="Times New Roman"/>
                <w:sz w:val="14"/>
              </w:rPr>
              <w:t>Multi-person/near-miss evidence</w:t>
            </w:r>
          </w:p>
        </w:tc>
        <w:tc>
          <w:tcPr>
            <w:tcW w:type="dxa" w:w="1900"/>
            <w:vAlign w:val="center"/>
            <w:tcMar>
              <w:top w:w="80" w:type="dxa"/>
              <w:start w:w="100" w:type="dxa"/>
              <w:bottom w:w="80" w:type="dxa"/>
              <w:end w:w="100" w:type="dxa"/>
            </w:tcMar>
          </w:tcPr>
          <w:p>
            <w:pPr>
              <w:spacing w:after="0"/>
            </w:pPr>
            <w:r>
              <w:rPr>
                <w:rFonts w:ascii="Times New Roman" w:hAnsi="Times New Roman"/>
                <w:sz w:val="14"/>
              </w:rPr>
              <w:t>Roles and zero lost hours</w:t>
            </w:r>
          </w:p>
        </w:tc>
        <w:tc>
          <w:tcPr>
            <w:tcW w:type="dxa" w:w="2200"/>
            <w:vAlign w:val="center"/>
            <w:tcMar>
              <w:top w:w="80" w:type="dxa"/>
              <w:start w:w="100" w:type="dxa"/>
              <w:bottom w:w="80" w:type="dxa"/>
              <w:end w:w="100" w:type="dxa"/>
            </w:tcMar>
          </w:tcPr>
          <w:p>
            <w:pPr>
              <w:spacing w:after="0"/>
            </w:pPr>
            <w:r>
              <w:rPr>
                <w:rFonts w:ascii="Times New Roman" w:hAnsi="Times New Roman"/>
                <w:sz w:val="14"/>
              </w:rPr>
              <w:t>Incident association</w:t>
            </w:r>
          </w:p>
        </w:tc>
        <w:tc>
          <w:tcPr>
            <w:tcW w:type="dxa" w:w="2260"/>
            <w:vAlign w:val="center"/>
            <w:tcMar>
              <w:top w:w="80" w:type="dxa"/>
              <w:start w:w="100" w:type="dxa"/>
              <w:bottom w:w="80" w:type="dxa"/>
              <w:end w:w="100" w:type="dxa"/>
            </w:tcMar>
          </w:tcPr>
          <w:p>
            <w:pPr>
              <w:spacing w:after="0"/>
            </w:pPr>
            <w:r>
              <w:rPr>
                <w:rFonts w:ascii="Times New Roman" w:hAnsi="Times New Roman"/>
                <w:sz w:val="14"/>
              </w:rPr>
              <w:t>Evidence accuracy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Customers</w:t>
            </w:r>
          </w:p>
        </w:tc>
        <w:tc>
          <w:tcPr>
            <w:tcW w:type="dxa" w:w="1700"/>
            <w:vAlign w:val="center"/>
            <w:tcMar>
              <w:top w:w="80" w:type="dxa"/>
              <w:start w:w="100" w:type="dxa"/>
              <w:bottom w:w="80" w:type="dxa"/>
              <w:end w:w="100" w:type="dxa"/>
            </w:tcMar>
          </w:tcPr>
          <w:p>
            <w:pPr>
              <w:spacing w:after="0"/>
            </w:pPr>
            <w:r>
              <w:rPr>
                <w:rFonts w:ascii="Times New Roman" w:hAnsi="Times New Roman"/>
                <w:sz w:val="14"/>
              </w:rPr>
              <w:t>Postal contact, physical delivery</w:t>
            </w:r>
          </w:p>
        </w:tc>
        <w:tc>
          <w:tcPr>
            <w:tcW w:type="dxa" w:w="1900"/>
            <w:vAlign w:val="center"/>
            <w:tcMar>
              <w:top w:w="80" w:type="dxa"/>
              <w:start w:w="100" w:type="dxa"/>
              <w:bottom w:w="80" w:type="dxa"/>
              <w:end w:w="100" w:type="dxa"/>
            </w:tcMar>
          </w:tcPr>
          <w:p>
            <w:pPr>
              <w:spacing w:after="0"/>
            </w:pPr>
            <w:r>
              <w:rPr>
                <w:rFonts w:ascii="Times New Roman" w:hAnsi="Times New Roman"/>
                <w:sz w:val="14"/>
              </w:rPr>
              <w:t>Multiple addresses</w:t>
            </w:r>
          </w:p>
        </w:tc>
        <w:tc>
          <w:tcPr>
            <w:tcW w:type="dxa" w:w="2200"/>
            <w:vAlign w:val="center"/>
            <w:tcMar>
              <w:top w:w="80" w:type="dxa"/>
              <w:start w:w="100" w:type="dxa"/>
              <w:bottom w:w="80" w:type="dxa"/>
              <w:end w:w="100" w:type="dxa"/>
            </w:tcMar>
          </w:tcPr>
          <w:p>
            <w:pPr>
              <w:spacing w:after="0"/>
            </w:pPr>
            <w:r>
              <w:rPr>
                <w:rFonts w:ascii="Times New Roman" w:hAnsi="Times New Roman"/>
                <w:sz w:val="14"/>
              </w:rPr>
              <w:t>Shipment trigger</w:t>
            </w:r>
          </w:p>
        </w:tc>
        <w:tc>
          <w:tcPr>
            <w:tcW w:type="dxa" w:w="2260"/>
            <w:vAlign w:val="center"/>
            <w:tcMar>
              <w:top w:w="80" w:type="dxa"/>
              <w:start w:w="100" w:type="dxa"/>
              <w:bottom w:w="80" w:type="dxa"/>
              <w:end w:w="100" w:type="dxa"/>
            </w:tcMar>
          </w:tcPr>
          <w:p>
            <w:pPr>
              <w:spacing w:after="0"/>
            </w:pPr>
            <w:r>
              <w:rPr>
                <w:rFonts w:ascii="Times New Roman" w:hAnsi="Times New Roman"/>
                <w:sz w:val="14"/>
              </w:rPr>
              <w:t>Delivery integrity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Suppliers</w:t>
            </w:r>
          </w:p>
        </w:tc>
        <w:tc>
          <w:tcPr>
            <w:tcW w:type="dxa" w:w="1700"/>
            <w:vAlign w:val="center"/>
            <w:tcMar>
              <w:top w:w="80" w:type="dxa"/>
              <w:start w:w="100" w:type="dxa"/>
              <w:bottom w:w="80" w:type="dxa"/>
              <w:end w:w="100" w:type="dxa"/>
            </w:tcMar>
          </w:tcPr>
          <w:p>
            <w:pPr>
              <w:spacing w:after="0"/>
            </w:pPr>
            <w:r>
              <w:rPr>
                <w:rFonts w:ascii="Times New Roman" w:hAnsi="Times New Roman"/>
                <w:sz w:val="14"/>
              </w:rPr>
              <w:t>Retained contact changes</w:t>
            </w:r>
          </w:p>
        </w:tc>
        <w:tc>
          <w:tcPr>
            <w:tcW w:type="dxa" w:w="1900"/>
            <w:vAlign w:val="center"/>
            <w:tcMar>
              <w:top w:w="80" w:type="dxa"/>
              <w:start w:w="100" w:type="dxa"/>
              <w:bottom w:w="80" w:type="dxa"/>
              <w:end w:w="100" w:type="dxa"/>
            </w:tcMar>
          </w:tcPr>
          <w:p>
            <w:pPr>
              <w:spacing w:after="0"/>
            </w:pPr>
            <w:r>
              <w:rPr>
                <w:rFonts w:ascii="Times New Roman" w:hAnsi="Times New Roman"/>
                <w:sz w:val="14"/>
              </w:rPr>
              <w:t>Temporal address/phone</w:t>
            </w:r>
          </w:p>
        </w:tc>
        <w:tc>
          <w:tcPr>
            <w:tcW w:type="dxa" w:w="2200"/>
            <w:vAlign w:val="center"/>
            <w:tcMar>
              <w:top w:w="80" w:type="dxa"/>
              <w:start w:w="100" w:type="dxa"/>
              <w:bottom w:w="80" w:type="dxa"/>
              <w:end w:w="100" w:type="dxa"/>
            </w:tcMar>
          </w:tcPr>
          <w:p>
            <w:pPr>
              <w:spacing w:after="0"/>
            </w:pPr>
            <w:r>
              <w:rPr>
                <w:rFonts w:ascii="Times New Roman" w:hAnsi="Times New Roman"/>
                <w:sz w:val="14"/>
              </w:rPr>
              <w:t>Supplier associations</w:t>
            </w:r>
          </w:p>
        </w:tc>
        <w:tc>
          <w:tcPr>
            <w:tcW w:type="dxa" w:w="2260"/>
            <w:vAlign w:val="center"/>
            <w:tcMar>
              <w:top w:w="80" w:type="dxa"/>
              <w:start w:w="100" w:type="dxa"/>
              <w:bottom w:w="80" w:type="dxa"/>
              <w:end w:w="100" w:type="dxa"/>
            </w:tcMar>
          </w:tcPr>
          <w:p>
            <w:pPr>
              <w:spacing w:after="0"/>
            </w:pPr>
            <w:r>
              <w:rPr>
                <w:rFonts w:ascii="Times New Roman" w:hAnsi="Times New Roman"/>
                <w:sz w:val="14"/>
              </w:rPr>
              <w:t>Extra joins accepted</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Reporting users</w:t>
            </w:r>
          </w:p>
        </w:tc>
        <w:tc>
          <w:tcPr>
            <w:tcW w:type="dxa" w:w="1700"/>
            <w:vAlign w:val="center"/>
            <w:tcMar>
              <w:top w:w="80" w:type="dxa"/>
              <w:start w:w="100" w:type="dxa"/>
              <w:bottom w:w="80" w:type="dxa"/>
              <w:end w:w="100" w:type="dxa"/>
            </w:tcMar>
          </w:tcPr>
          <w:p>
            <w:pPr>
              <w:spacing w:after="0"/>
            </w:pPr>
            <w:r>
              <w:rPr>
                <w:rFonts w:ascii="Times New Roman" w:hAnsi="Times New Roman"/>
                <w:sz w:val="14"/>
              </w:rPr>
              <w:t>Reproducible private metrics</w:t>
            </w:r>
          </w:p>
        </w:tc>
        <w:tc>
          <w:tcPr>
            <w:tcW w:type="dxa" w:w="1900"/>
            <w:vAlign w:val="center"/>
            <w:tcMar>
              <w:top w:w="80" w:type="dxa"/>
              <w:start w:w="100" w:type="dxa"/>
              <w:bottom w:w="80" w:type="dxa"/>
              <w:end w:w="100" w:type="dxa"/>
            </w:tcMar>
          </w:tcPr>
          <w:p>
            <w:pPr>
              <w:spacing w:after="0"/>
            </w:pPr>
            <w:r>
              <w:rPr>
                <w:rFonts w:ascii="Times New Roman" w:hAnsi="Times New Roman"/>
                <w:sz w:val="14"/>
              </w:rPr>
              <w:t>Aggregates and safeguards</w:t>
            </w:r>
          </w:p>
        </w:tc>
        <w:tc>
          <w:tcPr>
            <w:tcW w:type="dxa" w:w="2200"/>
            <w:vAlign w:val="center"/>
            <w:tcMar>
              <w:top w:w="80" w:type="dxa"/>
              <w:start w:w="100" w:type="dxa"/>
              <w:bottom w:w="80" w:type="dxa"/>
              <w:end w:w="100" w:type="dxa"/>
            </w:tcMar>
          </w:tcPr>
          <w:p>
            <w:pPr>
              <w:spacing w:after="0"/>
            </w:pPr>
            <w:r>
              <w:rPr>
                <w:rFonts w:ascii="Times New Roman" w:hAnsi="Times New Roman"/>
                <w:sz w:val="14"/>
              </w:rPr>
              <w:t>Defined query logic</w:t>
            </w:r>
          </w:p>
        </w:tc>
        <w:tc>
          <w:tcPr>
            <w:tcW w:type="dxa" w:w="2260"/>
            <w:vAlign w:val="center"/>
            <w:tcMar>
              <w:top w:w="80" w:type="dxa"/>
              <w:start w:w="100" w:type="dxa"/>
              <w:bottom w:w="80" w:type="dxa"/>
              <w:end w:w="100" w:type="dxa"/>
            </w:tcMar>
          </w:tcPr>
          <w:p>
            <w:pPr>
              <w:spacing w:after="0"/>
            </w:pPr>
            <w:r>
              <w:rPr>
                <w:rFonts w:ascii="Times New Roman" w:hAnsi="Times New Roman"/>
                <w:sz w:val="14"/>
              </w:rPr>
              <w:t>Accuracy/privacy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Community</w:t>
            </w:r>
          </w:p>
        </w:tc>
        <w:tc>
          <w:tcPr>
            <w:tcW w:type="dxa" w:w="1700"/>
            <w:vAlign w:val="center"/>
            <w:tcMar>
              <w:top w:w="80" w:type="dxa"/>
              <w:start w:w="100" w:type="dxa"/>
              <w:bottom w:w="80" w:type="dxa"/>
              <w:end w:w="100" w:type="dxa"/>
            </w:tcMar>
          </w:tcPr>
          <w:p>
            <w:pPr>
              <w:spacing w:after="0"/>
            </w:pPr>
            <w:r>
              <w:rPr>
                <w:rFonts w:ascii="Times New Roman" w:hAnsi="Times New Roman"/>
                <w:sz w:val="14"/>
              </w:rPr>
              <w:t>Safe responsible operations</w:t>
            </w:r>
          </w:p>
        </w:tc>
        <w:tc>
          <w:tcPr>
            <w:tcW w:type="dxa" w:w="1900"/>
            <w:vAlign w:val="center"/>
            <w:tcMar>
              <w:top w:w="80" w:type="dxa"/>
              <w:start w:w="100" w:type="dxa"/>
              <w:bottom w:w="80" w:type="dxa"/>
              <w:end w:w="100" w:type="dxa"/>
            </w:tcMar>
          </w:tcPr>
          <w:p>
            <w:pPr>
              <w:spacing w:after="0"/>
            </w:pPr>
            <w:r>
              <w:rPr>
                <w:rFonts w:ascii="Times New Roman" w:hAnsi="Times New Roman"/>
                <w:sz w:val="14"/>
              </w:rPr>
              <w:t>Auditable training/actions</w:t>
            </w:r>
          </w:p>
        </w:tc>
        <w:tc>
          <w:tcPr>
            <w:tcW w:type="dxa" w:w="2200"/>
            <w:vAlign w:val="center"/>
            <w:tcMar>
              <w:top w:w="80" w:type="dxa"/>
              <w:start w:w="100" w:type="dxa"/>
              <w:bottom w:w="80" w:type="dxa"/>
              <w:end w:w="100" w:type="dxa"/>
            </w:tcMar>
          </w:tcPr>
          <w:p>
            <w:pPr>
              <w:spacing w:after="0"/>
            </w:pPr>
            <w:r>
              <w:rPr>
                <w:rFonts w:ascii="Times New Roman" w:hAnsi="Times New Roman"/>
                <w:sz w:val="14"/>
              </w:rPr>
              <w:t>Traceable records</w:t>
            </w:r>
          </w:p>
        </w:tc>
        <w:tc>
          <w:tcPr>
            <w:tcW w:type="dxa" w:w="2260"/>
            <w:vAlign w:val="center"/>
            <w:tcMar>
              <w:top w:w="80" w:type="dxa"/>
              <w:start w:w="100" w:type="dxa"/>
              <w:bottom w:w="80" w:type="dxa"/>
              <w:end w:w="100" w:type="dxa"/>
            </w:tcMar>
          </w:tcPr>
          <w:p>
            <w:pPr>
              <w:spacing w:after="0"/>
            </w:pPr>
            <w:r>
              <w:rPr>
                <w:rFonts w:ascii="Times New Roman" w:hAnsi="Times New Roman"/>
                <w:sz w:val="14"/>
              </w:rPr>
              <w:t>Public value/privacy</w:t>
            </w:r>
          </w:p>
        </w:tc>
      </w:tr>
    </w:tbl>
    <w:p>
      <w:pPr>
        <w:spacing w:after="0"/>
      </w:pPr>
    </w:p>
    <w:p>
      <w:pPr>
        <w:pStyle w:val="Heading2"/>
      </w:pPr>
      <w:r>
        <w:t>3a. Functionality description</w:t>
      </w:r>
    </w:p>
    <w:p>
      <w:pPr>
        <w:widowControl/>
      </w:pPr>
      <w:r>
        <w:rPr>
          <w:rFonts w:ascii="Times New Roman" w:hAnsi="Times New Roman"/>
          <w:i w:val="0"/>
          <w:sz w:val="24"/>
        </w:rPr>
        <w:t>Cloudrest Wines needs a transactional database because spreadsheet and document records no longer scale to business growth, biosecurity reporting and sustainability evidence (Wine Company Case, p. 1). The MySQL system integrates personnel, vineyard plantings, harvests, wines, bottles, suppliers, customers and orders. The selected HR perspective adds qualifications, training, shifts, labour hours, incidents, corrective actions and confidential wellbeing check-ins (BISM2207 Assessment Specification, p. 2). It supports annual safety/sustainability training coverage and incident rates per 1,000 labour hours.</w:t>
      </w:r>
    </w:p>
    <w:p>
      <w:pPr>
        <w:widowControl/>
      </w:pPr>
      <w:r>
        <w:rPr>
          <w:rFonts w:ascii="Times New Roman" w:hAnsi="Times New Roman"/>
          <w:i w:val="0"/>
          <w:sz w:val="24"/>
        </w:rPr>
        <w:t>The design targets 3NF and OLTP use. Repeating phones and addresses are separate entities; temporal association tables preserve employee, customer and supplier contact history. Course definitions, delivered sessions and individual attendance are separated. Many-to-many facts use associative tables, including wine composition, incident involvement and training attendance. Role, supervisor, address, phone and price histories retain effective dates rather than overwriting facts.</w:t>
      </w:r>
    </w:p>
    <w:p>
      <w:pPr>
        <w:widowControl/>
      </w:pPr>
      <w:r>
        <w:rPr>
          <w:rFonts w:ascii="Times New Roman" w:hAnsi="Times New Roman"/>
          <w:i w:val="0"/>
          <w:sz w:val="24"/>
        </w:rPr>
        <w:t>Controls combine types, NOT NULL, candidate keys, foreign keys, CHECK constraints and triggers. Row constraints reject invalid dates and domains. Triggers enforce rules needing other rows or tables, such as non-overlapping supervision and paid, current, physical shipment addresses. Negative test records remain outside the clean baseline. Privacy is prioritised for TFNs, dates of birth, contact data, incident participation and wellbeing notes: operational reporting uses IDs or aggregates and excludes confidential notes.</w:t>
      </w:r>
    </w:p>
    <w:p>
      <w:pPr>
        <w:widowControl/>
      </w:pPr>
      <w:r>
        <w:rPr>
          <w:rFonts w:ascii="Times New Roman" w:hAnsi="Times New Roman"/>
          <w:i w:val="0"/>
          <w:sz w:val="24"/>
        </w:rPr>
        <w:t>Payroll, payment instruments, delivery costing and unrelated inventory remain outside scope, consistent with the case. The system provides reliable operational evidence without adding enterprise functions the four-person team could not explain or validate.</w:t>
      </w:r>
    </w:p>
    <w:p>
      <w:pPr>
        <w:pStyle w:val="Heading2"/>
      </w:pPr>
      <w:r>
        <w:t>Stakeholder and community requirements</w:t>
      </w:r>
    </w:p>
    <w:p>
      <w:pPr>
        <w:widowControl/>
      </w:pPr>
      <w:r>
        <w:rPr>
          <w:rFonts w:ascii="Times New Roman" w:hAnsi="Times New Roman"/>
          <w:i w:val="0"/>
          <w:sz w:val="24"/>
        </w:rPr>
        <w:t>Exception coverage includes multi-person incidents; employee role, supervisor, address and phone changes; supplier address and phone changes; simultaneous customer physical/postal addresses; high overtime without an incident; confidential wellbeing notes; and a serious near miss with zero lost hours.</w:t>
      </w:r>
    </w:p>
    <w:p>
      <w:pPr>
        <w:pStyle w:val="Heading2"/>
      </w:pPr>
      <w:r>
        <w:t>3b. Five assessed database-enforced business rules</w:t>
      </w:r>
    </w:p>
    <w:p>
      <w:pPr>
        <w:pStyle w:val="Heading3"/>
      </w:pPr>
      <w:r>
        <w:t>Rule 1 — Historical role dates</w:t>
      </w:r>
    </w:p>
    <w:p>
      <w:pPr>
        <w:widowControl/>
      </w:pPr>
      <w:r>
        <w:rPr>
          <w:rFonts w:ascii="Times New Roman" w:hAnsi="Times New Roman"/>
          <w:i w:val="0"/>
          <w:sz w:val="24"/>
        </w:rPr>
        <w:t>- Rule: An employee role end date/time cannot precede its start date/time. - Case source: Personnel requires role history with start and end dates (Wine Company Case, pp. 1–2). - Mechanism: chk_employeerole_dates CHECK. - Violation: database/tests/t02_invalidroledate.sql inserts an end in May before a June start. - Expected result: MySQL Error 3819 naming chk_employeerole_dates. - Genuine Workbench evidence: [PENDING STUDENT WORKBENCH SCREENSHOT — RULE 1]</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1] Capture readable SQL and the expected MySQL result under the submitting student account.</w:t>
            </w:r>
          </w:p>
        </w:tc>
        <w:trPr>
          <w:tblHeader/>
        </w:trPr>
      </w:tr>
    </w:tbl>
    <w:p>
      <w:pPr>
        <w:spacing w:after="0"/>
      </w:pPr>
    </w:p>
    <w:p>
      <w:pPr>
        <w:pStyle w:val="Heading3"/>
      </w:pPr>
      <w:r>
        <w:t>Rule 2 — Bottle reorder explanation</w:t>
      </w:r>
    </w:p>
    <w:p>
      <w:pPr>
        <w:widowControl/>
      </w:pPr>
      <w:r>
        <w:rPr>
          <w:rFonts w:ascii="Times New Roman" w:hAnsi="Times New Roman"/>
          <w:i w:val="0"/>
          <w:sz w:val="24"/>
        </w:rPr>
        <w:t>- Rule: reorderFlag = FALSE requires a nonblank explanation. - Case source: Bottle quality problems and reasons for not reordering must be recorded (Wine Company Case, p. 3). - Mechanism: chk_bottletype_reorder CHECK. - Violation: database/tests/t03_missingreordercomment.sql supplies NULL. - Expected result: MySQL Error 3819 naming chk_bottletype_reorder. - Genuine Workbench evidence: [PENDING STUDENT WORKBENCH SCREENSHOT — RULE 2]</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bottletype VALUES</w:t>
        <w:br/>
        <w:t>('BOTL099',750,'Test','GLASS','Green',0,1.00,FALSE,NULL);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2] Capture readable SQL and the expected MySQL result under the submitting student account.</w:t>
            </w:r>
          </w:p>
        </w:tc>
        <w:trPr>
          <w:tblHeader/>
        </w:trPr>
      </w:tr>
    </w:tbl>
    <w:p>
      <w:pPr>
        <w:spacing w:after="0"/>
      </w:pPr>
    </w:p>
    <w:p>
      <w:pPr>
        <w:pStyle w:val="Heading3"/>
      </w:pPr>
      <w:r>
        <w:t>Rule 3 — Current physical shipment address</w:t>
      </w:r>
    </w:p>
    <w:p>
      <w:pPr>
        <w:widowControl/>
      </w:pPr>
      <w:r>
        <w:rPr>
          <w:rFonts w:ascii="Times New Roman" w:hAnsi="Times New Roman"/>
          <w:i w:val="0"/>
          <w:sz w:val="24"/>
        </w:rPr>
        <w:t>- Rule: Shipment must use the customer's current physical address, never a PO Box or Private Bag. - Case source: Orders are delivered to the current physical address and not postal addresses (Wine Company Case, p. 5). - Mechanism: shipment insert/update triggers inspect address and current customeraddress rows. - Violation: database/tests/additional_postalshipment.sql uses current PO Box ADDR0004. - Expected result: MySQL Error 1644 with the physical-address message. - Genuine Workbench evidence: [PENDING STUDENT WORKBENCH SCREENSHOT — RULE 3]</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 Additional evidence for the physical-address portion of assessed shipment Rule 3.</w:t>
        <w:br/>
        <w:t>INSERT INTO shipment VALUES ('SHIP0999','CORD0001','ADDR0004',CURRENT_DATE);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3] Capture readable SQL and the expected MySQL result under the submitting student account.</w:t>
            </w:r>
          </w:p>
        </w:tc>
        <w:trPr>
          <w:tblHeader/>
        </w:trPr>
      </w:tr>
    </w:tbl>
    <w:p>
      <w:pPr>
        <w:spacing w:after="0"/>
      </w:pPr>
    </w:p>
    <w:p>
      <w:pPr>
        <w:pStyle w:val="Heading3"/>
      </w:pPr>
      <w:r>
        <w:t>Rule 4 — Paid before shipment</w:t>
      </w:r>
    </w:p>
    <w:p>
      <w:pPr>
        <w:widowControl/>
      </w:pPr>
      <w:r>
        <w:rPr>
          <w:rFonts w:ascii="Times New Roman" w:hAnsi="Times New Roman"/>
          <w:i w:val="0"/>
          <w:sz w:val="24"/>
        </w:rPr>
        <w:t>- Rule: An order must have paidFlag = TRUE before shipment. - Case source: The order is shipped only after accounting confirms payment (Wine Company Case, p. 5). - Mechanism: shipment insert/update triggers read customerorder.paidFlag. - Violation: database/tests/t04_unpaidshipment.sql attempts shipment for an unpaid order. - Expected result: MySQL Error 1644: Order must be paid before shipment. - Genuine Workbench evidence: [PENDING STUDENT WORKBENCH SCREENSHOT — RULE 4]</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shipment VALUES ('SHIP0998','CORD0998','ADDR0003',CURRENT_DATE);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4] Capture readable SQL and the expected MySQL result under the submitting student account.</w:t>
            </w:r>
          </w:p>
        </w:tc>
        <w:trPr>
          <w:tblHeader/>
        </w:trPr>
      </w:tr>
    </w:tbl>
    <w:p>
      <w:pPr>
        <w:spacing w:after="0"/>
      </w:pPr>
    </w:p>
    <w:p>
      <w:pPr>
        <w:pStyle w:val="Heading3"/>
      </w:pPr>
      <w:r>
        <w:t>Rule 5 — One supervisor at a point in time</w:t>
      </w:r>
    </w:p>
    <w:p>
      <w:pPr>
        <w:widowControl/>
      </w:pPr>
      <w:r>
        <w:rPr>
          <w:rFonts w:ascii="Times New Roman" w:hAnsi="Times New Roman"/>
          <w:i w:val="0"/>
          <w:sz w:val="24"/>
        </w:rPr>
        <w:t>- Rule: A supervised employee may have only one supervisor at any point in time. - Case source: Each supervised employee reports to only one supervisor and supervisor history is retained (Wine Company Case, p. 1). - Mechanism: supervision insert/update overlap triggers. - Violation: database/tests/t05_overlappingsupervision.sql inserts a second current supervisor for EMP0008. - Expected result: MySQL Error 1644 with the overlapping-supervision message. - Genuine Workbench evidence: [PENDING STUDENT WORKBENCH SCREENSHOT — RULE 5]</w:t>
      </w:r>
    </w:p>
    <w:p>
      <w:pPr>
        <w:widowControl/>
      </w:pPr>
      <w:r>
        <w:rPr>
          <w:rFonts w:ascii="Times New Roman" w:hAnsi="Times New Roman"/>
          <w:i w:val="0"/>
          <w:sz w:val="24"/>
        </w:rPr>
        <w:t>Readable assessed SQL is in database/tests/task3b_ruleviolations.sql. Legal-age and grape-conversion validation remain additional controls rather than assessed Task 3b rules.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5] Capture readable SQL and the expected MySQL result under the submitting student account.</w:t>
            </w:r>
          </w:p>
        </w:tc>
        <w:trPr>
          <w:tblHeader/>
        </w:trPr>
      </w:tr>
    </w:tbl>
    <w:p>
      <w:pPr>
        <w:spacing w:after="0"/>
      </w:pPr>
    </w:p>
    <w:p>
      <w:r>
        <w:br w:type="page"/>
      </w: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keepNext/>
        <w:jc w:val="center"/>
      </w:pPr>
      <w:r>
        <w:drawing>
          <wp:inline xmlns:a="http://schemas.openxmlformats.org/drawingml/2006/main" xmlns:pic="http://schemas.openxmlformats.org/drawingml/2006/picture">
            <wp:extent cx="4093186" cy="6583680"/>
            <wp:docPr id="1" name="Picture 1" descr="Image: image1.png"/>
            <wp:cNvGraphicFramePr>
              <a:graphicFrameLocks noChangeAspect="1"/>
            </wp:cNvGraphicFramePr>
            <a:graphic>
              <a:graphicData uri="http://schemas.openxmlformats.org/drawingml/2006/picture">
                <pic:pic>
                  <pic:nvPicPr>
                    <pic:cNvPr id="0" name="Cloudrest_Wines_ER_Diagram.png"/>
                    <pic:cNvPicPr/>
                  </pic:nvPicPr>
                  <pic:blipFill>
                    <a:blip r:embed="rId11"/>
                    <a:stretch>
                      <a:fillRect/>
                    </a:stretch>
                  </pic:blipFill>
                  <pic:spPr>
                    <a:xfrm>
                      <a:off x="0" y="0"/>
                      <a:ext cx="4093186" cy="6583680"/>
                    </a:xfrm>
                    <a:prstGeom prst="rect"/>
                  </pic:spPr>
                </pic:pic>
              </a:graphicData>
            </a:graphic>
          </wp:inline>
        </w:drawing>
      </w:r>
    </w:p>
    <w:p>
      <w:pPr>
        <w:spacing w:after="160"/>
        <w:jc w:val="center"/>
      </w:pPr>
      <w:r>
        <w:rPr>
          <w:rFonts w:ascii="Times New Roman" w:hAnsi="Times New Roman"/>
          <w:i/>
          <w:color w:val="5B6573"/>
          <w:sz w:val="18"/>
        </w:rPr>
        <w:t>Figure — Complete Cloudrest Wines EER model generated in MySQL Workbench</w:t>
      </w:r>
    </w:p>
    <w:p>
      <w:pPr>
        <w:pStyle w:val="Heading2"/>
      </w:pPr>
      <w:r>
        <w:t>Assumptions</w:t>
      </w:r>
    </w:p>
    <w:tbl>
      <w:tblPr>
        <w:tblStyle w:val="TableGrid"/>
        <w:tblW w:type="dxa" w:w="9360"/>
        <w:tblLayout w:type="fixed"/>
        <w:tblLook w:firstColumn="1" w:firstRow="1" w:lastColumn="0" w:lastRow="0" w:noHBand="0" w:noVBand="1" w:val="04A0"/>
        <w:tblInd w:w="120" w:type="dxa"/>
      </w:tblPr>
      <w:tblGrid>
        <w:gridCol w:w="1500"/>
        <w:gridCol w:w="4300"/>
        <w:gridCol w:w="35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5"/>
              </w:rPr>
              <w:t>Area</w:t>
            </w:r>
          </w:p>
        </w:tc>
        <w:tc>
          <w:tcPr>
            <w:tcW w:type="dxa" w:w="4300"/>
            <w:shd w:fill="DCE6F1"/>
            <w:vAlign w:val="center"/>
            <w:tcMar>
              <w:top w:w="80" w:type="dxa"/>
              <w:start w:w="100" w:type="dxa"/>
              <w:bottom w:w="80" w:type="dxa"/>
              <w:end w:w="100" w:type="dxa"/>
            </w:tcMar>
          </w:tcPr>
          <w:p>
            <w:pPr>
              <w:jc w:val="center"/>
            </w:pPr>
            <w:r>
              <w:rPr>
                <w:rFonts w:ascii="Times New Roman" w:hAnsi="Times New Roman"/>
                <w:b/>
                <w:color w:val="1F2937"/>
                <w:sz w:val="15"/>
              </w:rPr>
              <w:t>Assumption</w:t>
            </w:r>
          </w:p>
        </w:tc>
        <w:tc>
          <w:tcPr>
            <w:tcW w:type="dxa" w:w="3560"/>
            <w:shd w:fill="DCE6F1"/>
            <w:vAlign w:val="center"/>
            <w:tcMar>
              <w:top w:w="80" w:type="dxa"/>
              <w:start w:w="100" w:type="dxa"/>
              <w:bottom w:w="80" w:type="dxa"/>
              <w:end w:w="100" w:type="dxa"/>
            </w:tcMar>
          </w:tcPr>
          <w:p>
            <w:pPr>
              <w:jc w:val="center"/>
            </w:pPr>
            <w:r>
              <w:rPr>
                <w:rFonts w:ascii="Times New Roman" w:hAnsi="Times New Roman"/>
                <w:b/>
                <w:color w:val="1F2937"/>
                <w:sz w:val="15"/>
              </w:rPr>
              <w:t>Reason</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Employee names</w:t>
            </w:r>
          </w:p>
        </w:tc>
        <w:tc>
          <w:tcPr>
            <w:tcW w:type="dxa" w:w="4300"/>
            <w:vAlign w:val="center"/>
            <w:tcMar>
              <w:top w:w="80" w:type="dxa"/>
              <w:start w:w="100" w:type="dxa"/>
              <w:bottom w:w="80" w:type="dxa"/>
              <w:end w:w="100" w:type="dxa"/>
            </w:tcMar>
          </w:tcPr>
          <w:p>
            <w:pPr>
              <w:spacing w:after="0"/>
            </w:pPr>
            <w:r>
              <w:rPr>
                <w:rFonts w:ascii="Times New Roman" w:hAnsi="Times New Roman"/>
                <w:sz w:val="15"/>
              </w:rPr>
              <w:t>Names are split into first and last name for all employees</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says employee name but does not prescribe structure; splitting supports contact and reporting use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Concurrent roles</w:t>
            </w:r>
          </w:p>
        </w:tc>
        <w:tc>
          <w:tcPr>
            <w:tcW w:type="dxa" w:w="4300"/>
            <w:vAlign w:val="center"/>
            <w:tcMar>
              <w:top w:w="80" w:type="dxa"/>
              <w:start w:w="100" w:type="dxa"/>
              <w:bottom w:w="80" w:type="dxa"/>
              <w:end w:w="100" w:type="dxa"/>
            </w:tcMar>
          </w:tcPr>
          <w:p>
            <w:pPr>
              <w:spacing w:after="0"/>
            </w:pPr>
            <w:r>
              <w:rPr>
                <w:rFonts w:ascii="Times New Roman" w:hAnsi="Times New Roman"/>
                <w:sz w:val="15"/>
              </w:rPr>
              <w:t>The first implementation allows one active role period per employee</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describes role changes but does not explicitly require concurrent roles; this can be relaxed if tutor confirms concurrent appointments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Supervisor history</w:t>
            </w:r>
          </w:p>
        </w:tc>
        <w:tc>
          <w:tcPr>
            <w:tcW w:type="dxa" w:w="4300"/>
            <w:vAlign w:val="center"/>
            <w:tcMar>
              <w:top w:w="80" w:type="dxa"/>
              <w:start w:w="100" w:type="dxa"/>
              <w:bottom w:w="80" w:type="dxa"/>
              <w:end w:w="100" w:type="dxa"/>
            </w:tcMar>
          </w:tcPr>
          <w:p>
            <w:pPr>
              <w:spacing w:after="0"/>
            </w:pPr>
            <w:r>
              <w:rPr>
                <w:rFonts w:ascii="Times New Roman" w:hAnsi="Times New Roman"/>
                <w:sz w:val="15"/>
              </w:rPr>
              <w:t>An employee has no more than one supervisor at any instant</w:t>
            </w:r>
          </w:p>
        </w:tc>
        <w:tc>
          <w:tcPr>
            <w:tcW w:type="dxa" w:w="3560"/>
            <w:vAlign w:val="center"/>
            <w:tcMar>
              <w:top w:w="80" w:type="dxa"/>
              <w:start w:w="100" w:type="dxa"/>
              <w:bottom w:w="80" w:type="dxa"/>
              <w:end w:w="100" w:type="dxa"/>
            </w:tcMar>
          </w:tcPr>
          <w:p>
            <w:pPr>
              <w:spacing w:after="0"/>
            </w:pPr>
            <w:r>
              <w:rPr>
                <w:rFonts w:ascii="Times New Roman" w:hAnsi="Times New Roman"/>
                <w:sz w:val="15"/>
              </w:rPr>
              <w:t>Explicit case requirement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Employment classification</w:t>
            </w:r>
          </w:p>
        </w:tc>
        <w:tc>
          <w:tcPr>
            <w:tcW w:type="dxa" w:w="4300"/>
            <w:vAlign w:val="center"/>
            <w:tcMar>
              <w:top w:w="80" w:type="dxa"/>
              <w:start w:w="100" w:type="dxa"/>
              <w:bottom w:w="80" w:type="dxa"/>
              <w:end w:w="100" w:type="dxa"/>
            </w:tcMar>
          </w:tcPr>
          <w:p>
            <w:pPr>
              <w:spacing w:after="0"/>
            </w:pPr>
            <w:r>
              <w:rPr>
                <w:rFonts w:ascii="Times New Roman" w:hAnsi="Times New Roman"/>
                <w:sz w:val="15"/>
              </w:rPr>
              <w:t>Full/part-time, permanent/casual and ongoing/seasonal are independent dimensions</w:t>
            </w:r>
          </w:p>
        </w:tc>
        <w:tc>
          <w:tcPr>
            <w:tcW w:type="dxa" w:w="3560"/>
            <w:vAlign w:val="center"/>
            <w:tcMar>
              <w:top w:w="80" w:type="dxa"/>
              <w:start w:w="100" w:type="dxa"/>
              <w:bottom w:w="80" w:type="dxa"/>
              <w:end w:w="100" w:type="dxa"/>
            </w:tcMar>
          </w:tcPr>
          <w:p>
            <w:pPr>
              <w:spacing w:after="0"/>
            </w:pPr>
            <w:r>
              <w:rPr>
                <w:rFonts w:ascii="Times New Roman" w:hAnsi="Times New Roman"/>
                <w:sz w:val="15"/>
              </w:rPr>
              <w:t>Prevents a seasonal casual from being misclassified as a third legal employment type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Supplier contact history</w:t>
            </w:r>
          </w:p>
        </w:tc>
        <w:tc>
          <w:tcPr>
            <w:tcW w:type="dxa" w:w="4300"/>
            <w:vAlign w:val="center"/>
            <w:tcMar>
              <w:top w:w="80" w:type="dxa"/>
              <w:start w:w="100" w:type="dxa"/>
              <w:bottom w:w="80" w:type="dxa"/>
              <w:end w:w="100" w:type="dxa"/>
            </w:tcMar>
          </w:tcPr>
          <w:p>
            <w:pPr>
              <w:spacing w:after="0"/>
            </w:pPr>
            <w:r>
              <w:rPr>
                <w:rFonts w:ascii="Times New Roman" w:hAnsi="Times New Roman"/>
                <w:sz w:val="15"/>
              </w:rPr>
              <w:t>A supplier has one non-overlapping address period and one current primary phone, while principal contact name/email remain on supplier</w:t>
            </w:r>
          </w:p>
        </w:tc>
        <w:tc>
          <w:tcPr>
            <w:tcW w:type="dxa" w:w="3560"/>
            <w:vAlign w:val="center"/>
            <w:tcMar>
              <w:top w:w="80" w:type="dxa"/>
              <w:start w:w="100" w:type="dxa"/>
              <w:bottom w:w="80" w:type="dxa"/>
              <w:end w:w="100" w:type="dxa"/>
            </w:tcMar>
          </w:tcPr>
          <w:p>
            <w:pPr>
              <w:spacing w:after="0"/>
            </w:pPr>
            <w:r>
              <w:rPr>
                <w:rFonts w:ascii="Times New Roman" w:hAnsi="Times New Roman"/>
                <w:sz w:val="15"/>
              </w:rPr>
              <w:t>Matches the case need to retain address/phone history without over-normalising contact persons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Owners</w:t>
            </w:r>
          </w:p>
        </w:tc>
        <w:tc>
          <w:tcPr>
            <w:tcW w:type="dxa" w:w="4300"/>
            <w:vAlign w:val="center"/>
            <w:tcMar>
              <w:top w:w="80" w:type="dxa"/>
              <w:start w:w="100" w:type="dxa"/>
              <w:bottom w:w="80" w:type="dxa"/>
              <w:end w:w="100" w:type="dxa"/>
            </w:tcMar>
          </w:tcPr>
          <w:p>
            <w:pPr>
              <w:spacing w:after="0"/>
            </w:pPr>
            <w:r>
              <w:rPr>
                <w:rFonts w:ascii="Times New Roman" w:hAnsi="Times New Roman"/>
                <w:sz w:val="15"/>
              </w:rPr>
              <w:t>Christine is represented as an employee/owner role so supervisor FKs remain enforceable</w:t>
            </w:r>
          </w:p>
        </w:tc>
        <w:tc>
          <w:tcPr>
            <w:tcW w:type="dxa" w:w="3560"/>
            <w:vAlign w:val="center"/>
            <w:tcMar>
              <w:top w:w="80" w:type="dxa"/>
              <w:start w:w="100" w:type="dxa"/>
              <w:bottom w:w="80" w:type="dxa"/>
              <w:end w:w="100" w:type="dxa"/>
            </w:tcMar>
          </w:tcPr>
          <w:p>
            <w:pPr>
              <w:spacing w:after="0"/>
            </w:pPr>
            <w:r>
              <w:rPr>
                <w:rFonts w:ascii="Times New Roman" w:hAnsi="Times New Roman"/>
                <w:sz w:val="15"/>
              </w:rPr>
              <w:t>Supervisors report to Christine and the model needs an identifiable parent record</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Picking pack</w:t>
            </w:r>
          </w:p>
        </w:tc>
        <w:tc>
          <w:tcPr>
            <w:tcW w:type="dxa" w:w="4300"/>
            <w:vAlign w:val="center"/>
            <w:tcMar>
              <w:top w:w="80" w:type="dxa"/>
              <w:start w:w="100" w:type="dxa"/>
              <w:bottom w:w="80" w:type="dxa"/>
              <w:end w:w="100" w:type="dxa"/>
            </w:tcMar>
          </w:tcPr>
          <w:p>
            <w:pPr>
              <w:spacing w:after="0"/>
            </w:pPr>
            <w:r>
              <w:rPr>
                <w:rFonts w:ascii="Times New Roman" w:hAnsi="Times New Roman"/>
                <w:sz w:val="15"/>
              </w:rPr>
              <w:t>Minimum four members is checked at pack activation/finalisation, not on the first member insert</w:t>
            </w:r>
          </w:p>
        </w:tc>
        <w:tc>
          <w:tcPr>
            <w:tcW w:type="dxa" w:w="3560"/>
            <w:vAlign w:val="center"/>
            <w:tcMar>
              <w:top w:w="80" w:type="dxa"/>
              <w:start w:w="100" w:type="dxa"/>
              <w:bottom w:w="80" w:type="dxa"/>
              <w:end w:w="100" w:type="dxa"/>
            </w:tcMar>
          </w:tcPr>
          <w:p>
            <w:pPr>
              <w:spacing w:after="0"/>
            </w:pPr>
            <w:r>
              <w:rPr>
                <w:rFonts w:ascii="Times New Roman" w:hAnsi="Times New Roman"/>
                <w:sz w:val="15"/>
              </w:rPr>
              <w:t>A row trigger would make it impossible to build a new pack incrementally</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Vineyard manager</w:t>
            </w:r>
          </w:p>
        </w:tc>
        <w:tc>
          <w:tcPr>
            <w:tcW w:type="dxa" w:w="4300"/>
            <w:vAlign w:val="center"/>
            <w:tcMar>
              <w:top w:w="80" w:type="dxa"/>
              <w:start w:w="100" w:type="dxa"/>
              <w:bottom w:w="80" w:type="dxa"/>
              <w:end w:w="100" w:type="dxa"/>
            </w:tcMar>
          </w:tcPr>
          <w:p>
            <w:pPr>
              <w:spacing w:after="0"/>
            </w:pPr>
            <w:r>
              <w:rPr>
                <w:rFonts w:ascii="Times New Roman" w:hAnsi="Times New Roman"/>
                <w:sz w:val="15"/>
              </w:rPr>
              <w:t>The manager is the current manager; a future extension could add dated vineyard-management history</w:t>
            </w:r>
          </w:p>
        </w:tc>
        <w:tc>
          <w:tcPr>
            <w:tcW w:type="dxa" w:w="3560"/>
            <w:vAlign w:val="center"/>
            <w:tcMar>
              <w:top w:w="80" w:type="dxa"/>
              <w:start w:w="100" w:type="dxa"/>
              <w:bottom w:w="80" w:type="dxa"/>
              <w:end w:w="100" w:type="dxa"/>
            </w:tcMar>
          </w:tcPr>
          <w:p>
            <w:pPr>
              <w:spacing w:after="0"/>
            </w:pPr>
            <w:r>
              <w:rPr>
                <w:rFonts w:ascii="Times New Roman" w:hAnsi="Times New Roman"/>
                <w:sz w:val="15"/>
              </w:rPr>
              <w:t>Case states one manager and no employee manages more than one vineyard, but does not explicitly request this history</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Wine recipe</w:t>
            </w:r>
          </w:p>
        </w:tc>
        <w:tc>
          <w:tcPr>
            <w:tcW w:type="dxa" w:w="4300"/>
            <w:vAlign w:val="center"/>
            <w:tcMar>
              <w:top w:w="80" w:type="dxa"/>
              <w:start w:w="100" w:type="dxa"/>
              <w:bottom w:w="80" w:type="dxa"/>
              <w:end w:w="100" w:type="dxa"/>
            </w:tcMar>
          </w:tcPr>
          <w:p>
            <w:pPr>
              <w:spacing w:after="0"/>
            </w:pPr>
            <w:r>
              <w:rPr>
                <w:rFonts w:ascii="Times New Roman" w:hAnsi="Times New Roman"/>
                <w:sz w:val="15"/>
              </w:rPr>
              <w:t>Composition rows must total 100% before a wine is released</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requires proportions; staged recipe entry means this is not enforced on each individual row insert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Product identity</w:t>
            </w:r>
          </w:p>
        </w:tc>
        <w:tc>
          <w:tcPr>
            <w:tcW w:type="dxa" w:w="4300"/>
            <w:vAlign w:val="center"/>
            <w:tcMar>
              <w:top w:w="80" w:type="dxa"/>
              <w:start w:w="100" w:type="dxa"/>
              <w:bottom w:w="80" w:type="dxa"/>
              <w:end w:w="100" w:type="dxa"/>
            </w:tcMar>
          </w:tcPr>
          <w:p>
            <w:pPr>
              <w:spacing w:after="0"/>
            </w:pPr>
            <w:r>
              <w:rPr>
                <w:rFonts w:ascii="Times New Roman" w:hAnsi="Times New Roman"/>
                <w:sz w:val="15"/>
              </w:rPr>
              <w:t>Wine, bottle type and case quantity uniquely define a product</w:t>
            </w:r>
          </w:p>
        </w:tc>
        <w:tc>
          <w:tcPr>
            <w:tcW w:type="dxa" w:w="3560"/>
            <w:vAlign w:val="center"/>
            <w:tcMar>
              <w:top w:w="80" w:type="dxa"/>
              <w:start w:w="100" w:type="dxa"/>
              <w:bottom w:w="80" w:type="dxa"/>
              <w:end w:w="100" w:type="dxa"/>
            </w:tcMar>
          </w:tcPr>
          <w:p>
            <w:pPr>
              <w:spacing w:after="0"/>
            </w:pPr>
            <w:r>
              <w:rPr>
                <w:rFonts w:ascii="Times New Roman" w:hAnsi="Times New Roman"/>
                <w:sz w:val="15"/>
              </w:rPr>
              <w:t>Directly follows the case definition of product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Shipment</w:t>
            </w:r>
          </w:p>
        </w:tc>
        <w:tc>
          <w:tcPr>
            <w:tcW w:type="dxa" w:w="4300"/>
            <w:vAlign w:val="center"/>
            <w:tcMar>
              <w:top w:w="80" w:type="dxa"/>
              <w:start w:w="100" w:type="dxa"/>
              <w:bottom w:w="80" w:type="dxa"/>
              <w:end w:w="100" w:type="dxa"/>
            </w:tcMar>
          </w:tcPr>
          <w:p>
            <w:pPr>
              <w:spacing w:after="0"/>
            </w:pPr>
            <w:r>
              <w:rPr>
                <w:rFonts w:ascii="Times New Roman" w:hAnsi="Times New Roman"/>
                <w:sz w:val="15"/>
              </w:rPr>
              <w:t>Each customer order has at most one shipment and the shipment retains its physical address ID</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prohibits back orders and requires a single shipment to the current physical address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HR incident rate</w:t>
            </w:r>
          </w:p>
        </w:tc>
        <w:tc>
          <w:tcPr>
            <w:tcW w:type="dxa" w:w="4300"/>
            <w:vAlign w:val="center"/>
            <w:tcMar>
              <w:top w:w="80" w:type="dxa"/>
              <w:start w:w="100" w:type="dxa"/>
              <w:bottom w:w="80" w:type="dxa"/>
              <w:end w:w="100" w:type="dxa"/>
            </w:tcMar>
          </w:tcPr>
          <w:p>
            <w:pPr>
              <w:spacing w:after="0"/>
            </w:pPr>
            <w:r>
              <w:rPr>
                <w:rFonts w:ascii="Times New Roman" w:hAnsi="Times New Roman"/>
                <w:sz w:val="15"/>
              </w:rPr>
              <w:t>One incident is counted once per operational area regardless of people involved</w:t>
            </w:r>
          </w:p>
        </w:tc>
        <w:tc>
          <w:tcPr>
            <w:tcW w:type="dxa" w:w="3560"/>
            <w:vAlign w:val="center"/>
            <w:tcMar>
              <w:top w:w="80" w:type="dxa"/>
              <w:start w:w="100" w:type="dxa"/>
              <w:bottom w:w="80" w:type="dxa"/>
              <w:end w:w="100" w:type="dxa"/>
            </w:tcMar>
          </w:tcPr>
          <w:p>
            <w:pPr>
              <w:spacing w:after="0"/>
            </w:pPr>
            <w:r>
              <w:rPr>
                <w:rFonts w:ascii="Times New Roman" w:hAnsi="Times New Roman"/>
                <w:sz w:val="15"/>
              </w:rPr>
              <w:t>Prevents multi-person incidents being double-counted in the sustainability numerator</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Serious near miss</w:t>
            </w:r>
          </w:p>
        </w:tc>
        <w:tc>
          <w:tcPr>
            <w:tcW w:type="dxa" w:w="4300"/>
            <w:vAlign w:val="center"/>
            <w:tcMar>
              <w:top w:w="80" w:type="dxa"/>
              <w:start w:w="100" w:type="dxa"/>
              <w:bottom w:w="80" w:type="dxa"/>
              <w:end w:w="100" w:type="dxa"/>
            </w:tcMar>
          </w:tcPr>
          <w:p>
            <w:pPr>
              <w:spacing w:after="0"/>
            </w:pPr>
            <w:r>
              <w:rPr>
                <w:rFonts w:ascii="Times New Roman" w:hAnsi="Times New Roman"/>
                <w:sz w:val="15"/>
              </w:rPr>
              <w:t>HIGH or CRITICAL severity may have zero lost hours</w:t>
            </w:r>
          </w:p>
        </w:tc>
        <w:tc>
          <w:tcPr>
            <w:tcW w:type="dxa" w:w="3560"/>
            <w:vAlign w:val="center"/>
            <w:tcMar>
              <w:top w:w="80" w:type="dxa"/>
              <w:start w:w="100" w:type="dxa"/>
              <w:bottom w:w="80" w:type="dxa"/>
              <w:end w:w="100" w:type="dxa"/>
            </w:tcMar>
          </w:tcPr>
          <w:p>
            <w:pPr>
              <w:spacing w:after="0"/>
            </w:pPr>
            <w:r>
              <w:rPr>
                <w:rFonts w:ascii="Times New Roman" w:hAnsi="Times New Roman"/>
                <w:sz w:val="15"/>
              </w:rPr>
              <w:t>Severity and lost time measure different concepts; the case does not require positive lost time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Labour hours</w:t>
            </w:r>
          </w:p>
        </w:tc>
        <w:tc>
          <w:tcPr>
            <w:tcW w:type="dxa" w:w="4300"/>
            <w:vAlign w:val="center"/>
            <w:tcMar>
              <w:top w:w="80" w:type="dxa"/>
              <w:start w:w="100" w:type="dxa"/>
              <w:bottom w:w="80" w:type="dxa"/>
              <w:end w:w="100" w:type="dxa"/>
            </w:tcMar>
          </w:tcPr>
          <w:p>
            <w:pPr>
              <w:spacing w:after="0"/>
            </w:pPr>
            <w:r>
              <w:rPr>
                <w:rFonts w:ascii="Times New Roman" w:hAnsi="Times New Roman"/>
                <w:sz w:val="15"/>
              </w:rPr>
              <w:t>`regularHours + overtimeHours` in shift assignments is the reportable labour-hours denominator</w:t>
            </w:r>
          </w:p>
        </w:tc>
        <w:tc>
          <w:tcPr>
            <w:tcW w:type="dxa" w:w="3560"/>
            <w:vAlign w:val="center"/>
            <w:tcMar>
              <w:top w:w="80" w:type="dxa"/>
              <w:start w:w="100" w:type="dxa"/>
              <w:bottom w:w="80" w:type="dxa"/>
              <w:end w:w="100" w:type="dxa"/>
            </w:tcMar>
          </w:tcPr>
          <w:p>
            <w:pPr>
              <w:spacing w:after="0"/>
            </w:pPr>
            <w:r>
              <w:rPr>
                <w:rFonts w:ascii="Times New Roman" w:hAnsi="Times New Roman"/>
                <w:sz w:val="15"/>
              </w:rPr>
              <w:t>Required to calculate incidents per 1,000 labour hours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Wellbeing privacy</w:t>
            </w:r>
          </w:p>
        </w:tc>
        <w:tc>
          <w:tcPr>
            <w:tcW w:type="dxa" w:w="4300"/>
            <w:vAlign w:val="center"/>
            <w:tcMar>
              <w:top w:w="80" w:type="dxa"/>
              <w:start w:w="100" w:type="dxa"/>
              <w:bottom w:w="80" w:type="dxa"/>
              <w:end w:w="100" w:type="dxa"/>
            </w:tcMar>
          </w:tcPr>
          <w:p>
            <w:pPr>
              <w:spacing w:after="0"/>
            </w:pPr>
            <w:r>
              <w:rPr>
                <w:rFonts w:ascii="Times New Roman" w:hAnsi="Times New Roman"/>
                <w:sz w:val="15"/>
              </w:rPr>
              <w:t>Detailed notes are restricted; decision-support queries expose only concern counts and actions</w:t>
            </w:r>
          </w:p>
        </w:tc>
        <w:tc>
          <w:tcPr>
            <w:tcW w:type="dxa" w:w="3560"/>
            <w:vAlign w:val="center"/>
            <w:tcMar>
              <w:top w:w="80" w:type="dxa"/>
              <w:start w:w="100" w:type="dxa"/>
              <w:bottom w:w="80" w:type="dxa"/>
              <w:end w:w="100" w:type="dxa"/>
            </w:tcMar>
          </w:tcPr>
          <w:p>
            <w:pPr>
              <w:spacing w:after="0"/>
            </w:pPr>
            <w:r>
              <w:rPr>
                <w:rFonts w:ascii="Times New Roman" w:hAnsi="Times New Roman"/>
                <w:sz w:val="15"/>
              </w:rPr>
              <w:t>Applies data minimisation to sensitive HR information</w:t>
            </w:r>
          </w:p>
        </w:tc>
      </w:tr>
    </w:tbl>
    <w:p>
      <w:pPr>
        <w:spacing w:after="0"/>
      </w:pPr>
    </w:p>
    <w:p>
      <w:pPr>
        <w:pStyle w:val="Heading2"/>
      </w:pPr>
      <w:r>
        <w:t>Annotated design alternatives</w:t>
      </w:r>
    </w:p>
    <w:tbl>
      <w:tblPr>
        <w:tblStyle w:val="TableGrid"/>
        <w:tblW w:type="dxa" w:w="9360"/>
        <w:tblLayout w:type="fixed"/>
        <w:tblLook w:firstColumn="1" w:firstRow="1" w:lastColumn="0" w:lastRow="0" w:noHBand="0" w:noVBand="1" w:val="04A0"/>
        <w:tblInd w:w="120" w:type="dxa"/>
      </w:tblPr>
      <w:tblGrid>
        <w:gridCol w:w="1900"/>
        <w:gridCol w:w="2700"/>
        <w:gridCol w:w="4760"/>
      </w:tblGrid>
      <w:tr>
        <w:trPr>
          <w:tblHeader w:val="true"/>
        </w:trPr>
        <w:tc>
          <w:tcPr>
            <w:tcW w:type="dxa" w:w="1900"/>
            <w:shd w:fill="DCE6F1"/>
            <w:vAlign w:val="center"/>
            <w:tcMar>
              <w:top w:w="80" w:type="dxa"/>
              <w:start w:w="100" w:type="dxa"/>
              <w:bottom w:w="80" w:type="dxa"/>
              <w:end w:w="100" w:type="dxa"/>
            </w:tcMar>
          </w:tcPr>
          <w:p>
            <w:pPr>
              <w:jc w:val="center"/>
            </w:pPr>
            <w:r>
              <w:rPr>
                <w:rFonts w:ascii="Times New Roman" w:hAnsi="Times New Roman"/>
                <w:b/>
                <w:color w:val="1F2937"/>
                <w:sz w:val="16"/>
              </w:rPr>
              <w:t>Design element</w:t>
            </w:r>
          </w:p>
        </w:tc>
        <w:tc>
          <w:tcPr>
            <w:tcW w:type="dxa" w:w="2700"/>
            <w:shd w:fill="DCE6F1"/>
            <w:vAlign w:val="center"/>
            <w:tcMar>
              <w:top w:w="80" w:type="dxa"/>
              <w:start w:w="100" w:type="dxa"/>
              <w:bottom w:w="80" w:type="dxa"/>
              <w:end w:w="100" w:type="dxa"/>
            </w:tcMar>
          </w:tcPr>
          <w:p>
            <w:pPr>
              <w:jc w:val="center"/>
            </w:pPr>
            <w:r>
              <w:rPr>
                <w:rFonts w:ascii="Times New Roman" w:hAnsi="Times New Roman"/>
                <w:b/>
                <w:color w:val="1F2937"/>
                <w:sz w:val="16"/>
              </w:rPr>
              <w:t>Alternative</w:t>
            </w:r>
          </w:p>
        </w:tc>
        <w:tc>
          <w:tcPr>
            <w:tcW w:type="dxa" w:w="4760"/>
            <w:shd w:fill="DCE6F1"/>
            <w:vAlign w:val="center"/>
            <w:tcMar>
              <w:top w:w="80" w:type="dxa"/>
              <w:start w:w="100" w:type="dxa"/>
              <w:bottom w:w="80" w:type="dxa"/>
              <w:end w:w="100" w:type="dxa"/>
            </w:tcMar>
          </w:tcPr>
          <w:p>
            <w:pPr>
              <w:jc w:val="center"/>
            </w:pPr>
            <w:r>
              <w:rPr>
                <w:rFonts w:ascii="Times New Roman" w:hAnsi="Times New Roman"/>
                <w:b/>
                <w:color w:val="1F2937"/>
                <w:sz w:val="16"/>
              </w:rPr>
              <w:t>Reason selected</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Customer types</w:t>
            </w:r>
          </w:p>
        </w:tc>
        <w:tc>
          <w:tcPr>
            <w:tcW w:type="dxa" w:w="2700"/>
            <w:vAlign w:val="center"/>
            <w:tcMar>
              <w:top w:w="80" w:type="dxa"/>
              <w:start w:w="100" w:type="dxa"/>
              <w:bottom w:w="80" w:type="dxa"/>
              <w:end w:w="100" w:type="dxa"/>
            </w:tcMar>
          </w:tcPr>
          <w:p>
            <w:pPr>
              <w:spacing w:after="0"/>
            </w:pPr>
            <w:r>
              <w:rPr>
                <w:rFonts w:ascii="Times New Roman" w:hAnsi="Times New Roman"/>
                <w:sz w:val="16"/>
              </w:rPr>
              <w:t>One wide customer table</w:t>
            </w:r>
          </w:p>
        </w:tc>
        <w:tc>
          <w:tcPr>
            <w:tcW w:type="dxa" w:w="4760"/>
            <w:vAlign w:val="center"/>
            <w:tcMar>
              <w:top w:w="80" w:type="dxa"/>
              <w:start w:w="100" w:type="dxa"/>
              <w:bottom w:w="80" w:type="dxa"/>
              <w:end w:w="100" w:type="dxa"/>
            </w:tcMar>
          </w:tcPr>
          <w:p>
            <w:pPr>
              <w:spacing w:after="0"/>
            </w:pPr>
            <w:r>
              <w:rPr>
                <w:rFonts w:ascii="Times New Roman" w:hAnsi="Times New Roman"/>
                <w:sz w:val="16"/>
              </w:rPr>
              <w:t>Supertype/subtypes reduce inapplicable NULLs while retaining a common order key.</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Address history</w:t>
            </w:r>
          </w:p>
        </w:tc>
        <w:tc>
          <w:tcPr>
            <w:tcW w:type="dxa" w:w="2700"/>
            <w:vAlign w:val="center"/>
            <w:tcMar>
              <w:top w:w="80" w:type="dxa"/>
              <w:start w:w="100" w:type="dxa"/>
              <w:bottom w:w="80" w:type="dxa"/>
              <w:end w:w="100" w:type="dxa"/>
            </w:tcMar>
          </w:tcPr>
          <w:p>
            <w:pPr>
              <w:spacing w:after="0"/>
            </w:pPr>
            <w:r>
              <w:rPr>
                <w:rFonts w:ascii="Times New Roman" w:hAnsi="Times New Roman"/>
                <w:sz w:val="16"/>
              </w:rPr>
              <w:t>Copied columns or polymorphic owner</w:t>
            </w:r>
          </w:p>
        </w:tc>
        <w:tc>
          <w:tcPr>
            <w:tcW w:type="dxa" w:w="4760"/>
            <w:vAlign w:val="center"/>
            <w:tcMar>
              <w:top w:w="80" w:type="dxa"/>
              <w:start w:w="100" w:type="dxa"/>
              <w:bottom w:w="80" w:type="dxa"/>
              <w:end w:w="100" w:type="dxa"/>
            </w:tcMar>
          </w:tcPr>
          <w:p>
            <w:pPr>
              <w:spacing w:after="0"/>
            </w:pPr>
            <w:r>
              <w:rPr>
                <w:rFonts w:ascii="Times New Roman" w:hAnsi="Times New Roman"/>
                <w:sz w:val="16"/>
              </w:rPr>
              <w:t>Shared address with typed dated associations gives enforceable FKs and retained history.</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Training structure</w:t>
            </w:r>
          </w:p>
        </w:tc>
        <w:tc>
          <w:tcPr>
            <w:tcW w:type="dxa" w:w="2700"/>
            <w:vAlign w:val="center"/>
            <w:tcMar>
              <w:top w:w="80" w:type="dxa"/>
              <w:start w:w="100" w:type="dxa"/>
              <w:bottom w:w="80" w:type="dxa"/>
              <w:end w:w="100" w:type="dxa"/>
            </w:tcMar>
          </w:tcPr>
          <w:p>
            <w:pPr>
              <w:spacing w:after="0"/>
            </w:pPr>
            <w:r>
              <w:rPr>
                <w:rFonts w:ascii="Times New Roman" w:hAnsi="Times New Roman"/>
                <w:sz w:val="16"/>
              </w:rPr>
              <w:t>One repeated employee-training table</w:t>
            </w:r>
          </w:p>
        </w:tc>
        <w:tc>
          <w:tcPr>
            <w:tcW w:type="dxa" w:w="4760"/>
            <w:vAlign w:val="center"/>
            <w:tcMar>
              <w:top w:w="80" w:type="dxa"/>
              <w:start w:w="100" w:type="dxa"/>
              <w:bottom w:w="80" w:type="dxa"/>
              <w:end w:w="100" w:type="dxa"/>
            </w:tcMar>
          </w:tcPr>
          <w:p>
            <w:pPr>
              <w:spacing w:after="0"/>
            </w:pPr>
            <w:r>
              <w:rPr>
                <w:rFonts w:ascii="Times New Roman" w:hAnsi="Times New Roman"/>
                <w:sz w:val="16"/>
              </w:rPr>
              <w:t>Course/session/attendance separates definition, delivery and outcome for 3NF and coverage queries.</w:t>
            </w:r>
          </w:p>
        </w:tc>
      </w:tr>
    </w:tbl>
    <w:p>
      <w:pPr>
        <w:spacing w:after="0"/>
      </w:pPr>
    </w:p>
    <w:p>
      <w:r>
        <w:br w:type="page"/>
      </w:r>
    </w:p>
    <w:p>
      <w:pPr>
        <w:pStyle w:val="Heading1"/>
      </w:pPr>
      <w:r>
        <w:t>Task 5 — Data Dictionary and Database Build</w:t>
      </w:r>
    </w:p>
    <w:p>
      <w:pPr>
        <w:widowControl/>
      </w:pPr>
      <w:r>
        <w:rPr>
          <w:rFonts w:ascii="Times New Roman" w:hAnsi="Times New Roman"/>
          <w:i w:val="0"/>
          <w:sz w:val="24"/>
        </w:rPr>
        <w:t>The complete data dictionary is presented as Word-ready tables and cross-checked against the validated MySQL schema to prevent divergence between the ER model,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The data dictionary was prepared as Word-ready tables and cross-checked against the implemented MySQL schema for consistency. Every field has an explicit domain/default and a semantic business definition; automation is used internally to detect schema drift. The complete source is stored in docs/report/data-dictionary.md and appears in the Word report appendix.</w:t>
      </w:r>
    </w:p>
    <w:p>
      <w:pPr>
        <w:widowControl/>
      </w:pPr>
      <w:r>
        <w:rPr>
          <w:rFonts w:ascii="Times New Roman" w:hAnsi="Times New Roman"/>
          <w:i w:val="0"/>
          <w:sz w:val="24"/>
        </w:rPr>
        <w:t>Build verification: 55 base tables, 1 view, 282 columns, 72 foreign keys, 48 CHECK constraints, 15 triggers and 1 stored procedure under MySQL 8.4.11. Statistics are read from the verified live schema, not hard-coded.</w:t>
      </w:r>
    </w:p>
    <w:p>
      <w:pPr>
        <w:pStyle w:val="Heading1"/>
      </w:pPr>
      <w:r>
        <w:t>Task 6 — Data Quality Strategy and Validation</w:t>
      </w:r>
    </w:p>
    <w:p>
      <w:pPr>
        <w:pStyle w:val="Heading2"/>
      </w:pPr>
      <w:r>
        <w:t>6a. Cleaning and migration plan</w:t>
      </w:r>
    </w:p>
    <w:p>
      <w:pPr>
        <w:widowControl/>
      </w:pPr>
      <w:r>
        <w:rPr>
          <w:rFonts w:ascii="Times New Roman" w:hAnsi="Times New Roman"/>
          <w:i w:val="0"/>
          <w:sz w:val="24"/>
        </w:rPr>
        <w:t>Cloudrest Wines will use a controlled raw-to-staging-to-production pipeline. The supplied A2 workbook will first be copied unchanged and its file hash, sheet names, row counts and import date recorded. Each worksheet will be imported into a staging table using permissive text columns, ensuring malformed values are not silently lost during import. Profiling queries will identify completeness, uniqueness, consistency, validity and referential-integrity defects before any production insert.</w:t>
      </w:r>
    </w:p>
    <w:p>
      <w:pPr>
        <w:widowControl/>
      </w:pPr>
      <w:r>
        <w:rPr>
          <w:rFonts w:ascii="Times New Roman" w:hAnsi="Times New Roman"/>
          <w:i w:val="0"/>
          <w:sz w:val="24"/>
        </w:rPr>
        <w:t>Detection will include duplicate identifiers; blank mandatory fields; invalid dates and chronological order; inconsistent employment/status values; malformed TFNs, ABNs, postcodes, emails and phones; negative hours/weights/costs; percentages outside 0–100; multiple current history rows; and references to missing parents. Deterministic corrections—trimming, case standardisation, controlled value mapping and date conversion—will be performed with logged SQL. Ambiguous identity, address or missing-parent corrections will be quarantined for documented manual review rather than guessed.</w:t>
      </w:r>
    </w:p>
    <w:p>
      <w:pPr>
        <w:widowControl/>
      </w:pPr>
      <w:r>
        <w:rPr>
          <w:rFonts w:ascii="Times New Roman" w:hAnsi="Times New Roman"/>
          <w:i w:val="0"/>
          <w:sz w:val="24"/>
        </w:rPr>
        <w:t>After correction, rows will be inserted in dependency order. Quality control will reconcile source, accepted and rejected counts; query orphan checks; review exception tables; and run the full integrity suite. Before/after screenshots will show the defect query, correction SQL and verified result for every supplied table. Prevention measures include structured input controls, reference tables/enums, PK/UK/FK/CHECK constraints, triggers, least-privilege import roles and regular exception reporting.</w:t>
      </w:r>
    </w:p>
    <w:p>
      <w:pPr>
        <w:widowControl/>
      </w:pPr>
      <w:r>
        <w:rPr>
          <w:rFonts w:ascii="Times New Roman" w:hAnsi="Times New Roman"/>
          <w:i w:val="0"/>
          <w:sz w:val="24"/>
        </w:rPr>
        <w:t>Current limitation. The official A2 workbook has not been supplied. Therefore no claim is made that actual source errors have been found or corrected. The repository provides a reproducible framework and explicit evidence placeholders; actual errors, scripts and screenshots must be completed after receipt of the workbook.</w:t>
      </w:r>
    </w:p>
    <w:p>
      <w:pPr>
        <w:pStyle w:val="Heading2"/>
      </w:pPr>
      <w:r>
        <w:t>6b. Test-data creation</w:t>
      </w:r>
    </w:p>
    <w:p>
      <w:pPr>
        <w:widowControl/>
      </w:pPr>
      <w:r>
        <w:rPr>
          <w:rFonts w:ascii="Times New Roman" w:hAnsi="Times New Roman"/>
          <w:i w:val="0"/>
          <w:sz w:val="24"/>
        </w:rPr>
        <w:t>Synthetic data was designed backwards from the five rules and six management questions. Every employee has one current physical address and exactly one current primary phone. It includes role, supervisor, employee address/phone and supplier address/phone changes; permanent and casual employment with ongoing and seasonal patterns; completed, failed and absent training; qualification horizons; normal and overtime shifts; multi-person/zero-lost-hour incident cases; corrective actions; wellbeing concerns; production, procurement and a paid shipment. All values and events are fictitious.</w:t>
      </w:r>
    </w:p>
    <w:p>
      <w:pPr>
        <w:widowControl/>
      </w:pPr>
      <w:r>
        <w:rPr>
          <w:rFonts w:ascii="Times New Roman" w:hAnsi="Times New Roman"/>
          <w:i w:val="0"/>
          <w:sz w:val="24"/>
        </w:rPr>
        <w:t>AI assisted with scenario coverage and value generation. Suitability was then verified by successful FK-constrained import, domain checks, manual result reconciliation and non-empty query outputs. Boundary/negative data is executed separately so deliberately invalid rows never remain in the baseline database.</w:t>
      </w:r>
    </w:p>
    <w:p>
      <w:pPr>
        <w:pStyle w:val="Heading2"/>
      </w:pPr>
      <w:r>
        <w:t>6c. Integrity suite</w:t>
      </w:r>
    </w:p>
    <w:p>
      <w:pPr>
        <w:widowControl/>
      </w:pPr>
      <w:r>
        <w:rPr>
          <w:rFonts w:ascii="Times New Roman" w:hAnsi="Times New Roman"/>
          <w:i w:val="0"/>
          <w:sz w:val="24"/>
        </w:rPr>
        <w:t>The SQL is maintained under database/tests/. Existing CLI-rendered PNGs are internal verification evidence only. Genuine student Workbench screenshots remain clearly marked placeholders in the final report.</w:t>
      </w:r>
    </w:p>
    <w:tbl>
      <w:tblPr>
        <w:tblStyle w:val="TableGrid"/>
        <w:tblW w:type="dxa" w:w="9360"/>
        <w:tblLayout w:type="fixed"/>
        <w:tblLook w:firstColumn="1" w:firstRow="1" w:lastColumn="0" w:lastRow="0" w:noHBand="0" w:noVBand="1" w:val="04A0"/>
        <w:tblInd w:w="120" w:type="dxa"/>
      </w:tblPr>
      <w:tblGrid>
        <w:gridCol w:w="700"/>
        <w:gridCol w:w="3300"/>
        <w:gridCol w:w="1800"/>
        <w:gridCol w:w="3560"/>
      </w:tblGrid>
      <w:tr>
        <w:trPr>
          <w:tblHeader w:val="true"/>
        </w:trPr>
        <w:tc>
          <w:tcPr>
            <w:tcW w:type="dxa" w:w="700"/>
            <w:shd w:fill="DCE6F1"/>
            <w:vAlign w:val="center"/>
            <w:tcMar>
              <w:top w:w="80" w:type="dxa"/>
              <w:start w:w="100" w:type="dxa"/>
              <w:bottom w:w="80" w:type="dxa"/>
              <w:end w:w="100" w:type="dxa"/>
            </w:tcMar>
          </w:tcPr>
          <w:p>
            <w:pPr>
              <w:jc w:val="center"/>
            </w:pPr>
            <w:r>
              <w:rPr>
                <w:rFonts w:ascii="Times New Roman" w:hAnsi="Times New Roman"/>
                <w:b/>
                <w:color w:val="1F2937"/>
                <w:sz w:val="16"/>
              </w:rPr>
              <w:t>Test</w:t>
            </w:r>
          </w:p>
        </w:tc>
        <w:tc>
          <w:tcPr>
            <w:tcW w:type="dxa" w:w="3300"/>
            <w:shd w:fill="DCE6F1"/>
            <w:vAlign w:val="center"/>
            <w:tcMar>
              <w:top w:w="80" w:type="dxa"/>
              <w:start w:w="100" w:type="dxa"/>
              <w:bottom w:w="80" w:type="dxa"/>
              <w:end w:w="100" w:type="dxa"/>
            </w:tcMar>
          </w:tcPr>
          <w:p>
            <w:pPr>
              <w:jc w:val="center"/>
            </w:pPr>
            <w:r>
              <w:rPr>
                <w:rFonts w:ascii="Times New Roman" w:hAnsi="Times New Roman"/>
                <w:b/>
                <w:color w:val="1F2937"/>
                <w:sz w:val="16"/>
              </w:rPr>
              <w:t>Plain-English scenario</w:t>
            </w:r>
          </w:p>
        </w:tc>
        <w:tc>
          <w:tcPr>
            <w:tcW w:type="dxa" w:w="1800"/>
            <w:shd w:fill="DCE6F1"/>
            <w:vAlign w:val="center"/>
            <w:tcMar>
              <w:top w:w="80" w:type="dxa"/>
              <w:start w:w="100" w:type="dxa"/>
              <w:bottom w:w="80" w:type="dxa"/>
              <w:end w:w="100" w:type="dxa"/>
            </w:tcMar>
          </w:tcPr>
          <w:p>
            <w:pPr>
              <w:jc w:val="center"/>
            </w:pPr>
            <w:r>
              <w:rPr>
                <w:rFonts w:ascii="Times New Roman" w:hAnsi="Times New Roman"/>
                <w:b/>
                <w:color w:val="1F2937"/>
                <w:sz w:val="16"/>
              </w:rPr>
              <w:t>Expected result</w:t>
            </w:r>
          </w:p>
        </w:tc>
        <w:tc>
          <w:tcPr>
            <w:tcW w:type="dxa" w:w="3560"/>
            <w:shd w:fill="DCE6F1"/>
            <w:vAlign w:val="center"/>
            <w:tcMar>
              <w:top w:w="80" w:type="dxa"/>
              <w:start w:w="100" w:type="dxa"/>
              <w:bottom w:w="80" w:type="dxa"/>
              <w:end w:w="100" w:type="dxa"/>
            </w:tcMar>
          </w:tcPr>
          <w:p>
            <w:pPr>
              <w:jc w:val="center"/>
            </w:pPr>
            <w:r>
              <w:rPr>
                <w:rFonts w:ascii="Times New Roman" w:hAnsi="Times New Roman"/>
                <w:b/>
                <w:color w:val="1F2937"/>
                <w:sz w:val="16"/>
              </w:rPr>
              <w:t>One-sentence explanation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T01</w:t>
            </w:r>
          </w:p>
        </w:tc>
        <w:tc>
          <w:tcPr>
            <w:tcW w:type="dxa" w:w="3300"/>
            <w:vAlign w:val="center"/>
            <w:tcMar>
              <w:top w:w="80" w:type="dxa"/>
              <w:start w:w="100" w:type="dxa"/>
              <w:bottom w:w="80" w:type="dxa"/>
              <w:end w:w="100" w:type="dxa"/>
            </w:tcMar>
          </w:tcPr>
          <w:p>
            <w:pPr>
              <w:spacing w:after="0"/>
            </w:pPr>
            <w:r>
              <w:rPr>
                <w:rFonts w:ascii="Times New Roman" w:hAnsi="Times New Roman"/>
                <w:sz w:val="16"/>
              </w:rPr>
              <w:t>Valid completed training accepted</w:t>
            </w:r>
          </w:p>
        </w:tc>
        <w:tc>
          <w:tcPr>
            <w:tcW w:type="dxa" w:w="1800"/>
            <w:vAlign w:val="center"/>
            <w:tcMar>
              <w:top w:w="80" w:type="dxa"/>
              <w:start w:w="100" w:type="dxa"/>
              <w:bottom w:w="80" w:type="dxa"/>
              <w:end w:w="100" w:type="dxa"/>
            </w:tcMar>
          </w:tcPr>
          <w:p>
            <w:pPr>
              <w:spacing w:after="0"/>
            </w:pPr>
            <w:r>
              <w:rPr>
                <w:rFonts w:ascii="Times New Roman" w:hAnsi="Times New Roman"/>
                <w:sz w:val="16"/>
              </w:rPr>
              <w:t>Accepted, then rolled back</w:t>
            </w:r>
          </w:p>
        </w:tc>
        <w:tc>
          <w:tcPr>
            <w:tcW w:type="dxa" w:w="3560"/>
            <w:vAlign w:val="center"/>
            <w:tcMar>
              <w:top w:w="80" w:type="dxa"/>
              <w:start w:w="100" w:type="dxa"/>
              <w:bottom w:w="80" w:type="dxa"/>
              <w:end w:w="100" w:type="dxa"/>
            </w:tcMar>
          </w:tcPr>
          <w:p>
            <w:pPr>
              <w:spacing w:after="0"/>
            </w:pPr>
            <w:r>
              <w:rPr>
                <w:rFonts w:ascii="Times New Roman" w:hAnsi="Times New Roman"/>
                <w:sz w:val="16"/>
              </w:rPr>
              <w:t>Confirms complete HR training outcomes are supported.</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T02</w:t>
            </w:r>
          </w:p>
        </w:tc>
        <w:tc>
          <w:tcPr>
            <w:tcW w:type="dxa" w:w="3300"/>
            <w:vAlign w:val="center"/>
            <w:tcMar>
              <w:top w:w="80" w:type="dxa"/>
              <w:start w:w="100" w:type="dxa"/>
              <w:bottom w:w="80" w:type="dxa"/>
              <w:end w:w="100" w:type="dxa"/>
            </w:tcMar>
          </w:tcPr>
          <w:p>
            <w:pPr>
              <w:spacing w:after="0"/>
            </w:pPr>
            <w:r>
              <w:rPr>
                <w:rFonts w:ascii="Times New Roman" w:hAnsi="Times New Roman"/>
                <w:sz w:val="16"/>
              </w:rPr>
              <w:t>Role end before start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CHECK Error 3819</w:t>
            </w:r>
          </w:p>
        </w:tc>
        <w:tc>
          <w:tcPr>
            <w:tcW w:type="dxa" w:w="3560"/>
            <w:vAlign w:val="center"/>
            <w:tcMar>
              <w:top w:w="80" w:type="dxa"/>
              <w:start w:w="100" w:type="dxa"/>
              <w:bottom w:w="80" w:type="dxa"/>
              <w:end w:w="100" w:type="dxa"/>
            </w:tcMar>
          </w:tcPr>
          <w:p>
            <w:pPr>
              <w:spacing w:after="0"/>
            </w:pPr>
            <w:r>
              <w:rPr>
                <w:rFonts w:ascii="Times New Roman" w:hAnsi="Times New Roman"/>
                <w:sz w:val="16"/>
              </w:rPr>
              <w:t>Prevents impossible role history.</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T03</w:t>
            </w:r>
          </w:p>
        </w:tc>
        <w:tc>
          <w:tcPr>
            <w:tcW w:type="dxa" w:w="3300"/>
            <w:vAlign w:val="center"/>
            <w:tcMar>
              <w:top w:w="80" w:type="dxa"/>
              <w:start w:w="100" w:type="dxa"/>
              <w:bottom w:w="80" w:type="dxa"/>
              <w:end w:w="100" w:type="dxa"/>
            </w:tcMar>
          </w:tcPr>
          <w:p>
            <w:pPr>
              <w:spacing w:after="0"/>
            </w:pPr>
            <w:r>
              <w:rPr>
                <w:rFonts w:ascii="Times New Roman" w:hAnsi="Times New Roman"/>
                <w:sz w:val="16"/>
              </w:rPr>
              <w:t>Reorder FALSE without comment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CHECK Error 3819</w:t>
            </w:r>
          </w:p>
        </w:tc>
        <w:tc>
          <w:tcPr>
            <w:tcW w:type="dxa" w:w="3560"/>
            <w:vAlign w:val="center"/>
            <w:tcMar>
              <w:top w:w="80" w:type="dxa"/>
              <w:start w:w="100" w:type="dxa"/>
              <w:bottom w:w="80" w:type="dxa"/>
              <w:end w:w="100" w:type="dxa"/>
            </w:tcMar>
          </w:tcPr>
          <w:p>
            <w:pPr>
              <w:spacing w:after="0"/>
            </w:pPr>
            <w:r>
              <w:rPr>
                <w:rFonts w:ascii="Times New Roman" w:hAnsi="Times New Roman"/>
                <w:sz w:val="16"/>
              </w:rPr>
              <w:t>Preserves the bottle sourcing/quality explanation.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T04</w:t>
            </w:r>
          </w:p>
        </w:tc>
        <w:tc>
          <w:tcPr>
            <w:tcW w:type="dxa" w:w="3300"/>
            <w:vAlign w:val="center"/>
            <w:tcMar>
              <w:top w:w="80" w:type="dxa"/>
              <w:start w:w="100" w:type="dxa"/>
              <w:bottom w:w="80" w:type="dxa"/>
              <w:end w:w="100" w:type="dxa"/>
            </w:tcMar>
          </w:tcPr>
          <w:p>
            <w:pPr>
              <w:spacing w:after="0"/>
            </w:pPr>
            <w:r>
              <w:rPr>
                <w:rFonts w:ascii="Times New Roman" w:hAnsi="Times New Roman"/>
                <w:sz w:val="16"/>
              </w:rPr>
              <w:t>Unpaid order shipment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Trigger Error 1644</w:t>
            </w:r>
          </w:p>
        </w:tc>
        <w:tc>
          <w:tcPr>
            <w:tcW w:type="dxa" w:w="3560"/>
            <w:vAlign w:val="center"/>
            <w:tcMar>
              <w:top w:w="80" w:type="dxa"/>
              <w:start w:w="100" w:type="dxa"/>
              <w:bottom w:w="80" w:type="dxa"/>
              <w:end w:w="100" w:type="dxa"/>
            </w:tcMar>
          </w:tcPr>
          <w:p>
            <w:pPr>
              <w:spacing w:after="0"/>
            </w:pPr>
            <w:r>
              <w:rPr>
                <w:rFonts w:ascii="Times New Roman" w:hAnsi="Times New Roman"/>
                <w:sz w:val="16"/>
              </w:rPr>
              <w:t>Prevents dispatch before accounting confirmation.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T05</w:t>
            </w:r>
          </w:p>
        </w:tc>
        <w:tc>
          <w:tcPr>
            <w:tcW w:type="dxa" w:w="3300"/>
            <w:vAlign w:val="center"/>
            <w:tcMar>
              <w:top w:w="80" w:type="dxa"/>
              <w:start w:w="100" w:type="dxa"/>
              <w:bottom w:w="80" w:type="dxa"/>
              <w:end w:w="100" w:type="dxa"/>
            </w:tcMar>
          </w:tcPr>
          <w:p>
            <w:pPr>
              <w:spacing w:after="0"/>
            </w:pPr>
            <w:r>
              <w:rPr>
                <w:rFonts w:ascii="Times New Roman" w:hAnsi="Times New Roman"/>
                <w:sz w:val="16"/>
              </w:rPr>
              <w:t>Overlapping supervision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Trigger Error 1644</w:t>
            </w:r>
          </w:p>
        </w:tc>
        <w:tc>
          <w:tcPr>
            <w:tcW w:type="dxa" w:w="3560"/>
            <w:vAlign w:val="center"/>
            <w:tcMar>
              <w:top w:w="80" w:type="dxa"/>
              <w:start w:w="100" w:type="dxa"/>
              <w:bottom w:w="80" w:type="dxa"/>
              <w:end w:w="100" w:type="dxa"/>
            </w:tcMar>
          </w:tcPr>
          <w:p>
            <w:pPr>
              <w:spacing w:after="0"/>
            </w:pPr>
            <w:r>
              <w:rPr>
                <w:rFonts w:ascii="Times New Roman" w:hAnsi="Times New Roman"/>
                <w:sz w:val="16"/>
              </w:rPr>
              <w:t>Enforces one supervisor at a point in time.</w:t>
            </w:r>
          </w:p>
        </w:tc>
      </w:tr>
    </w:tbl>
    <w:p>
      <w:pPr>
        <w:spacing w:after="0"/>
      </w:pPr>
    </w:p>
    <w:p>
      <w:pPr>
        <w:pStyle w:val="Heading3"/>
      </w:pPr>
      <w:r>
        <w:t>T01 — Valid completed training accepted</w:t>
      </w:r>
    </w:p>
    <w:p>
      <w:pPr>
        <w:spacing w:after="60"/>
      </w:pPr>
      <w:r>
        <w:rPr>
          <w:rFonts w:ascii="Times New Roman" w:hAnsi="Times New Roman"/>
          <w:b/>
          <w:color w:val="5B6573"/>
          <w:sz w:val="18"/>
        </w:rPr>
        <w:t>T01 readable SQL</w:t>
      </w:r>
    </w:p>
    <w:p>
      <w:pPr>
        <w:spacing w:after="120"/>
        <w:ind w:left="173" w:right="173"/>
        <w:shd w:fill="F2F4F7"/>
      </w:pPr>
      <w:r>
        <w:rPr>
          <w:rFonts w:ascii="Menlo" w:hAnsi="Menlo"/>
          <w:color w:val="111827"/>
          <w:sz w:val="15"/>
        </w:rPr>
        <w:t>USE cloudrestwines;</w:t>
        <w:br/>
        <w:t>START TRANSACTION;</w:t>
        <w:br/>
        <w:t>INSERT INTO trainingattendance VALUES</w:t>
        <w:br/>
        <w:t>('TRSE0004','EMP0007','COMPLETED',DATE_SUB(CURRENT_DATE,INTERVAL 60 DAY),DATE_ADD(CURRENT_DATE,INTERVAL 670 DAY),'COMPETENT');</w:t>
        <w:br/>
        <w:t>SELECT 'PASS: valid completed training was accepted' AS testResult;</w:t>
        <w:br/>
        <w:t>ROLLBACK;</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T01] Expected: Accepted, then rolled back. Confirms complete HR training outcomes are supported.</w:t>
            </w:r>
          </w:p>
        </w:tc>
        <w:trPr>
          <w:tblHeader/>
        </w:trPr>
      </w:tr>
    </w:tbl>
    <w:p>
      <w:pPr>
        <w:spacing w:after="0"/>
      </w:pPr>
    </w:p>
    <w:p>
      <w:pPr>
        <w:pStyle w:val="Heading3"/>
      </w:pPr>
      <w:r>
        <w:t>T02 — Role end before start rejected</w:t>
      </w:r>
    </w:p>
    <w:p>
      <w:pPr>
        <w:spacing w:after="60"/>
      </w:pPr>
      <w:r>
        <w:rPr>
          <w:rFonts w:ascii="Times New Roman" w:hAnsi="Times New Roman"/>
          <w:b/>
          <w:color w:val="5B6573"/>
          <w:sz w:val="18"/>
        </w:rPr>
        <w:t>T02 readable SQL</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T02] Expected: CHECK Error 3819. Prevents impossible role history.</w:t>
            </w:r>
          </w:p>
        </w:tc>
        <w:trPr>
          <w:tblHeader/>
        </w:trPr>
      </w:tr>
    </w:tbl>
    <w:p>
      <w:pPr>
        <w:spacing w:after="0"/>
      </w:pPr>
    </w:p>
    <w:p>
      <w:pPr>
        <w:pStyle w:val="Heading3"/>
      </w:pPr>
      <w:r>
        <w:t>T03 — Reorder FALSE without comment rejected</w:t>
      </w:r>
    </w:p>
    <w:p>
      <w:pPr>
        <w:spacing w:after="60"/>
      </w:pPr>
      <w:r>
        <w:rPr>
          <w:rFonts w:ascii="Times New Roman" w:hAnsi="Times New Roman"/>
          <w:b/>
          <w:color w:val="5B6573"/>
          <w:sz w:val="18"/>
        </w:rPr>
        <w:t>T03 readable SQL</w:t>
      </w:r>
    </w:p>
    <w:p>
      <w:pPr>
        <w:spacing w:after="120"/>
        <w:ind w:left="173" w:right="173"/>
        <w:shd w:fill="F2F4F7"/>
      </w:pPr>
      <w:r>
        <w:rPr>
          <w:rFonts w:ascii="Menlo" w:hAnsi="Menlo"/>
          <w:color w:val="111827"/>
          <w:sz w:val="15"/>
        </w:rPr>
        <w:t>USE cloudrestwines;</w:t>
        <w:br/>
        <w:t>INSERT INTO bottletype VALUES</w:t>
        <w:br/>
        <w:t>('BOTL099',750,'Test','GLASS','Green',0,1.00,FALSE,NULL);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T03] Expected: CHECK Error 3819. Preserves the bottle sourcing/quality explanation.</w:t>
            </w:r>
          </w:p>
        </w:tc>
        <w:trPr>
          <w:tblHeader/>
        </w:trPr>
      </w:tr>
    </w:tbl>
    <w:p>
      <w:pPr>
        <w:spacing w:after="0"/>
      </w:pPr>
    </w:p>
    <w:p>
      <w:pPr>
        <w:pStyle w:val="Heading3"/>
      </w:pPr>
      <w:r>
        <w:t>T04 — Unpaid order shipment rejected</w:t>
      </w:r>
    </w:p>
    <w:p>
      <w:pPr>
        <w:spacing w:after="60"/>
      </w:pPr>
      <w:r>
        <w:rPr>
          <w:rFonts w:ascii="Times New Roman" w:hAnsi="Times New Roman"/>
          <w:b/>
          <w:color w:val="5B6573"/>
          <w:sz w:val="18"/>
        </w:rPr>
        <w:t>T04 readable SQL</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shipment VALUES ('SHIP0998','CORD0998','ADDR0003',CURRENT_DATE);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T04] Expected: Trigger Error 1644. Prevents dispatch before accounting confirmation.</w:t>
            </w:r>
          </w:p>
        </w:tc>
        <w:trPr>
          <w:tblHeader/>
        </w:trPr>
      </w:tr>
    </w:tbl>
    <w:p>
      <w:pPr>
        <w:spacing w:after="0"/>
      </w:pPr>
    </w:p>
    <w:p>
      <w:pPr>
        <w:pStyle w:val="Heading3"/>
      </w:pPr>
      <w:r>
        <w:t>T05 — Overlapping supervision rejected</w:t>
      </w:r>
    </w:p>
    <w:p>
      <w:pPr>
        <w:spacing w:after="60"/>
      </w:pPr>
      <w:r>
        <w:rPr>
          <w:rFonts w:ascii="Times New Roman" w:hAnsi="Times New Roman"/>
          <w:b/>
          <w:color w:val="5B6573"/>
          <w:sz w:val="18"/>
        </w:rPr>
        <w:t>T05 readable SQL</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T05] Expected: Trigger Error 1644. Enforces one supervisor at a point in time.</w:t>
            </w:r>
          </w:p>
        </w:tc>
        <w:trPr>
          <w:tblHeader/>
        </w:trPr>
      </w:tr>
    </w:tbl>
    <w:p>
      <w:pPr>
        <w:spacing w:after="0"/>
      </w:pPr>
    </w:p>
    <w:p>
      <w:pPr>
        <w:pStyle w:val="Heading1"/>
      </w:pPr>
      <w:r>
        <w:t>Task 7 — Decision-Support SQL Queries</w:t>
      </w:r>
    </w:p>
    <w:p>
      <w:pPr>
        <w:pStyle w:val="Heading2"/>
      </w:pPr>
      <w:r>
        <w:t>Query 1 — Annual safety and sustainability training coverage</w:t>
      </w:r>
    </w:p>
    <w:p>
      <w:pPr>
        <w:widowControl/>
      </w:pPr>
      <w:r>
        <w:rPr>
          <w:rFonts w:ascii="Times New Roman" w:hAnsi="Times New Roman"/>
          <w:i w:val="0"/>
          <w:sz w:val="24"/>
        </w:rPr>
        <w:t>Decision. Direct training resources to operational areas below target. The query counts active workers and employees who completed both categories during the current year. Current test results show Vineyard at 50%, while Cellar and Administration are 0%; management should schedule the missing sustainability/safety sessions rather than treating attendance at either category as full coverage.</w:t>
      </w:r>
    </w:p>
    <w:p>
      <w:pPr>
        <w:widowControl/>
      </w:pPr>
      <w:r>
        <w:rPr>
          <w:rFonts w:ascii="Times New Roman" w:hAnsi="Times New Roman"/>
          <w:i w:val="0"/>
          <w:sz w:val="24"/>
        </w:rPr>
        <w:t>Features. Six tables/CTEs, left join, annual date logic, distinct-category validation, safe percentage calculation.</w:t>
      </w: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w:t>
        <w:br/>
        <w:t xml:space="preserve">  FROM trainingattendance ta</w:t>
        <w:br/>
        <w:t xml:space="preserve">  JOIN trainingsession ts ON ts.trainingSessionId = ta.trainingSessionId</w:t>
        <w:br/>
        <w:t xml:space="preserve">  JOIN trainingcourse tc ON tc.trainingCourseId = ts.trainingCourseId</w:t>
        <w:br/>
        <w:t xml:space="preserve">  JOIN activeworkforce aw ON aw.employeeId = ta.employeeId</w:t>
        <w:br/>
        <w:t xml:space="preserve">  WHERE ta.attendanceStatus = 'COMPLETED'</w:t>
        <w:br/>
        <w:t xml:space="preserve">    AND tc.trainingCategory IN ('SAFETY','SUSTAINABILITY')</w:t>
        <w:br/>
        <w:t xml:space="preserve">    AND ts.sessionDate &gt;= MAKEDATE(YEAR(CURRENT_DATE), 1)</w:t>
        <w:br/>
        <w:t xml:space="preserve">    AND (ts.operationalAreaId IS NULL OR ts.operationalAreaId = aw.operationalAreaId)</w:t>
        <w:br/>
        <w:t xml:space="preserve">  GROUP BY ta.employeeId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w:t>
        <w:br/>
        <w:t>GROUP BY oa.operationalAreaId, oa.areaName</w:t>
        <w:br/>
        <w:t>ORDER BY coveragePercent, oa.areaName;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1] Capture the required output(s) listed in docs/evidence/student-screenshot-checklist.md.</w:t>
            </w:r>
          </w:p>
        </w:tc>
        <w:trPr>
          <w:tblHeader/>
        </w:trPr>
      </w:tr>
    </w:tbl>
    <w:p>
      <w:pPr>
        <w:spacing w:after="0"/>
      </w:pPr>
    </w:p>
    <w:p>
      <w:pPr>
        <w:pStyle w:val="Heading2"/>
      </w:pPr>
      <w:r>
        <w:t>Query 2 — Incidents per 1,000 labour hours</w:t>
      </w:r>
    </w:p>
    <w:p>
      <w:pPr>
        <w:widowControl/>
      </w:pPr>
      <w:r>
        <w:rPr>
          <w:rFonts w:ascii="Times New Roman" w:hAnsi="Times New Roman"/>
          <w:i w:val="0"/>
          <w:sz w:val="24"/>
        </w:rPr>
        <w:t>Decision. Prioritise intervention using an exposure-adjusted measure rather than raw event counts. In the current test baseline, Vineyard records 22.73 incidents per 1,000 hours and Cellar 18.52. Because the dataset is intentionally small, these are demonstration results and not real operational estimates.</w:t>
      </w:r>
    </w:p>
    <w:p>
      <w:pPr>
        <w:widowControl/>
      </w:pPr>
      <w:r>
        <w:rPr>
          <w:rFonts w:ascii="Times New Roman" w:hAnsi="Times New Roman"/>
          <w:i w:val="0"/>
          <w:sz w:val="24"/>
        </w:rPr>
        <w:t>Features. Rolling 12-month window, separate numerator/denominator CTEs, several joins, safe division, lost-hours context. This is sustainability query two.</w:t>
      </w: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labour hours during the last 12 months.</w:t>
        <w:br/>
        <w:t>WITH hoursbyarea AS (</w:t>
        <w:br/>
        <w:t xml:space="preserve">  SELECT s.operationalAreaId, SUM(sa.regularHours + sa.overtimeHours) AS labourHours</w:t>
        <w:br/>
        <w:t xml:space="preserve">  FROM shift s JOIN shiftassignment sa ON sa.shiftId = s.shiftId</w:t>
        <w:br/>
        <w:t xml:space="preserve">  WHERE s.shiftDate &gt;= DATE_SUB(CURRENT_DATE, INTERVAL 12 MONTH)</w:t>
        <w:br/>
        <w:t xml:space="preserve">  GROUP BY s.operationalAreaId</w:t>
        <w:br/>
        <w:t>), incidentsbyarea AS (</w:t>
        <w:br/>
        <w:t xml:space="preserve">  SELECT operationalAreaId, COUNT(*) AS incidentCount, SUM(totalLostHours) AS lostHours</w:t>
        <w:br/>
        <w:t xml:space="preserve">  FROM incident</w:t>
        <w:br/>
        <w:t xml:space="preserve">  WHERE incidentDateTime &gt;= DATE_SUB(CURRENT_DATE, INTERVAL 12 MONTH)</w:t>
        <w:br/>
        <w:t xml:space="preserve">  GROUP BY operationalAreaId</w:t>
        <w:br/>
        <w:t>)</w:t>
        <w:br/>
        <w:t>SELECT oa.areaName, h.labourHours, COALESCE(i.incidentCount,0) AS incidentCount,</w:t>
        <w:br/>
        <w:t xml:space="preserve">       COALESCE(i.lostHours,0) AS lostHours,</w:t>
        <w:br/>
        <w:t xml:space="preserve">       ROUND(COALESCE(i.incidentCount,0) * 1000.0 / NULLIF(h.labourHours,0), 2) AS incidentsPer1000Hours</w:t>
        <w:br/>
        <w:t>FROM hoursbyarea h</w:t>
        <w:br/>
        <w:t>JOIN operationalarea oa ON oa.operationalAreaId = h.operationalAreaId</w:t>
        <w:br/>
        <w:t>LEFT JOIN incidentsbyarea i ON i.operationalAreaId = h.operationalAreaId</w:t>
        <w:br/>
        <w:t>ORDER BY incidentsPer1000Hours DESC;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2] Capture the required output(s) listed in docs/evidence/student-screenshot-checklist.md.</w:t>
            </w:r>
          </w:p>
        </w:tc>
        <w:trPr>
          <w:tblHeader/>
        </w:trPr>
      </w:tr>
    </w:tbl>
    <w:p>
      <w:pPr>
        <w:spacing w:after="0"/>
      </w:pPr>
    </w:p>
    <w:p>
      <w:pPr>
        <w:pStyle w:val="Heading2"/>
      </w:pPr>
      <w:r>
        <w:t>Query 3 — Incidents before and after training</w:t>
      </w:r>
    </w:p>
    <w:p>
      <w:pPr>
        <w:widowControl/>
      </w:pPr>
      <w:r>
        <w:rPr>
          <w:rFonts w:ascii="Times New Roman" w:hAnsi="Times New Roman"/>
          <w:i w:val="0"/>
          <w:sz w:val="24"/>
        </w:rPr>
        <w:t>Decision. Assess whether annual safety training is associated with fewer employee incidents. The query uses each employee's first completed safety course and counts incidents in symmetric 180-day windows. Test employee EMP0008 changes from one incident before to zero after; the report must not claim causality from this small synthetic sample.</w:t>
      </w:r>
    </w:p>
    <w:p>
      <w:pPr>
        <w:widowControl/>
      </w:pPr>
      <w:r>
        <w:rPr>
          <w:rFonts w:ascii="Times New Roman" w:hAnsi="Times New Roman"/>
          <w:i w:val="0"/>
          <w:sz w:val="24"/>
        </w:rPr>
        <w:t>Features. Pre/post date arithmetic, conditional aggregation, employee/course/session/incident joins.</w:t>
      </w: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in the 180 days before and after completed annual safety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w:t>
        <w:br/>
        <w:t>SELECT c.employeeId, CONCAT(e.firstName,' ',e.lastName) AS employeeName, c.completionDate,</w:t>
        <w:br/>
        <w:t xml:space="preserve">       SUM(CASE WHEN i.incidentDateTime &gt;= DATE_SUB(c.completionDate, INTERVAL 180 DAY)</w:t>
        <w:br/>
        <w:t xml:space="preserve">                 AND i.incidentDateTime &lt; c.completionDate THEN 1 ELSE 0 END) AS incidentsBefore,</w:t>
        <w:br/>
        <w:t xml:space="preserve">       SUM(CASE WHEN i.incidentDateTime &gt;= c.completionDate</w:t>
        <w:br/>
        <w:t xml:space="preserve">                 AND i.incidentDateTime &lt; DATE_ADD(c.completionDate, INTERVAL 180 DAY) THEN 1 ELSE 0 END) AS incidentsAfter</w:t>
        <w:br/>
        <w:t>FROM completion c</w:t>
        <w:br/>
        <w:t>JOIN employee e ON e.employeeId = c.employeeId</w:t>
        <w:br/>
        <w:t>LEFT JOIN incidentemployee ie ON ie.employeeId = c.employeeId AND ie.involvementRole = 'AFFECTED'</w:t>
        <w:br/>
        <w:t>LEFT JOIN incident i ON i.incidentId = ie.incidentId</w:t>
        <w:br/>
        <w:t>GROUP BY c.employeeId, e.firstName, e.lastName, c.completionDate</w:t>
        <w:br/>
        <w:t>ORDER BY incidentsBefore DESC, incidentsAfter DESC;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3] Capture the required output(s) listed in docs/evidence/student-screenshot-checklist.md.</w:t>
            </w:r>
          </w:p>
        </w:tc>
        <w:trPr>
          <w:tblHeader/>
        </w:trPr>
      </w:tr>
    </w:tbl>
    <w:p>
      <w:pPr>
        <w:spacing w:after="0"/>
      </w:pPr>
    </w:p>
    <w:p>
      <w:pPr>
        <w:pStyle w:val="Heading2"/>
      </w:pPr>
      <w:r>
        <w:t>Query 4 — Recent overtime and review indicators</w:t>
      </w:r>
    </w:p>
    <w:p>
      <w:pPr>
        <w:widowControl/>
      </w:pPr>
      <w:r>
        <w:rPr>
          <w:rFonts w:ascii="Times New Roman" w:hAnsi="Times New Roman"/>
          <w:i w:val="0"/>
          <w:sz w:val="24"/>
        </w:rPr>
        <w:t>Decision. Identify employees for supervisor workload/safety review without exposing confidential wellbeing notes. The test output flags EMP0009 and EMP0011 because each has seven overtime hours plus a recent incident and concern. Results are triage indicators, not medical or disciplinary conclusions.</w:t>
      </w:r>
    </w:p>
    <w:p>
      <w:pPr>
        <w:widowControl/>
      </w:pPr>
      <w:r>
        <w:rPr>
          <w:rFonts w:ascii="Times New Roman" w:hAnsi="Times New Roman"/>
          <w:i w:val="0"/>
          <w:sz w:val="24"/>
        </w:rPr>
        <w:t>Features. Last-30-days logic, three CTEs, left joins, privacy-aware output and rule-based action label.</w:t>
      </w: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Identify people for supervisor review without exposing confidential wellbeing notes.</w:t>
        <w:br/>
        <w:t>WITH workload AS (</w:t>
        <w:br/>
        <w:t xml:space="preserve">  SELECT sa.employeeId, SUM(sa.regularHours) AS regularHours, SUM(sa.overtimeHours) AS overtimeHours</w:t>
        <w:br/>
        <w:t xml:space="preserve">  FROM shiftassignment sa JOIN shift s ON s.shiftId = sa.shiftId</w:t>
        <w:br/>
        <w:t xml:space="preserve">  WHERE s.shiftDate &gt;= DATE_SUB(CURRENT_DATE, INTERVAL 30 DAY)</w:t>
        <w:br/>
        <w:t xml:space="preserve">  GROUP BY sa.employeeId</w:t>
        <w:br/>
        <w:t>), recentincident AS (</w:t>
        <w:br/>
        <w:t xml:space="preserve">  SELECT ie.employeeId, COUNT(DISTINCT ie.incidentId) AS incidentCount</w:t>
        <w:br/>
        <w:t xml:space="preserve">  FROM incidentemployee ie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 AND concernRaisedFlag = TRUE</w:t>
        <w:br/>
        <w:t xml:space="preserve">  GROUP BY employeeId</w:t>
        <w:br/>
        <w:t>)</w:t>
        <w:br/>
        <w:t>SELECT w.employeeId, CONCAT(e.firstName,' ',e.lastName) AS employeeName,</w:t>
        <w:br/>
        <w:t xml:space="preserve">       w.regularHours, w.overtimeHours, COALESCE(ri.incidentCount,0) AS recentIncidents,</w:t>
        <w:br/>
        <w:t xml:space="preserve">       COALESCE(rc.concernCount,0) AS wellbeingConcernCount,</w:t>
        <w:br/>
        <w:t xml:space="preserve">       CASE WHEN w.overtimeHours &gt;= 4 OR ri.incidentCount &gt; 0 OR rc.concernCount &gt; 0 THEN 'SUPERVISOR REVIEW' ELSE 'MONITOR' END AS recommendedAction</w:t>
        <w:br/>
        <w:t>FROM workload w</w:t>
        <w:br/>
        <w:t>JOIN employee e ON e.employeeId = w.employeeId</w:t>
        <w:br/>
        <w:t>LEFT JOIN recentincident ri ON ri.employeeId = w.employeeId</w:t>
        <w:br/>
        <w:t>LEFT JOIN recentconcern rc ON rc.employeeId = w.employeeId</w:t>
        <w:br/>
        <w:t>ORDER BY (w.overtimeHours + COALESCE(ri.incidentCount,0) * 5 + COALESCE(rc.concernCount,0) * 5) DESC;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4] Capture the required output(s) listed in docs/evidence/student-screenshot-checklist.md.</w:t>
            </w:r>
          </w:p>
        </w:tc>
        <w:trPr>
          <w:tblHeader/>
        </w:trPr>
      </w:tr>
    </w:tbl>
    <w:p>
      <w:pPr>
        <w:spacing w:after="0"/>
      </w:pPr>
    </w:p>
    <w:p>
      <w:pPr>
        <w:pStyle w:val="Heading2"/>
      </w:pPr>
      <w:r>
        <w:t>Query 5 — Expiring qualifications procedure</w:t>
      </w:r>
    </w:p>
    <w:p>
      <w:pPr>
        <w:widowControl/>
      </w:pPr>
      <w:r>
        <w:rPr>
          <w:rFonts w:ascii="Times New Roman" w:hAnsi="Times New Roman"/>
          <w:i w:val="0"/>
          <w:sz w:val="24"/>
        </w:rPr>
        <w:t>Decision. Plan renewals using different horizons. CALL getExpiringQualifications(30) returns one first-aid certificate; CALL getExpiringQualifications(90) adds a chemical-handling permit. The parameter is constrained to 0–730 days to reject unreasonable input.</w:t>
      </w:r>
    </w:p>
    <w:p>
      <w:pPr>
        <w:widowControl/>
      </w:pPr>
      <w:r>
        <w:rPr>
          <w:rFonts w:ascii="Times New Roman" w:hAnsi="Times New Roman"/>
          <w:i w:val="0"/>
          <w:sz w:val="24"/>
        </w:rPr>
        <w:t>Features. Stored procedure with input parameter, two video calls, current-date interval logic, multiple joins.</w:t>
      </w: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5] Capture the required output(s) listed in docs/evidence/student-screenshot-checklist.md.</w:t>
            </w:r>
          </w:p>
        </w:tc>
        <w:trPr>
          <w:tblHeader/>
        </w:trPr>
      </w:tr>
    </w:tbl>
    <w:p>
      <w:pPr>
        <w:spacing w:after="0"/>
      </w:pPr>
    </w:p>
    <w:p>
      <w:pPr>
        <w:pStyle w:val="Heading2"/>
      </w:pPr>
      <w:r>
        <w:t>Query 6 — Open corrective actions View and EXPLAIN</w:t>
      </w:r>
    </w:p>
    <w:p>
      <w:pPr>
        <w:widowControl/>
      </w:pPr>
      <w:r>
        <w:rPr>
          <w:rFonts w:ascii="Times New Roman" w:hAnsi="Times New Roman"/>
          <w:i w:val="0"/>
          <w:sz w:val="24"/>
        </w:rPr>
        <w:t>Decision. Prioritise overdue/high-severity corrective action. The View reports one action five days overdue and one future high-severity action. It excludes completed/cancelled actions and calculates days overdue consistently.</w:t>
      </w:r>
    </w:p>
    <w:p>
      <w:pPr>
        <w:widowControl/>
      </w:pPr>
      <w:r>
        <w:rPr>
          <w:rFonts w:ascii="Times New Roman" w:hAnsi="Times New Roman"/>
          <w:i w:val="0"/>
          <w:sz w:val="24"/>
        </w:rPr>
        <w:t>Features. View, multiple joins, current-date elapsed logic and EXPLAIN.</w:t>
      </w:r>
    </w:p>
    <w:p>
      <w:pPr>
        <w:widowControl/>
      </w:pPr>
      <w:r>
        <w:rPr>
          <w:rFonts w:ascii="Times New Roman" w:hAnsi="Times New Roman"/>
          <w:i w:val="0"/>
          <w:sz w:val="24"/>
        </w:rPr>
        <w:t>Execution-plan interpretation (under 100 words). MySQL uses idx_action_status_date with range access to filter open/in-progress actions, then resolves incident, operational-area and employee joins using eq_ref primary-key lookups (one matching row each). This indicates efficient join access. The final calculated ordering requires a temporary table and filesort because it combines daysOverdue, a Boolean expression and custom severity ordering. That is acceptable for the small action queue; if volume grows, a persisted priority or simpler indexed ordering should be evaluated without denormalising the authoritative incident data prematurely.</w:t>
      </w: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6] Capture the required output(s) listed in docs/evidence/student-screenshot-checklist.md.</w:t>
            </w:r>
          </w:p>
        </w:tc>
        <w:trPr>
          <w:tblHeader/>
        </w:trPr>
      </w:tr>
    </w:tbl>
    <w:p>
      <w:pPr>
        <w:spacing w:after="0"/>
      </w:pP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Remaining work depends on course inputs or genuine student participation and is listed transparently rather than simulated.</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pStyle w:val="Heading1"/>
      </w:pPr>
      <w:r>
        <w:t>Appendix A — Workbench Domain EER Views</w:t>
      </w:r>
    </w:p>
    <w:p>
      <w:pPr>
        <w:keepNext/>
        <w:jc w:val="center"/>
      </w:pPr>
      <w:r>
        <w:drawing>
          <wp:inline xmlns:a="http://schemas.openxmlformats.org/drawingml/2006/main" xmlns:pic="http://schemas.openxmlformats.org/drawingml/2006/picture">
            <wp:extent cx="3997638" cy="6583680"/>
            <wp:docPr id="2" name="Picture 2" descr="Image: image2.png"/>
            <wp:cNvGraphicFramePr>
              <a:graphicFrameLocks noChangeAspect="1"/>
            </wp:cNvGraphicFramePr>
            <a:graphic>
              <a:graphicData uri="http://schemas.openxmlformats.org/drawingml/2006/picture">
                <pic:pic>
                  <pic:nvPicPr>
                    <pic:cNvPr id="0" name="ER_Personnel_History.png"/>
                    <pic:cNvPicPr/>
                  </pic:nvPicPr>
                  <pic:blipFill>
                    <a:blip r:embed="rId12"/>
                    <a:stretch>
                      <a:fillRect/>
                    </a:stretch>
                  </pic:blipFill>
                  <pic:spPr>
                    <a:xfrm>
                      <a:off x="0" y="0"/>
                      <a:ext cx="3997638" cy="6583680"/>
                    </a:xfrm>
                    <a:prstGeom prst="rect"/>
                  </pic:spPr>
                </pic:pic>
              </a:graphicData>
            </a:graphic>
          </wp:inline>
        </w:drawing>
      </w:r>
    </w:p>
    <w:p>
      <w:pPr>
        <w:spacing w:after="160"/>
        <w:jc w:val="center"/>
      </w:pPr>
      <w:r>
        <w:rPr>
          <w:rFonts w:ascii="Times New Roman" w:hAnsi="Times New Roman"/>
          <w:i/>
          <w:color w:val="5B6573"/>
          <w:sz w:val="18"/>
        </w:rPr>
        <w:t>Personnel History</w:t>
      </w:r>
    </w:p>
    <w:p>
      <w:pPr>
        <w:keepNext/>
        <w:jc w:val="center"/>
      </w:pPr>
      <w:r>
        <w:drawing>
          <wp:inline xmlns:a="http://schemas.openxmlformats.org/drawingml/2006/main" xmlns:pic="http://schemas.openxmlformats.org/drawingml/2006/picture">
            <wp:extent cx="5303520" cy="5684520"/>
            <wp:docPr id="3" name="Picture 3" descr="Image: image3.png"/>
            <wp:cNvGraphicFramePr>
              <a:graphicFrameLocks noChangeAspect="1"/>
            </wp:cNvGraphicFramePr>
            <a:graphic>
              <a:graphicData uri="http://schemas.openxmlformats.org/drawingml/2006/picture">
                <pic:pic>
                  <pic:nvPicPr>
                    <pic:cNvPr id="0" name="ER_HR_Training_Qualifications.png"/>
                    <pic:cNvPicPr/>
                  </pic:nvPicPr>
                  <pic:blipFill>
                    <a:blip r:embed="rId13"/>
                    <a:stretch>
                      <a:fillRect/>
                    </a:stretch>
                  </pic:blipFill>
                  <pic:spPr>
                    <a:xfrm>
                      <a:off x="0" y="0"/>
                      <a:ext cx="5303520" cy="5684520"/>
                    </a:xfrm>
                    <a:prstGeom prst="rect"/>
                  </pic:spPr>
                </pic:pic>
              </a:graphicData>
            </a:graphic>
          </wp:inline>
        </w:drawing>
      </w:r>
    </w:p>
    <w:p>
      <w:pPr>
        <w:spacing w:after="160"/>
        <w:jc w:val="center"/>
      </w:pPr>
      <w:r>
        <w:rPr>
          <w:rFonts w:ascii="Times New Roman" w:hAnsi="Times New Roman"/>
          <w:i/>
          <w:color w:val="5B6573"/>
          <w:sz w:val="18"/>
        </w:rPr>
        <w:t>HR Training Qualifications</w:t>
      </w:r>
    </w:p>
    <w:p>
      <w:pPr>
        <w:keepNext/>
        <w:jc w:val="center"/>
      </w:pPr>
      <w:r>
        <w:drawing>
          <wp:inline xmlns:a="http://schemas.openxmlformats.org/drawingml/2006/main" xmlns:pic="http://schemas.openxmlformats.org/drawingml/2006/picture">
            <wp:extent cx="3766477" cy="6583680"/>
            <wp:docPr id="4" name="Picture 4" descr="Image: image4.png"/>
            <wp:cNvGraphicFramePr>
              <a:graphicFrameLocks noChangeAspect="1"/>
            </wp:cNvGraphicFramePr>
            <a:graphic>
              <a:graphicData uri="http://schemas.openxmlformats.org/drawingml/2006/picture">
                <pic:pic>
                  <pic:nvPicPr>
                    <pic:cNvPr id="0" name="ER_HR_Shifts_Safety_Wellbeing.png"/>
                    <pic:cNvPicPr/>
                  </pic:nvPicPr>
                  <pic:blipFill>
                    <a:blip r:embed="rId14"/>
                    <a:stretch>
                      <a:fillRect/>
                    </a:stretch>
                  </pic:blipFill>
                  <pic:spPr>
                    <a:xfrm>
                      <a:off x="0" y="0"/>
                      <a:ext cx="3766477" cy="6583680"/>
                    </a:xfrm>
                    <a:prstGeom prst="rect"/>
                  </pic:spPr>
                </pic:pic>
              </a:graphicData>
            </a:graphic>
          </wp:inline>
        </w:drawing>
      </w:r>
    </w:p>
    <w:p>
      <w:pPr>
        <w:spacing w:after="160"/>
        <w:jc w:val="center"/>
      </w:pPr>
      <w:r>
        <w:rPr>
          <w:rFonts w:ascii="Times New Roman" w:hAnsi="Times New Roman"/>
          <w:i/>
          <w:color w:val="5B6573"/>
          <w:sz w:val="18"/>
        </w:rPr>
        <w:t>HR Shifts Safety Wellbeing</w:t>
      </w:r>
    </w:p>
    <w:p>
      <w:pPr>
        <w:keepNext/>
        <w:jc w:val="center"/>
      </w:pPr>
      <w:r>
        <w:drawing>
          <wp:inline xmlns:a="http://schemas.openxmlformats.org/drawingml/2006/main" xmlns:pic="http://schemas.openxmlformats.org/drawingml/2006/picture">
            <wp:extent cx="3813780" cy="6583680"/>
            <wp:docPr id="5" name="Picture 5" descr="Image: image5.png"/>
            <wp:cNvGraphicFramePr>
              <a:graphicFrameLocks noChangeAspect="1"/>
            </wp:cNvGraphicFramePr>
            <a:graphic>
              <a:graphicData uri="http://schemas.openxmlformats.org/drawingml/2006/picture">
                <pic:pic>
                  <pic:nvPicPr>
                    <pic:cNvPr id="0" name="ER_Vineyard_Wine_Production.png"/>
                    <pic:cNvPicPr/>
                  </pic:nvPicPr>
                  <pic:blipFill>
                    <a:blip r:embed="rId15"/>
                    <a:stretch>
                      <a:fillRect/>
                    </a:stretch>
                  </pic:blipFill>
                  <pic:spPr>
                    <a:xfrm>
                      <a:off x="0" y="0"/>
                      <a:ext cx="3813780" cy="6583680"/>
                    </a:xfrm>
                    <a:prstGeom prst="rect"/>
                  </pic:spPr>
                </pic:pic>
              </a:graphicData>
            </a:graphic>
          </wp:inline>
        </w:drawing>
      </w:r>
    </w:p>
    <w:p>
      <w:pPr>
        <w:spacing w:after="160"/>
        <w:jc w:val="center"/>
      </w:pPr>
      <w:r>
        <w:rPr>
          <w:rFonts w:ascii="Times New Roman" w:hAnsi="Times New Roman"/>
          <w:i/>
          <w:color w:val="5B6573"/>
          <w:sz w:val="18"/>
        </w:rPr>
        <w:t>Vineyard Wine Production</w:t>
      </w:r>
    </w:p>
    <w:p>
      <w:pPr>
        <w:keepNext/>
        <w:jc w:val="center"/>
      </w:pPr>
      <w:r>
        <w:drawing>
          <wp:inline xmlns:a="http://schemas.openxmlformats.org/drawingml/2006/main" xmlns:pic="http://schemas.openxmlformats.org/drawingml/2006/picture">
            <wp:extent cx="5303520" cy="6558551"/>
            <wp:docPr id="6" name="Picture 6" descr="Image: image6.png"/>
            <wp:cNvGraphicFramePr>
              <a:graphicFrameLocks noChangeAspect="1"/>
            </wp:cNvGraphicFramePr>
            <a:graphic>
              <a:graphicData uri="http://schemas.openxmlformats.org/drawingml/2006/picture">
                <pic:pic>
                  <pic:nvPicPr>
                    <pic:cNvPr id="0" name="ER_Products_Procurement.png"/>
                    <pic:cNvPicPr/>
                  </pic:nvPicPr>
                  <pic:blipFill>
                    <a:blip r:embed="rId16"/>
                    <a:stretch>
                      <a:fillRect/>
                    </a:stretch>
                  </pic:blipFill>
                  <pic:spPr>
                    <a:xfrm>
                      <a:off x="0" y="0"/>
                      <a:ext cx="5303520" cy="6558551"/>
                    </a:xfrm>
                    <a:prstGeom prst="rect"/>
                  </pic:spPr>
                </pic:pic>
              </a:graphicData>
            </a:graphic>
          </wp:inline>
        </w:drawing>
      </w:r>
    </w:p>
    <w:p>
      <w:pPr>
        <w:spacing w:after="160"/>
        <w:jc w:val="center"/>
      </w:pPr>
      <w:r>
        <w:rPr>
          <w:rFonts w:ascii="Times New Roman" w:hAnsi="Times New Roman"/>
          <w:i/>
          <w:color w:val="5B6573"/>
          <w:sz w:val="18"/>
        </w:rPr>
        <w:t>Products Procurement</w:t>
      </w:r>
    </w:p>
    <w:p>
      <w:pPr>
        <w:keepNext/>
        <w:jc w:val="center"/>
      </w:pPr>
      <w:r>
        <w:drawing>
          <wp:inline xmlns:a="http://schemas.openxmlformats.org/drawingml/2006/main" xmlns:pic="http://schemas.openxmlformats.org/drawingml/2006/picture">
            <wp:extent cx="3949130" cy="6583680"/>
            <wp:docPr id="7" name="Picture 7" descr="Image: image7.png"/>
            <wp:cNvGraphicFramePr>
              <a:graphicFrameLocks noChangeAspect="1"/>
            </wp:cNvGraphicFramePr>
            <a:graphic>
              <a:graphicData uri="http://schemas.openxmlformats.org/drawingml/2006/picture">
                <pic:pic>
                  <pic:nvPicPr>
                    <pic:cNvPr id="0" name="ER_Customers_Orders.png"/>
                    <pic:cNvPicPr/>
                  </pic:nvPicPr>
                  <pic:blipFill>
                    <a:blip r:embed="rId17"/>
                    <a:stretch>
                      <a:fillRect/>
                    </a:stretch>
                  </pic:blipFill>
                  <pic:spPr>
                    <a:xfrm>
                      <a:off x="0" y="0"/>
                      <a:ext cx="3949130" cy="6583680"/>
                    </a:xfrm>
                    <a:prstGeom prst="rect"/>
                  </pic:spPr>
                </pic:pic>
              </a:graphicData>
            </a:graphic>
          </wp:inline>
        </w:drawing>
      </w:r>
    </w:p>
    <w:p>
      <w:pPr>
        <w:spacing w:after="160"/>
        <w:jc w:val="center"/>
      </w:pPr>
      <w:r>
        <w:rPr>
          <w:rFonts w:ascii="Times New Roman" w:hAnsi="Times New Roman"/>
          <w:i/>
          <w:color w:val="5B6573"/>
          <w:sz w:val="18"/>
        </w:rPr>
        <w:t>Customers Orders</w:t>
      </w:r>
    </w:p>
    <w:p>
      <w:r>
        <w:br w:type="page"/>
      </w: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Prepared and cross-checked: </w:t>
            </w:r>
            <w:r>
              <w:rPr>
                <w:rFonts w:ascii="Times New Roman" w:hAnsi="Times New Roman"/>
                <w:sz w:val="20"/>
              </w:rPr>
              <w:t>The data dictionary was prepared as Word tables and cross-checked against the implemented MySQL schema for consistency. Automation is used internally to prevent field/type/key drift.</w:t>
            </w:r>
          </w:p>
        </w:tc>
        <w:trPr>
          <w:tblHeader/>
        </w:trPr>
      </w:tr>
    </w:tbl>
    <w:p>
      <w:pPr>
        <w:spacing w:after="0"/>
      </w:pPr>
    </w:p>
    <w:p>
      <w:pPr>
        <w:pStyle w:val="Heading2"/>
      </w:pPr>
      <w:r>
        <w:t>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addressKind</w:t>
            </w:r>
          </w:p>
        </w:tc>
        <w:tc>
          <w:tcPr>
            <w:tcW w:type="dxa" w:w="950"/>
            <w:vAlign w:val="center"/>
            <w:tcMar>
              <w:top w:w="80" w:type="dxa"/>
              <w:start w:w="100" w:type="dxa"/>
              <w:bottom w:w="80" w:type="dxa"/>
              <w:end w:w="100" w:type="dxa"/>
            </w:tcMar>
          </w:tcPr>
          <w:p>
            <w:pPr>
              <w:spacing w:after="0"/>
            </w:pPr>
            <w:r>
              <w:rPr>
                <w:rFonts w:ascii="Times New Roman" w:hAnsi="Times New Roman"/>
                <w:sz w:val="15"/>
              </w:rPr>
              <w:t>enum('PHYSICAL','POSTAL')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physical, postal.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address kind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enum('POBOX','PRIVATEBAG','OTHER')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pobox, privatebag, other.</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postal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unit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unit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level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level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buildingName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placeName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address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streetName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locality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locality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stateCode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enum('ACT','NSW','NT','QLD','SA','TAS','VIC','WA')</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act, nsw, nt, qld, sa, tas, vic, wa.</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state code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postcode</w:t>
            </w:r>
          </w:p>
        </w:tc>
        <w:tc>
          <w:tcPr>
            <w:tcW w:type="dxa" w:w="950"/>
            <w:vAlign w:val="center"/>
            <w:tcMar>
              <w:top w:w="80" w:type="dxa"/>
              <w:start w:w="100" w:type="dxa"/>
              <w:bottom w:w="80" w:type="dxa"/>
              <w:end w:w="100" w:type="dxa"/>
            </w:tcMar>
          </w:tcPr>
          <w:p>
            <w:pPr>
              <w:spacing w:after="0"/>
            </w:pPr>
            <w:r>
              <w:rPr>
                <w:rFonts w:ascii="Times New Roman" w:hAnsi="Times New Roman"/>
                <w:sz w:val="15"/>
              </w:rPr>
              <w:t>char(4)</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4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postcode of the address.</w:t>
            </w:r>
          </w:p>
        </w:tc>
      </w:tr>
    </w:tbl>
    <w:p>
      <w:pPr>
        <w:spacing w:after="0"/>
      </w:pPr>
    </w:p>
    <w:p>
      <w:pPr>
        <w:pStyle w:val="Heading2"/>
      </w:pPr>
      <w:r>
        <w:t>bottletype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capacityMl</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capacity ml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bottleShape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bottle shape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material</w:t>
            </w:r>
          </w:p>
        </w:tc>
        <w:tc>
          <w:tcPr>
            <w:tcW w:type="dxa" w:w="950"/>
            <w:vAlign w:val="center"/>
            <w:tcMar>
              <w:top w:w="80" w:type="dxa"/>
              <w:start w:w="100" w:type="dxa"/>
              <w:bottom w:w="80" w:type="dxa"/>
              <w:end w:w="100" w:type="dxa"/>
            </w:tcMar>
          </w:tcPr>
          <w:p>
            <w:pPr>
              <w:spacing w:after="0"/>
            </w:pPr>
            <w:r>
              <w:rPr>
                <w:rFonts w:ascii="Times New Roman" w:hAnsi="Times New Roman"/>
                <w:sz w:val="15"/>
              </w:rPr>
              <w:t>enum('GLASS','PLASTIC')</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glass, plastic.</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material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bottleColour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bottle colour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inventoryQuantity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bottletype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usualUnitCost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bottletype fact in Australian dollars.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whether this bottle type may be reordered.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Required explanation when a bottle type will not be reordered.</w:t>
            </w:r>
          </w:p>
        </w:tc>
      </w:tr>
    </w:tbl>
    <w:p>
      <w:pPr>
        <w:spacing w:after="0"/>
      </w:pPr>
    </w:p>
    <w:p>
      <w:pPr>
        <w:pStyle w:val="Heading2"/>
      </w:pPr>
      <w:r>
        <w:t>businesscustomer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companyName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australianBusinessNumber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char(11)</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11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Eleven-digit ABN identifying an Australian business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businessType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enum('RESTAURANT','WINESHOP','EXPORTCOMPANY','OTHER')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restaurant, wineshop, exportcompany,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business type of the businesscustomer.</w:t>
            </w:r>
          </w:p>
        </w:tc>
      </w:tr>
    </w:tbl>
    <w:p>
      <w:pPr>
        <w:spacing w:after="0"/>
      </w:pPr>
    </w:p>
    <w:p>
      <w:pPr>
        <w:pStyle w:val="Heading2"/>
      </w:pPr>
      <w:r>
        <w:t>checkintopic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wellbeingtopic.wellbeingTopicId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wellbeingtopic record.</w:t>
            </w:r>
          </w:p>
        </w:tc>
      </w:tr>
    </w:tbl>
    <w:p>
      <w:pPr>
        <w:spacing w:after="0"/>
      </w:pPr>
    </w:p>
    <w:p>
      <w:pPr>
        <w:pStyle w:val="Heading2"/>
      </w:pPr>
      <w:r>
        <w:t>correctiveaction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correctiveaction.</w:t>
            </w:r>
          </w:p>
        </w:tc>
      </w:tr>
    </w:tbl>
    <w:p>
      <w:pPr>
        <w:spacing w:after="0"/>
      </w:pPr>
    </w:p>
    <w:p>
      <w:pPr>
        <w:pStyle w:val="Heading2"/>
      </w:pPr>
      <w:r>
        <w:t>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enum('INDIVIDUAL','BUSINESS')</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individual, business.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customer type of the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emailAddress</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varchar(254)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email address of the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active on the customer record.</w:t>
            </w:r>
          </w:p>
        </w:tc>
      </w:tr>
    </w:tbl>
    <w:p>
      <w:pPr>
        <w:spacing w:after="0"/>
      </w:pPr>
    </w:p>
    <w:p>
      <w:pPr>
        <w:pStyle w:val="Heading2"/>
      </w:pPr>
      <w:r>
        <w:t>customeraddress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customeraddress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customeraddress history period; NULL identifies the current row.</w:t>
            </w:r>
          </w:p>
        </w:tc>
      </w:tr>
    </w:tbl>
    <w:p>
      <w:pPr>
        <w:spacing w:after="0"/>
      </w:pPr>
    </w:p>
    <w:p>
      <w:pPr>
        <w:pStyle w:val="Heading2"/>
      </w:pPr>
      <w:r>
        <w:t>customerorder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customerorder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paidFlag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accounting confirmation that shipment may proceed.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enum('PENDING','SHIPPED','CANCELLED')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pending, shipped,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order status of the customerorder.</w:t>
            </w:r>
          </w:p>
        </w:tc>
      </w:tr>
    </w:tbl>
    <w:p>
      <w:pPr>
        <w:spacing w:after="0"/>
      </w:pPr>
    </w:p>
    <w:p>
      <w:pPr>
        <w:pStyle w:val="Heading2"/>
      </w:pPr>
      <w:r>
        <w:t>customerphone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customerphone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customerphone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customerphone record.</w:t>
            </w:r>
          </w:p>
        </w:tc>
      </w:tr>
    </w:tbl>
    <w:p>
      <w:pPr>
        <w:spacing w:after="0"/>
      </w:pPr>
    </w:p>
    <w:p>
      <w:pPr>
        <w:pStyle w:val="Heading2"/>
      </w:pPr>
      <w:r>
        <w: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taxFileNumber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char(9)</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9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Australian tax file number; sensitive HR identifier.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employmentStartDate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bl>
    <w:p>
      <w:pPr>
        <w:spacing w:after="0"/>
      </w:pPr>
    </w:p>
    <w:p>
      <w:pPr>
        <w:pStyle w:val="Heading2"/>
      </w:pPr>
      <w:r>
        <w:t>employeeaddress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employeeaddress history period; NULL identifies the current row.</w:t>
            </w:r>
          </w:p>
        </w:tc>
      </w:tr>
    </w:tbl>
    <w:p>
      <w:pPr>
        <w:spacing w:after="0"/>
      </w:pPr>
    </w:p>
    <w:p>
      <w:pPr>
        <w:pStyle w:val="Heading2"/>
      </w:pPr>
      <w:r>
        <w:t>employeephone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employeephone record.</w:t>
            </w:r>
          </w:p>
        </w:tc>
      </w:tr>
    </w:tbl>
    <w:p>
      <w:pPr>
        <w:spacing w:after="0"/>
      </w:pPr>
    </w:p>
    <w:p>
      <w:pPr>
        <w:pStyle w:val="Heading2"/>
      </w:pPr>
      <w:r>
        <w:t>employeequalification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qualification.qualificationId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expiryDate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certificateReference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certificate reference of the employeequalification.</w:t>
            </w:r>
          </w:p>
        </w:tc>
      </w:tr>
    </w:tbl>
    <w:p>
      <w:pPr>
        <w:spacing w:after="0"/>
      </w:pPr>
    </w:p>
    <w:p>
      <w:pPr>
        <w:pStyle w:val="Heading2"/>
      </w:pPr>
      <w:r>
        <w:t>employeerole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role.roleId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employeerole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employeerole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workTimeType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enum('FULLTIME','PARTTIME')</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fulltime, parttime.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whether the appointment is full-time or part-time.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enum('PERMANENT','CASUAL')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permanent, casual.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Legal engagement category: permanent or casual.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employmentPattern</w:t>
            </w:r>
          </w:p>
        </w:tc>
        <w:tc>
          <w:tcPr>
            <w:tcW w:type="dxa" w:w="950"/>
            <w:vAlign w:val="center"/>
            <w:tcMar>
              <w:top w:w="80" w:type="dxa"/>
              <w:start w:w="100" w:type="dxa"/>
              <w:bottom w:w="80" w:type="dxa"/>
              <w:end w:w="100" w:type="dxa"/>
            </w:tcMar>
          </w:tcPr>
          <w:p>
            <w:pPr>
              <w:spacing w:after="0"/>
            </w:pPr>
            <w:r>
              <w:rPr>
                <w:rFonts w:ascii="Times New Roman" w:hAnsi="Times New Roman"/>
                <w:sz w:val="15"/>
              </w:rPr>
              <w:t>enum('ONGOING','SEASONAL')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ongoing, seasonal.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ongoing or seasonal work pattern independently of employment type.</w:t>
            </w:r>
          </w:p>
        </w:tc>
      </w:tr>
    </w:tbl>
    <w:p>
      <w:pPr>
        <w:spacing w:after="0"/>
      </w:pPr>
    </w:p>
    <w:p>
      <w:pPr>
        <w:pStyle w:val="Heading2"/>
      </w:pPr>
      <w:r>
        <w:t>grapevariety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varietyName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juiceConversionPercent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Expected percentage of grape weight converted to juice.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storageContainer</w:t>
            </w:r>
          </w:p>
        </w:tc>
        <w:tc>
          <w:tcPr>
            <w:tcW w:type="dxa" w:w="950"/>
            <w:vAlign w:val="center"/>
            <w:tcMar>
              <w:top w:w="80" w:type="dxa"/>
              <w:start w:w="100" w:type="dxa"/>
              <w:bottom w:w="80" w:type="dxa"/>
              <w:end w:w="100" w:type="dxa"/>
            </w:tcMar>
          </w:tcPr>
          <w:p>
            <w:pPr>
              <w:spacing w:after="0"/>
            </w:pPr>
            <w:r>
              <w:rPr>
                <w:rFonts w:ascii="Times New Roman" w:hAnsi="Times New Roman"/>
                <w:sz w:val="15"/>
              </w:rPr>
              <w:t>enum('STAINLESSSTEEL','OAKBARREL','OTHER')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stainlesssteel, oakbarrel,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storage container of the grapevariety.</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agingDays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aging days of the grapevariety.</w:t>
            </w:r>
          </w:p>
        </w:tc>
      </w:tr>
    </w:tbl>
    <w:p>
      <w:pPr>
        <w:spacing w:after="0"/>
      </w:pPr>
    </w:p>
    <w:p>
      <w:pPr>
        <w:pStyle w:val="Heading2"/>
      </w:pPr>
      <w:r>
        <w:t>harvest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harvest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vineyardplanting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vineyardplanting.vintageYear</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harvest.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harvest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weightKg</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decimal(12,2)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weight kg of the harvest.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ripenessSugarPercent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Harvest ripeness expressed as percentage sugar.</w:t>
            </w:r>
          </w:p>
        </w:tc>
      </w:tr>
    </w:tbl>
    <w:p>
      <w:pPr>
        <w:spacing w:after="0"/>
      </w:pPr>
    </w:p>
    <w:p>
      <w:pPr>
        <w:pStyle w:val="Heading2"/>
      </w:pPr>
      <w:r>
        <w:t>incident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date time of the incident.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enum('INJURY','NEARMISS','ILLNESS','EQUIPMENT','ENVIRONMENTAL','OTHER')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injury, nearmiss, illness, equipment, environmental,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type of the incident.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low, moderate, high, 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Classifies incident seriousness for safety follow-up and reporting.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totalLostHours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Non-negative total labour hours lost because of an incident; may be zero for a serious near miss.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reportableFlag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reportable flag on the incident record.</w:t>
            </w:r>
          </w:p>
        </w:tc>
      </w:tr>
    </w:tbl>
    <w:p>
      <w:pPr>
        <w:spacing w:after="0"/>
      </w:pPr>
    </w:p>
    <w:p>
      <w:pPr>
        <w:pStyle w:val="Heading2"/>
      </w:pPr>
      <w:r>
        <w:t>incidentemployee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involvementRole</w:t>
            </w:r>
          </w:p>
        </w:tc>
        <w:tc>
          <w:tcPr>
            <w:tcW w:type="dxa" w:w="950"/>
            <w:vAlign w:val="center"/>
            <w:tcMar>
              <w:top w:w="80" w:type="dxa"/>
              <w:start w:w="100" w:type="dxa"/>
              <w:bottom w:w="80" w:type="dxa"/>
              <w:end w:w="100" w:type="dxa"/>
            </w:tcMar>
          </w:tcPr>
          <w:p>
            <w:pPr>
              <w:spacing w:after="0"/>
            </w:pPr>
            <w:r>
              <w:rPr>
                <w:rFonts w:ascii="Times New Roman" w:hAnsi="Times New Roman"/>
                <w:sz w:val="15"/>
              </w:rPr>
              <w:t>enum('AFFECTED','WITNESS','REPORTER')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affected, witness, reporter.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involvement role of the incidentemployee.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 default 0.00.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employee lost hours of the incidentemployee.</w:t>
            </w:r>
          </w:p>
        </w:tc>
      </w:tr>
    </w:tbl>
    <w:p>
      <w:pPr>
        <w:spacing w:after="0"/>
      </w:pPr>
    </w:p>
    <w:p>
      <w:pPr>
        <w:pStyle w:val="Heading2"/>
      </w:pPr>
      <w:r>
        <w:t>individualcustomer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dateOfBirth</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Birth date retained to demonstrate an individual customer's legal age.</w:t>
            </w:r>
          </w:p>
        </w:tc>
      </w:tr>
    </w:tbl>
    <w:p>
      <w:pPr>
        <w:spacing w:after="0"/>
      </w:pPr>
    </w:p>
    <w:p>
      <w:pPr>
        <w:pStyle w:val="Heading2"/>
      </w:pPr>
      <w:r>
        <w:t>medal</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medal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enum('BRONZE','SILVER','GOLD','TROPHY')</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bronze, silver, gold, trophy.</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medal type of the medal.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award year of the medal.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awardingOrganisation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awarding organisation of the medal.</w:t>
            </w:r>
          </w:p>
        </w:tc>
      </w:tr>
    </w:tbl>
    <w:p>
      <w:pPr>
        <w:spacing w:after="0"/>
      </w:pPr>
    </w:p>
    <w:p>
      <w:pPr>
        <w:pStyle w:val="Heading2"/>
      </w:pPr>
      <w:r>
        <w:t>openincidentaction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date time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low, moderate, high, 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Classifies incident seriousness for safety follow-up and reporting.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openincidentaction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varchar(101)</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varchar(101)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responsible employee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daysOverdue</w:t>
            </w:r>
          </w:p>
        </w:tc>
        <w:tc>
          <w:tcPr>
            <w:tcW w:type="dxa" w:w="950"/>
            <w:vAlign w:val="center"/>
            <w:tcMar>
              <w:top w:w="80" w:type="dxa"/>
              <w:start w:w="100" w:type="dxa"/>
              <w:bottom w:w="80" w:type="dxa"/>
              <w:end w:w="100" w:type="dxa"/>
            </w:tcMar>
          </w:tcPr>
          <w:p>
            <w:pPr>
              <w:spacing w:after="0"/>
            </w:pPr>
            <w:r>
              <w:rPr>
                <w:rFonts w:ascii="Times New Roman" w:hAnsi="Times New Roman"/>
                <w:sz w:val="15"/>
              </w:rPr>
              <w:t>int</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days overdue of the openincidentaction.</w:t>
            </w:r>
          </w:p>
        </w:tc>
      </w:tr>
    </w:tbl>
    <w:p>
      <w:pPr>
        <w:spacing w:after="0"/>
      </w:pPr>
    </w:p>
    <w:p>
      <w:pPr>
        <w:pStyle w:val="Heading2"/>
      </w:pPr>
      <w:r>
        <w:t>operationalarea</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varchar(255)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operationalarea record.</w:t>
            </w:r>
          </w:p>
        </w:tc>
      </w:tr>
    </w:tbl>
    <w:p>
      <w:pPr>
        <w:spacing w:after="0"/>
      </w:pPr>
    </w:p>
    <w:p>
      <w:pPr>
        <w:pStyle w:val="Heading2"/>
      </w:pPr>
      <w:r>
        <w:t>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agreedCasePrice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orderline fact in Australian dollars.</w:t>
            </w:r>
          </w:p>
        </w:tc>
      </w:tr>
    </w:tbl>
    <w:p>
      <w:pPr>
        <w:spacing w:after="0"/>
      </w:pPr>
    </w:p>
    <w:p>
      <w:pPr>
        <w:pStyle w:val="Heading2"/>
      </w:pPr>
      <w:r>
        <w:t>packmember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pickerpack.pickerPackId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joinedDate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bl>
    <w:p>
      <w:pPr>
        <w:spacing w:after="0"/>
      </w:pPr>
    </w:p>
    <w:p>
      <w:pPr>
        <w:pStyle w:val="Heading2"/>
      </w:pPr>
      <w:r>
        <w:t>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countryCode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 size; default +61.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country code of the phone.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phone number of the phone.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enum('MOBILE','WORK','HOME','OTHER')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mobile, work, home,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phone type of the phone.</w:t>
            </w:r>
          </w:p>
        </w:tc>
      </w:tr>
    </w:tbl>
    <w:p>
      <w:pPr>
        <w:spacing w:after="0"/>
      </w:pPr>
    </w:p>
    <w:p>
      <w:pPr>
        <w:pStyle w:val="Heading2"/>
      </w:pPr>
      <w:r>
        <w:t>pickerpack</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packName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season year of the pickerpack.</w:t>
            </w:r>
          </w:p>
        </w:tc>
      </w:tr>
    </w:tbl>
    <w:p>
      <w:pPr>
        <w:spacing w:after="0"/>
      </w:pPr>
    </w:p>
    <w:p>
      <w:pPr>
        <w:pStyle w:val="Heading2"/>
      </w:pPr>
      <w:r>
        <w:t>productprice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effectiveDate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the corresponding start/effective date.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productprice fact in Australian dollars.</w:t>
            </w:r>
          </w:p>
        </w:tc>
      </w:tr>
    </w:tbl>
    <w:p>
      <w:pPr>
        <w:spacing w:after="0"/>
      </w:pPr>
    </w:p>
    <w:p>
      <w:pPr>
        <w:pStyle w:val="Heading2"/>
      </w:pPr>
      <w:r>
        <w:t>purchaseorder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purchaseorder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enum('PLACED','PARTRECEIVED','RECEIVED','CANCELLED')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placed, partreceived, received,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order status of the purchaseorder.</w:t>
            </w:r>
          </w:p>
        </w:tc>
      </w:tr>
    </w:tbl>
    <w:p>
      <w:pPr>
        <w:spacing w:after="0"/>
      </w:pPr>
    </w:p>
    <w:p>
      <w:pPr>
        <w:pStyle w:val="Heading2"/>
      </w:pPr>
      <w:r>
        <w:t>purchaseorderline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purchaseorderline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quotedUnitPrice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purchaseorderline fact in Australian dollars.</w:t>
            </w:r>
          </w:p>
        </w:tc>
      </w:tr>
    </w:tbl>
    <w:p>
      <w:pPr>
        <w:spacing w:after="0"/>
      </w:pPr>
    </w:p>
    <w:p>
      <w:pPr>
        <w:pStyle w:val="Heading2"/>
      </w:pPr>
      <w:r>
        <w:t>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issuingAuthority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issuing authority on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defaultValidityMonths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default validity months of the qualification.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isSafetyCritical</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safety critical on the qualification record.</w:t>
            </w:r>
          </w:p>
        </w:tc>
      </w:tr>
    </w:tbl>
    <w:p>
      <w:pPr>
        <w:spacing w:after="0"/>
      </w:pPr>
    </w:p>
    <w:p>
      <w:pPr>
        <w:pStyle w:val="Heading2"/>
      </w:pPr>
      <w:r>
        <w:t>receipt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receipt record or validity period.</w:t>
            </w:r>
          </w:p>
        </w:tc>
      </w:tr>
    </w:tbl>
    <w:p>
      <w:pPr>
        <w:spacing w:after="0"/>
      </w:pPr>
    </w:p>
    <w:p>
      <w:pPr>
        <w:pStyle w:val="Heading2"/>
      </w:pPr>
      <w:r>
        <w:t>receiptline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receipt.receiptId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receiptline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actualUnitPrice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receiptline fact in Australian dollars.</w:t>
            </w:r>
          </w:p>
        </w:tc>
      </w:tr>
    </w:tbl>
    <w:p>
      <w:pPr>
        <w:spacing w:after="0"/>
      </w:pPr>
    </w:p>
    <w:p>
      <w:pPr>
        <w:pStyle w:val="Heading2"/>
      </w:pPr>
      <w:r>
        <w:t>refund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refund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refundReason</w:t>
            </w:r>
          </w:p>
        </w:tc>
        <w:tc>
          <w:tcPr>
            <w:tcW w:type="dxa" w:w="950"/>
            <w:vAlign w:val="center"/>
            <w:tcMar>
              <w:top w:w="80" w:type="dxa"/>
              <w:start w:w="100" w:type="dxa"/>
              <w:bottom w:w="80" w:type="dxa"/>
              <w:end w:w="100" w:type="dxa"/>
            </w:tcMar>
          </w:tcPr>
          <w:p>
            <w:pPr>
              <w:spacing w:after="0"/>
            </w:pPr>
            <w:r>
              <w:rPr>
                <w:rFonts w:ascii="Times New Roman" w:hAnsi="Times New Roman"/>
                <w:sz w:val="15"/>
              </w:rPr>
              <w:t>enum('SHORTSUPPLY','TRANSITDAMAGE')</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shortsupply, transitdamage.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refund reason of the refund.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verifiedFlag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verified flag on the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refundAmount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refund fact in Australian dollars.</w:t>
            </w:r>
          </w:p>
        </w:tc>
      </w:tr>
    </w:tbl>
    <w:p>
      <w:pPr>
        <w:spacing w:after="0"/>
      </w:pPr>
    </w:p>
    <w:p>
      <w:pPr>
        <w:pStyle w:val="Heading2"/>
      </w:pPr>
      <w:r>
        <w:t>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role record.</w:t>
            </w:r>
          </w:p>
        </w:tc>
      </w:tr>
    </w:tbl>
    <w:p>
      <w:pPr>
        <w:spacing w:after="0"/>
      </w:pPr>
    </w:p>
    <w:p>
      <w:pPr>
        <w:pStyle w:val="Heading2"/>
      </w:pPr>
      <w:r>
        <w:t>seasonalrating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season year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ratingValue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w:t>
            </w:r>
          </w:p>
        </w:tc>
        <w:tc>
          <w:tcPr>
            <w:tcW w:type="dxa" w:w="1100"/>
            <w:vAlign w:val="center"/>
            <w:tcMar>
              <w:top w:w="80" w:type="dxa"/>
              <w:start w:w="100" w:type="dxa"/>
              <w:bottom w:w="80" w:type="dxa"/>
              <w:end w:w="100" w:type="dxa"/>
            </w:tcMar>
          </w:tcPr>
          <w:p>
            <w:pPr>
              <w:spacing w:after="0"/>
            </w:pPr>
            <w:r>
              <w:rPr>
                <w:rFonts w:ascii="Times New Roman" w:hAnsi="Times New Roman"/>
                <w:sz w:val="15"/>
              </w:rPr>
              <w:t>Integer from 1 to 5.</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rating value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recommendReemployment</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recommend reemployment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rating comment of the seasonalrating.</w:t>
            </w:r>
          </w:p>
        </w:tc>
      </w:tr>
    </w:tbl>
    <w:p>
      <w:pPr>
        <w:spacing w:after="0"/>
      </w:pPr>
    </w:p>
    <w:p>
      <w:pPr>
        <w:pStyle w:val="Heading2"/>
      </w:pPr>
      <w:r>
        <w:t>shift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shift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start time of the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end time of the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taskcategory.taskCategoryId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shiftassignment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shift.shiftId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regularHours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Regular labour hours worked on the assigned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overtimeHours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Overtime hours used in workload and safety analysis.</w:t>
            </w:r>
          </w:p>
        </w:tc>
      </w:tr>
    </w:tbl>
    <w:p>
      <w:pPr>
        <w:spacing w:after="0"/>
      </w:pPr>
    </w:p>
    <w:p>
      <w:pPr>
        <w:pStyle w:val="Heading2"/>
      </w:pPr>
      <w:r>
        <w:t>shipment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shipmentId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shipment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shippedDate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shipment record or validity period.</w:t>
            </w:r>
          </w:p>
        </w:tc>
      </w:tr>
    </w:tbl>
    <w:p>
      <w:pPr>
        <w:spacing w:after="0"/>
      </w:pPr>
    </w:p>
    <w:p>
      <w:pPr>
        <w:pStyle w:val="Heading2"/>
      </w:pPr>
      <w:r>
        <w:t>supervision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supervision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supervision history period; NULL identifies the current row.</w:t>
            </w:r>
          </w:p>
        </w:tc>
      </w:tr>
    </w:tbl>
    <w:p>
      <w:pPr>
        <w:spacing w:after="0"/>
      </w:pPr>
    </w:p>
    <w:p>
      <w:pPr>
        <w:pStyle w:val="Heading2"/>
      </w:pPr>
      <w:r>
        <w:t>supplier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contactEmail</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varchar(254)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contact email of the supplier.</w:t>
            </w:r>
          </w:p>
        </w:tc>
      </w:tr>
    </w:tbl>
    <w:p>
      <w:pPr>
        <w:spacing w:after="0"/>
      </w:pPr>
    </w:p>
    <w:p>
      <w:pPr>
        <w:pStyle w:val="Heading2"/>
      </w:pPr>
      <w:r>
        <w:t>supplieraddress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supplieraddress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supplieraddress history period; NULL identifies the current row.</w:t>
            </w:r>
          </w:p>
        </w:tc>
      </w:tr>
    </w:tbl>
    <w:p>
      <w:pPr>
        <w:spacing w:after="0"/>
      </w:pPr>
    </w:p>
    <w:p>
      <w:pPr>
        <w:pStyle w:val="Heading2"/>
      </w:pPr>
      <w:r>
        <w:t>supplierbottle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supplierBottleCode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supplier bottle code of the supplierbottle.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isAvailable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available on the supplierbottle record.</w:t>
            </w:r>
          </w:p>
        </w:tc>
      </w:tr>
    </w:tbl>
    <w:p>
      <w:pPr>
        <w:spacing w:after="0"/>
      </w:pPr>
    </w:p>
    <w:p>
      <w:pPr>
        <w:pStyle w:val="Heading2"/>
      </w:pPr>
      <w:r>
        <w:t>supplierphone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supplierphone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supplierphone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supplierphone record.</w:t>
            </w:r>
          </w:p>
        </w:tc>
      </w:tr>
    </w:tbl>
    <w:p>
      <w:pPr>
        <w:spacing w:after="0"/>
      </w:pPr>
    </w:p>
    <w:p>
      <w:pPr>
        <w:pStyle w:val="Heading2"/>
      </w:pPr>
      <w:r>
        <w:t>taskcategory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taskcategory record.</w:t>
            </w:r>
          </w:p>
        </w:tc>
      </w:tr>
    </w:tbl>
    <w:p>
      <w:pPr>
        <w:spacing w:after="0"/>
      </w:pPr>
    </w:p>
    <w:p>
      <w:pPr>
        <w:pStyle w:val="Heading2"/>
      </w:pPr>
      <w:r>
        <w:t>trainingattendance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trainingsession.trainingSessionId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attendanceStatus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enum('REGISTERED','COMPLETED','FAILED','ABSENT')</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registered, completed, failed, absent.</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attendance status of the trainingattendance.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competencyLevel</w:t>
            </w:r>
          </w:p>
        </w:tc>
        <w:tc>
          <w:tcPr>
            <w:tcW w:type="dxa" w:w="950"/>
            <w:vAlign w:val="center"/>
            <w:tcMar>
              <w:top w:w="80" w:type="dxa"/>
              <w:start w:w="100" w:type="dxa"/>
              <w:bottom w:w="80" w:type="dxa"/>
              <w:end w:w="100" w:type="dxa"/>
            </w:tcMar>
          </w:tcPr>
          <w:p>
            <w:pPr>
              <w:spacing w:after="0"/>
            </w:pPr>
            <w:r>
              <w:rPr>
                <w:rFonts w:ascii="Times New Roman" w:hAnsi="Times New Roman"/>
                <w:sz w:val="15"/>
              </w:rPr>
              <w:t>enum('AWARENESS','COMPETENT','ADVANCED')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awareness, competent, advanced.</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competency level of the trainingattendance.</w:t>
            </w:r>
          </w:p>
        </w:tc>
      </w:tr>
    </w:tbl>
    <w:p>
      <w:pPr>
        <w:spacing w:after="0"/>
      </w:pPr>
    </w:p>
    <w:p>
      <w:pPr>
        <w:pStyle w:val="Heading2"/>
      </w:pPr>
      <w:r>
        <w:t>trainingcourse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courseProvider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course provider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trainingCategory</w:t>
            </w:r>
          </w:p>
        </w:tc>
        <w:tc>
          <w:tcPr>
            <w:tcW w:type="dxa" w:w="950"/>
            <w:vAlign w:val="center"/>
            <w:tcMar>
              <w:top w:w="80" w:type="dxa"/>
              <w:start w:w="100" w:type="dxa"/>
              <w:bottom w:w="80" w:type="dxa"/>
              <w:end w:w="100" w:type="dxa"/>
            </w:tcMar>
          </w:tcPr>
          <w:p>
            <w:pPr>
              <w:spacing w:after="0"/>
            </w:pPr>
            <w:r>
              <w:rPr>
                <w:rFonts w:ascii="Times New Roman" w:hAnsi="Times New Roman"/>
                <w:sz w:val="15"/>
              </w:rPr>
              <w:t>enum('SAFETY','SUSTAINABILITY','TECHNICAL','WELLBEING','OTHER')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safety, sustainability, technical, wellbeing,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training category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renewal months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isMandatory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mandatory on the trainingcourse record.</w:t>
            </w:r>
          </w:p>
        </w:tc>
      </w:tr>
    </w:tbl>
    <w:p>
      <w:pPr>
        <w:spacing w:after="0"/>
      </w:pPr>
    </w:p>
    <w:p>
      <w:pPr>
        <w:pStyle w:val="Heading2"/>
      </w:pPr>
      <w:r>
        <w:t>trainingsession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trainingcourse.trainingCourseId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sessionDate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trainingsession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deliveryMode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enum('INPERSON','ONLINE','BLENDED')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inperson, online, blended.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delivery mode of the trainingsession.</w:t>
            </w:r>
          </w:p>
        </w:tc>
      </w:tr>
    </w:tbl>
    <w:p>
      <w:pPr>
        <w:spacing w:after="0"/>
      </w:pPr>
    </w:p>
    <w:p>
      <w:pPr>
        <w:pStyle w:val="Heading2"/>
      </w:pPr>
      <w:r>
        <w:t>vineyard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areaHectares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decimal(6,2)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decimal hectares.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area hectares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latitude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Decimal latitude from -90 to 90.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latitude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longitude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Decimal longitude from -180 to 180.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longitude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bl>
    <w:p>
      <w:pPr>
        <w:spacing w:after="0"/>
      </w:pPr>
    </w:p>
    <w:p>
      <w:pPr>
        <w:pStyle w:val="Heading2"/>
      </w:pPr>
      <w:r>
        <w:t>vineyardplanting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vineyardplanting.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plantedDate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vineyardplanting record or validity period.</w:t>
            </w:r>
          </w:p>
        </w:tc>
      </w:tr>
    </w:tbl>
    <w:p>
      <w:pPr>
        <w:spacing w:after="0"/>
      </w:pPr>
    </w:p>
    <w:p>
      <w:pPr>
        <w:pStyle w:val="Heading2"/>
      </w:pPr>
      <w:r>
        <w:t>wellbeingaction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wellbeingaction.</w:t>
            </w:r>
          </w:p>
        </w:tc>
      </w:tr>
    </w:tbl>
    <w:p>
      <w:pPr>
        <w:spacing w:after="0"/>
      </w:pPr>
    </w:p>
    <w:p>
      <w:pPr>
        <w:pStyle w:val="Heading2"/>
      </w:pPr>
      <w:r>
        <w:t>wellbeingcheckin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checkinDate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wellbeingcheckin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concernRaisedFlag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concern raised flag on the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confidentialNote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Restricted wellbeing note; excluded from routine management reporting.</w:t>
            </w:r>
          </w:p>
        </w:tc>
      </w:tr>
    </w:tbl>
    <w:p>
      <w:pPr>
        <w:spacing w:after="0"/>
      </w:pPr>
    </w:p>
    <w:p>
      <w:pPr>
        <w:pStyle w:val="Heading2"/>
      </w:pPr>
      <w:r>
        <w:t>wellbeingtopic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wellbeingtopic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topicName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wellbeingtopic record.</w:t>
            </w:r>
          </w:p>
        </w:tc>
      </w:tr>
    </w:tbl>
    <w:p>
      <w:pPr>
        <w:spacing w:after="0"/>
      </w:pPr>
    </w:p>
    <w:p>
      <w:pPr>
        <w:pStyle w:val="Heading2"/>
      </w:pPr>
      <w:r>
        <w:t>wine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wine.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winecategory.wineCategoryId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alcoholPercent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alcohol percent of the wine.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winemakerId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winecategory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winecategory record.</w:t>
            </w:r>
          </w:p>
        </w:tc>
      </w:tr>
    </w:tbl>
    <w:p>
      <w:pPr>
        <w:spacing w:after="0"/>
      </w:pPr>
    </w:p>
    <w:p>
      <w:pPr>
        <w:pStyle w:val="Heading2"/>
      </w:pPr>
      <w:r>
        <w:t>winecomposition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proportionPercent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Percentage contribution of a grape variety to a wine composition.</w:t>
            </w:r>
          </w:p>
        </w:tc>
      </w:tr>
    </w:tbl>
    <w:p>
      <w:pPr>
        <w:spacing w:after="0"/>
      </w:pPr>
    </w:p>
    <w:p>
      <w:pPr>
        <w:pStyle w:val="Heading2"/>
      </w:pPr>
      <w:r>
        <w:t>wineproduct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wineproduct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active on the wineproduct record.</w:t>
            </w:r>
          </w:p>
        </w:tc>
      </w:tr>
    </w:tbl>
    <w:p>
      <w:pPr>
        <w:spacing w:after="0"/>
      </w:pPr>
    </w:p>
    <w:p>
      <w:r>
        <w:br w:type="page"/>
      </w:r>
    </w:p>
    <w:p>
      <w:pPr>
        <w:pStyle w:val="Heading1"/>
      </w:pPr>
      <w:r>
        <w:t>Appendix C — Submission and Handoff Checklist</w:t>
      </w:r>
    </w:p>
    <w:tbl>
      <w:tblPr>
        <w:tblStyle w:val="TableGrid"/>
        <w:tblW w:type="dxa" w:w="9360"/>
        <w:tblLayout w:type="fixed"/>
        <w:tblLook w:firstColumn="1" w:firstRow="1" w:lastColumn="0" w:lastRow="0" w:noHBand="0" w:noVBand="1" w:val="04A0"/>
        <w:tblInd w:w="120" w:type="dxa"/>
      </w:tblPr>
      <w:tblGrid>
        <w:gridCol w:w="3600"/>
        <w:gridCol w:w="5760"/>
      </w:tblGrid>
      <w:tr>
        <w:trPr>
          <w:tblHeader w:val="true"/>
        </w:trPr>
        <w:tc>
          <w:tcPr>
            <w:tcW w:type="dxa" w:w="3600"/>
            <w:shd w:fill="DCE6F1"/>
            <w:vAlign w:val="center"/>
            <w:tcMar>
              <w:top w:w="80" w:type="dxa"/>
              <w:start w:w="100" w:type="dxa"/>
              <w:bottom w:w="80" w:type="dxa"/>
              <w:end w:w="100" w:type="dxa"/>
            </w:tcMar>
          </w:tcPr>
          <w:p>
            <w:pPr>
              <w:jc w:val="center"/>
            </w:pPr>
            <w:r>
              <w:rPr>
                <w:rFonts w:ascii="Times New Roman" w:hAnsi="Times New Roman"/>
                <w:b/>
                <w:color w:val="1F2937"/>
                <w:sz w:val="18"/>
              </w:rPr>
              <w:t>Item</w:t>
            </w:r>
          </w:p>
        </w:tc>
        <w:tc>
          <w:tcPr>
            <w:tcW w:type="dxa" w:w="5760"/>
            <w:shd w:fill="DCE6F1"/>
            <w:vAlign w:val="center"/>
            <w:tcMar>
              <w:top w:w="80" w:type="dxa"/>
              <w:start w:w="100" w:type="dxa"/>
              <w:bottom w:w="80" w:type="dxa"/>
              <w:end w:w="100" w:type="dxa"/>
            </w:tcMar>
          </w:tcPr>
          <w:p>
            <w:pPr>
              <w:jc w:val="center"/>
            </w:pPr>
            <w:r>
              <w:rPr>
                <w:rFonts w:ascii="Times New Roman" w:hAnsi="Times New Roman"/>
                <w:b/>
                <w:color w:val="1F2937"/>
                <w:sz w:val="18"/>
              </w:rPr>
              <w:t>Status</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Portable database SQL</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clean-build verified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Six query script</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executed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Five Task 3b violation blocks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rejected as expected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Workbench model / EER views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Official workbook cleaning</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source workbook</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Week 11 scenario</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tutor allocation</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Final Workbench screenshots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capture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Four-person video</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recording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RiPPlE prompt logs / peer review</w:t>
            </w:r>
          </w:p>
        </w:tc>
        <w:tc>
          <w:tcPr>
            <w:tcW w:type="dxa" w:w="5760"/>
            <w:vAlign w:val="center"/>
            <w:tcMar>
              <w:top w:w="80" w:type="dxa"/>
              <w:start w:w="100" w:type="dxa"/>
              <w:bottom w:w="80" w:type="dxa"/>
              <w:end w:w="100" w:type="dxa"/>
            </w:tcMar>
          </w:tcPr>
          <w:p>
            <w:pPr>
              <w:spacing w:after="0"/>
            </w:pPr>
            <w:r>
              <w:rPr>
                <w:rFonts w:ascii="Times New Roman" w:hAnsi="Times New Roman"/>
                <w:sz w:val="18"/>
              </w:rPr>
              <w:t>Genuine student activity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Placeholder member name and dates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must replace</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Confidential assessment draft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