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3 — Database Functionality and Business Rules</w:t>
      </w:r>
    </w:p>
    <w:tbl>
      <w:tblPr>
        <w:tblStyle w:val="TableGrid"/>
        <w:tblW w:type="dxa" w:w="9070"/>
        <w:tblLayout w:type="fixed"/>
        <w:tblLook w:firstColumn="1" w:firstRow="1" w:lastColumn="0" w:lastRow="0" w:noHBand="0" w:noVBand="1" w:val="04A0"/>
        <w:tblInd w:w="120" w:type="dxa"/>
      </w:tblPr>
      <w:tblGrid>
        <w:gridCol w:w="1260"/>
        <w:gridCol w:w="1647"/>
        <w:gridCol w:w="1841"/>
        <w:gridCol w:w="2132"/>
        <w:gridCol w:w="2190"/>
      </w:tblGrid>
      <w:tr>
        <w:trPr>
          <w:tblHeader w:val="true"/>
          <w:cantSplit/>
        </w:trPr>
        <w:tc>
          <w:tcPr>
            <w:tcW w:type="dxa" w:w="1260"/>
            <w:shd w:fill="DCE6F1"/>
            <w:vAlign w:val="center"/>
            <w:tcMar>
              <w:top w:w="80" w:type="dxa"/>
              <w:start w:w="100" w:type="dxa"/>
              <w:bottom w:w="80" w:type="dxa"/>
              <w:end w:w="100" w:type="dxa"/>
            </w:tcMar>
          </w:tcPr>
          <w:p>
            <w:pPr>
              <w:keepNext/>
              <w:jc w:val="center"/>
            </w:pPr>
            <w:r>
              <w:rPr>
                <w:rFonts w:ascii="Times New Roman" w:hAnsi="Times New Roman"/>
                <w:b/>
                <w:color w:val="1F2937"/>
                <w:sz w:val="14"/>
              </w:rPr>
              <w:t>Stakeholder</w:t>
            </w:r>
          </w:p>
        </w:tc>
        <w:tc>
          <w:tcPr>
            <w:tcW w:type="dxa" w:w="1647"/>
            <w:shd w:fill="DCE6F1"/>
            <w:vAlign w:val="center"/>
            <w:tcMar>
              <w:top w:w="80" w:type="dxa"/>
              <w:start w:w="100" w:type="dxa"/>
              <w:bottom w:w="80" w:type="dxa"/>
              <w:end w:w="100" w:type="dxa"/>
            </w:tcMar>
          </w:tcPr>
          <w:p>
            <w:pPr>
              <w:keepNext/>
              <w:jc w:val="center"/>
            </w:pPr>
            <w:r>
              <w:rPr>
                <w:rFonts w:ascii="Times New Roman" w:hAnsi="Times New Roman"/>
                <w:b/>
                <w:color w:val="1F2937"/>
                <w:sz w:val="14"/>
              </w:rPr>
              <w:t>Need / Risk</w:t>
            </w:r>
          </w:p>
        </w:tc>
        <w:tc>
          <w:tcPr>
            <w:tcW w:type="dxa" w:w="1841"/>
            <w:shd w:fill="DCE6F1"/>
            <w:vAlign w:val="center"/>
            <w:tcMar>
              <w:top w:w="80" w:type="dxa"/>
              <w:start w:w="100" w:type="dxa"/>
              <w:bottom w:w="80" w:type="dxa"/>
              <w:end w:w="100" w:type="dxa"/>
            </w:tcMar>
          </w:tcPr>
          <w:p>
            <w:pPr>
              <w:keepNext/>
              <w:jc w:val="center"/>
            </w:pPr>
            <w:r>
              <w:rPr>
                <w:rFonts w:ascii="Times New Roman" w:hAnsi="Times New Roman"/>
                <w:b/>
                <w:color w:val="1F2937"/>
                <w:sz w:val="14"/>
              </w:rPr>
              <w:t>Database Requirement</w:t>
            </w:r>
          </w:p>
        </w:tc>
        <w:tc>
          <w:tcPr>
            <w:tcW w:type="dxa" w:w="2132"/>
            <w:shd w:fill="DCE6F1"/>
            <w:vAlign w:val="center"/>
            <w:tcMar>
              <w:top w:w="80" w:type="dxa"/>
              <w:start w:w="100" w:type="dxa"/>
              <w:bottom w:w="80" w:type="dxa"/>
              <w:end w:w="100" w:type="dxa"/>
            </w:tcMar>
          </w:tcPr>
          <w:p>
            <w:pPr>
              <w:keepNext/>
              <w:jc w:val="center"/>
            </w:pPr>
            <w:r>
              <w:rPr>
                <w:rFonts w:ascii="Times New Roman" w:hAnsi="Times New Roman"/>
                <w:b/>
                <w:color w:val="1F2937"/>
                <w:sz w:val="14"/>
              </w:rPr>
              <w:t>Design Response</w:t>
            </w:r>
          </w:p>
        </w:tc>
        <w:tc>
          <w:tcPr>
            <w:tcW w:type="dxa" w:w="2190"/>
            <w:shd w:fill="DCE6F1"/>
            <w:vAlign w:val="center"/>
            <w:tcMar>
              <w:top w:w="80" w:type="dxa"/>
              <w:start w:w="100" w:type="dxa"/>
              <w:bottom w:w="80" w:type="dxa"/>
              <w:end w:w="100" w:type="dxa"/>
            </w:tcMar>
          </w:tcPr>
          <w:p>
            <w:pPr>
              <w:keepNext/>
              <w:jc w:val="center"/>
            </w:pPr>
            <w:r>
              <w:rPr>
                <w:rFonts w:ascii="Times New Roman" w:hAnsi="Times New Roman"/>
                <w:b/>
                <w:color w:val="1F2937"/>
                <w:sz w:val="14"/>
              </w:rPr>
              <w:t>Priority / Trade-off</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Owners / management</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Reliable compliance data</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Integrated history and decision queries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Normalised schema and six queries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Reporting convenience vs integrity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HR manager</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Accurate private HR records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Temporal roles/classifications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Dated HR tables; restricted notes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Privacy first</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Supervisors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Current teams and workload</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One supervisor at a time</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Overlap trigger</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Integrity first</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Permanent employees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Correct history</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Current and historical contacts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Dated associations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High</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Casual / seasonal employees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Correct seasonal status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CASUAL + SEASONAL dimensions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Separate type/pattern</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Avoid conflation</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Safety / compliance</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Multi-person/near-miss evidence</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Roles and zero lost hours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Incident association</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Evidence accuracy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Customers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Postal contact, physical delivery</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Multiple addresses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Shipment trigger</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Delivery integrity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Suppliers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Retained contact changes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Temporal address/phone</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Supplier associations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Extra joins accepted</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Reporting users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Reproducible private metrics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Aggregates and safeguards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Defined query logic</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Accuracy/privacy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Community</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Safe responsible operations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Auditable training/actions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Traceable records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Public value/privacy</w:t>
            </w:r>
          </w:p>
        </w:tc>
      </w:tr>
    </w:tbl>
    <w:p>
      <w:pPr>
        <w:spacing w:after="0"/>
      </w:pPr>
    </w:p>
    <w:p>
      <w:pPr>
        <w:pStyle w:val="Heading2"/>
      </w:pPr>
      <w:r>
        <w:t>3a. Functionality description</w:t>
      </w:r>
    </w:p>
    <w:p>
      <w:pPr>
        <w:widowControl/>
      </w:pPr>
      <w:r>
        <w:rPr>
          <w:rFonts w:ascii="Times New Roman" w:hAnsi="Times New Roman"/>
          <w:i w:val="0"/>
          <w:sz w:val="24"/>
        </w:rPr>
        <w:t>Cloudrest Wines needs a transactional database because spreadsheet and document records no longer scale to business growth, biosecurity reporting and sustainability evidence (Wine Company Case, p. 1). The MySQL system integrates personnel, vineyard plantings, harvests, wines, bottles, suppliers, customers and orders. The selected HR perspective adds qualifications, training, shifts, labour hours, incidents, corrective actions and confidential wellbeing check-ins (BISM2207 Assessment Specification, p. 2). It supports annual safety/sustainability training coverage and incident rates per 1,000 labour hours.</w:t>
      </w:r>
    </w:p>
    <w:p>
      <w:pPr>
        <w:widowControl/>
      </w:pPr>
      <w:r>
        <w:rPr>
          <w:rFonts w:ascii="Times New Roman" w:hAnsi="Times New Roman"/>
          <w:i w:val="0"/>
          <w:sz w:val="24"/>
        </w:rPr>
        <w:t>The design targets 3NF and OLTP use. Repeating phones and addresses are separate entities; temporal association tables preserve employee, customer and supplier contact history. Course definitions, delivered sessions and individual attendance are separated. Many-to-many facts use associative tables, including wine composition, incident involvement and training attendance. Role, supervisor, address, phone and price histories retain effective dates rather than overwriting facts.</w:t>
      </w:r>
    </w:p>
    <w:p>
      <w:pPr>
        <w:widowControl/>
      </w:pPr>
      <w:r>
        <w:rPr>
          <w:rFonts w:ascii="Times New Roman" w:hAnsi="Times New Roman"/>
          <w:i w:val="0"/>
          <w:sz w:val="24"/>
        </w:rPr>
        <w:t>Controls combine types, NOT NULL, candidate keys, foreign keys, CHECK constraints and triggers. Row constraints reject invalid dates and domains. Triggers enforce rules needing other rows or tables, such as non-overlapping supervision and paid, non-cancelled, physical shipment addresses (current customer addresses for records without a product-specific delivery snapshot) with shipment dates on or after order receipt. The submitted rule script uses transactions and rollback. Standalone screenshot tests were followed by a clean verifier rebuild before final query capture, removing all setup rows. Employee/customer contact histories are stored with effective dates; the test data follows sensible current-contact patterns, while the current schema does not claim an exactly-one-current rule for every employee/customer phone or address association.</w:t>
      </w:r>
    </w:p>
    <w:p>
      <w:pPr>
        <w:widowControl/>
      </w:pPr>
      <w:r>
        <w:rPr>
          <w:rFonts w:ascii="Times New Roman" w:hAnsi="Times New Roman"/>
          <w:i w:val="0"/>
          <w:sz w:val="24"/>
        </w:rPr>
        <w:t>Privacy is handled in the submitted build through data minimisation: routine decision-support output uses IDs or aggregates and excludes confidential wellbeing notes. The SQL submission does not define production MySQL users/roles or application authorisation policies, so the report does not claim database-level access control that is absent from the code. A production deployment would add least-privilege database roles and application-level access control for TFNs, dates of birth, contact data, incident participation and wellbeing details.</w:t>
      </w:r>
    </w:p>
    <w:p>
      <w:pPr>
        <w:widowControl/>
      </w:pPr>
      <w:r>
        <w:rPr>
          <w:rFonts w:ascii="Times New Roman" w:hAnsi="Times New Roman"/>
          <w:i w:val="0"/>
          <w:sz w:val="24"/>
        </w:rPr>
        <w:t>Payroll, payment instruments, delivery costing and unrelated inventory remain outside scope, consistent with the case. The system provides reliable operational evidence without adding enterprise functions the four-person team could not explain or validate.</w:t>
      </w:r>
    </w:p>
    <w:p>
      <w:pPr>
        <w:pStyle w:val="Heading2"/>
      </w:pPr>
      <w:r>
        <w:t>Stakeholder and community requirements</w:t>
      </w:r>
    </w:p>
    <w:p>
      <w:pPr>
        <w:widowControl/>
      </w:pPr>
      <w:r>
        <w:rPr>
          <w:rFonts w:ascii="Times New Roman" w:hAnsi="Times New Roman"/>
          <w:i w:val="0"/>
          <w:sz w:val="24"/>
        </w:rPr>
        <w:t>Exception coverage includes multi-person incidents; employee role, supervisor, address and phone changes; supplier address and phone changes; simultaneous customer physical/postal addresses; high overtime without an incident; confidential wellbeing notes; and a serious near miss with zero lost hours.</w:t>
      </w:r>
    </w:p>
    <w:p>
      <w:pPr>
        <w:pStyle w:val="Heading2"/>
      </w:pPr>
      <w:r>
        <w:t>3a.1 Tutor-feedback integrity revisions</w:t>
      </w:r>
    </w:p>
    <w:p>
      <w:pPr>
        <w:widowControl/>
      </w:pPr>
      <w:r>
        <w:rPr>
          <w:rFonts w:ascii="Times New Roman" w:hAnsi="Times New Roman"/>
          <w:i w:val="0"/>
          <w:sz w:val="24"/>
        </w:rPr>
        <w:t>The revised schema addresses the specific integrity gaps identified in tutor review.</w:t>
      </w:r>
    </w:p>
    <w:p>
      <w:pPr>
        <w:widowControl/>
      </w:pPr>
      <w:r>
        <w:rPr>
          <w:rFonts w:ascii="Times New Roman" w:hAnsi="Times New Roman"/>
          <w:i w:val="0"/>
          <w:sz w:val="24"/>
        </w:rPr>
        <w:t>- Vineyard planting and harvest. vineyardplanting is identified by vineyard, vintage and grape variety, allowing more than one variety in the same vineyard/year. harvest stores the same grape-variety key and references the exact planting row. - Refund grain. refund stores productId with customerOrderId and uses a composite foreign key to orderline, so a refund cannot refer to a product that was not part of the order. - Picking-pack history. joinedDate is part of the packmember primary key. A picker can leave and later rejoin the same pack, while an overlap trigger prevents simultaneous membership periods. - Historical contacts. Employee and supplier address periods cannot overlap for the same address kind. Customer address history records a purpose (Primary, Delivery, Billing or Correspondence) and cannot overlap within the same purpose. This permits legitimate concurrent Delivery and Billing addresses in the supplied v4 data. Employee, customer and supplier phone history allows retained numbers but prevents more than one current primary phone. - Wine composition. Row percentages remain individually constrained, while a cross-row validation procedure requires a wine recipe to contain at least one variety and total exactly 100% before an active product is released. Released recipes are locked against ad-hoc composition edits until their products are deactivated. - Shift integrity. shiftassignment no longer stores independent regular/overtime totals alongside shift times. It stores actual start time, actual end time and break minutes. Labour hours and overtime are derived in reporting queries, removing the duplicate fact that the tutor identified. - Role history. Existing role-overlap triggers already implement the tutor clarification that the previous role must finish before the next active role starts. - Sustainability reporting. The selected HR perspective is measured through two explicit quantitative indicators: annual completion coverage for both Safety and Sustainability training, and workplace incidents per 1,000 actual labour hours. The second metric uses the revised derived assignment hours as its denominator.</w:t>
      </w:r>
    </w:p>
    <w:p>
      <w:pPr>
        <w:widowControl/>
      </w:pPr>
      <w:r>
        <w:rPr>
          <w:rFonts w:ascii="Times New Roman" w:hAnsi="Times New Roman"/>
          <w:i w:val="0"/>
          <w:sz w:val="24"/>
        </w:rPr>
        <w:t>These controls are additional to the five assessed Task 3b rules below. They are included because they protect the model and the final decision-support results even where they are not selected as one of the five screenshot rules.</w:t>
      </w:r>
    </w:p>
    <w:p>
      <w:pPr>
        <w:pStyle w:val="Heading2"/>
      </w:pPr>
      <w:r>
        <w:t>3b. Five assessed database-enforced business rules</w:t>
      </w:r>
    </w:p>
    <w:p>
      <w:pPr>
        <w:pStyle w:val="Heading3"/>
      </w:pPr>
      <w:r>
        <w:t>Rule 1 — Historical role dates</w:t>
      </w:r>
    </w:p>
    <w:p>
      <w:pPr>
        <w:widowControl/>
      </w:pPr>
      <w:r>
        <w:rPr>
          <w:rFonts w:ascii="Times New Roman" w:hAnsi="Times New Roman"/>
          <w:i w:val="0"/>
          <w:sz w:val="24"/>
        </w:rPr>
        <w:t>- Rule: An employee role end date/time cannot precede its start date/time. - Case source: Personnel requires role history with start and end dates (Wine Company Case, pp. 1–2). - Mechanism: chk_employeerole_dates CHECK. - Violation: database/tests/task3b_ruleviolations.sql creates a temporary test employee inside a transaction and inserts an end in May before a June start. - Expected result: MySQL Error 3819 naming chk_employeerole_dates.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1: role end cannot precede start</w:t>
        <w:br/>
        <w:t>-- Expected: Error 3819 naming chk_employeerole_dates</w:t>
        <w:br/>
        <w:t>-- =========================================================</w:t>
        <w:br/>
        <w:t>ROLLBACK;</w:t>
        <w:br/>
        <w:t>START TRANSACTION;</w:t>
        <w:br/>
        <w:t>INSERT INTO employee</w:t>
        <w:br/>
        <w:t>(employeeId, firstName, lastName, taxFileNumber, employmentStartDate, employmentEndDate)</w:t>
        <w:br/>
        <w:t>VALUES</w:t>
        <w:br/>
        <w:t>('EMP9999', 'Rule', 'Test', '998877665', '2026-01-01', NULL);</w:t>
        <w:br/>
        <w:br/>
        <w:t>INSERT INTO employeerole</w:t>
        <w:br/>
        <w:t>(employeeId, roleId, operationalAreaId, startDateTime, endDateTime,</w:t>
        <w:br/>
        <w:t xml:space="preserve"> workTimeType, employmentType, employmentPattern)</w:t>
        <w:br/>
        <w:t>VALUES</w:t>
        <w:br/>
        <w:t>('EMP9999', 'ROLE07', 'AREA04', '2026-06-01 09:00:00', '2026-05-01 09:00:00',</w:t>
        <w:br/>
        <w:t xml:space="preserve"> 'PARTTIME', 'PERMANENT', 'ONGOING');</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1" name="Picture 1"/>
            <wp:cNvGraphicFramePr>
              <a:graphicFrameLocks noChangeAspect="1"/>
            </wp:cNvGraphicFramePr>
            <a:graphic>
              <a:graphicData uri="http://schemas.openxmlformats.org/drawingml/2006/picture">
                <pic:pic>
                  <pic:nvPicPr>
                    <pic:cNvPr id="0" name="t02_invalidroledate.png"/>
                    <pic:cNvPicPr/>
                  </pic:nvPicPr>
                  <pic:blipFill>
                    <a:blip r:embed="rId1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1: genuine local MySQL Workbench execution, 2026-10-07</w:t>
      </w:r>
    </w:p>
    <w:p>
      <w:pPr>
        <w:pStyle w:val="Heading3"/>
      </w:pPr>
      <w:r>
        <w:t>Rule 2 — Bottle reorder explanation</w:t>
      </w:r>
    </w:p>
    <w:p>
      <w:pPr>
        <w:widowControl/>
      </w:pPr>
      <w:r>
        <w:rPr>
          <w:rFonts w:ascii="Times New Roman" w:hAnsi="Times New Roman"/>
          <w:i w:val="0"/>
          <w:sz w:val="24"/>
        </w:rPr>
        <w:t>- Rule: reorderFlag = FALSE requires a nonblank explanation. - Case source: Bottle quality problems and reasons for not reordering must be recorded (Wine Company Case, p. 3). - Mechanism: chk_bottletype_reorder CHECK. - Violation: database/tests/task3b_ruleviolations.sql supplies NULL inside an isolated transaction. - Expected result: MySQL Error 3819 naming chk_bottletype_reorder.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2: reorder FALSE requires a nonblank comment</w:t>
        <w:br/>
        <w:t>-- Expected: Error 3819 naming chk_bottletype_reorder</w:t>
        <w:br/>
        <w:t>-- =========================================================</w:t>
        <w:br/>
        <w:t>ROLLBACK;</w:t>
        <w:br/>
        <w:t>START TRANSACTION;</w:t>
        <w:br/>
        <w:t>INSERT INTO bottletype</w:t>
        <w:br/>
        <w:t>(bottleTypeId, capacityMl, bottleShape, material, bottleColour,</w:t>
        <w:br/>
        <w:t xml:space="preserve"> inventoryQuantity, usualUnitCost, reorderFlag, reorderComment)</w:t>
        <w:br/>
        <w:t>VALUES</w:t>
        <w:br/>
        <w:t>('BOTL099', 750, 'Test', 'GLASS', 'Green', 0, 1.00, FALSE, NULL);</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2" name="Picture 2"/>
            <wp:cNvGraphicFramePr>
              <a:graphicFrameLocks noChangeAspect="1"/>
            </wp:cNvGraphicFramePr>
            <a:graphic>
              <a:graphicData uri="http://schemas.openxmlformats.org/drawingml/2006/picture">
                <pic:pic>
                  <pic:nvPicPr>
                    <pic:cNvPr id="0" name="t03_missingreordercomment.png"/>
                    <pic:cNvPicPr/>
                  </pic:nvPicPr>
                  <pic:blipFill>
                    <a:blip r:embed="rId1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2: genuine local MySQL Workbench execution, 2026-10-07</w:t>
      </w:r>
    </w:p>
    <w:p>
      <w:pPr>
        <w:pStyle w:val="Heading3"/>
      </w:pPr>
      <w:r>
        <w:t>Rule 3 — Physical shipment address, including third-party recipients</w:t>
      </w:r>
    </w:p>
    <w:p>
      <w:pPr>
        <w:widowControl/>
      </w:pPr>
      <w:r>
        <w:rPr>
          <w:rFonts w:ascii="Times New Roman" w:hAnsi="Times New Roman"/>
          <w:i w:val="0"/>
          <w:sz w:val="24"/>
        </w:rPr>
        <w:t>- Rule: A shipment must have a physical (non-PO Box) destination; when the orderline has no separate recipient/delivery snapshot, the destination must be the customer's current physical address. - Case source: Orders are delivered to the current physical address and not postal addresses (Wine Company Case, p. 5). - Mechanism: Each shipment references a particular orderline; insert/update triggers check the physical address and whether the relevant orderline stores a complete recipient/destination snapshot. Without the snapshot, the current customer address rule remains in force. - Violation: database/tests/task3b_ruleviolations.sql uses current PO Box ADDR0004. - Expected result: MySQL Error 1644 with the physical-address message.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3: shipment destination must be physical, not a PO Box</w:t>
        <w:br/>
        <w:t>-- Expected: Error 1644 with the physical-address message</w:t>
        <w:br/>
        <w:t>-- =========================================================</w:t>
        <w:br/>
        <w:t>ROLLBACK;</w:t>
        <w:br/>
        <w:t>START TRANSACTION;</w:t>
        <w:br/>
        <w:t>INSERT INTO shipment</w:t>
        <w:br/>
        <w:t>(shipmentId, customerOrderId, productId, addressId, shippedDate)</w:t>
        <w:br/>
        <w:t>VALUES</w:t>
        <w:br/>
        <w:t>('SHIP0999', 'CORD0001', 'PROD001', 'ADDR0004', CURRENT_DATE);</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3" name="Picture 3"/>
            <wp:cNvGraphicFramePr>
              <a:graphicFrameLocks noChangeAspect="1"/>
            </wp:cNvGraphicFramePr>
            <a:graphic>
              <a:graphicData uri="http://schemas.openxmlformats.org/drawingml/2006/picture">
                <pic:pic>
                  <pic:nvPicPr>
                    <pic:cNvPr id="0" name="additional_postalshipment.png"/>
                    <pic:cNvPicPr/>
                  </pic:nvPicPr>
                  <pic:blipFill>
                    <a:blip r:embed="rId13"/>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3: genuine local MySQL Workbench execution, 2026-10-07</w:t>
      </w:r>
    </w:p>
    <w:p>
      <w:pPr>
        <w:pStyle w:val="Heading3"/>
      </w:pPr>
      <w:r>
        <w:t>Rule 4 — Paid before shipment</w:t>
      </w:r>
    </w:p>
    <w:p>
      <w:pPr>
        <w:widowControl/>
      </w:pPr>
      <w:r>
        <w:rPr>
          <w:rFonts w:ascii="Times New Roman" w:hAnsi="Times New Roman"/>
          <w:i w:val="0"/>
          <w:sz w:val="24"/>
        </w:rPr>
        <w:t>- Rule: An order must have paidFlag = TRUE before shipment. - Case source: The order is shipped only after accounting confirms payment (Wine Company Case, p. 5). - Mechanism: shipment insert/update triggers read customerorder.paidFlag. - Violation: database/tests/task3b_ruleviolations.sql creates an unpaid order inside a transaction and attempts shipment. - Expected result: MySQL Error 1644: Order must be paid before shipment.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4: order must be paid before shipment</w:t>
        <w:br/>
        <w:t>-- Expected: Error 1644, Order must be paid before shipment</w:t>
        <w:br/>
        <w:t>-- =========================================================</w:t>
        <w:br/>
        <w:t>ROLLBACK;</w:t>
        <w:br/>
        <w:t>START TRANSACTION;</w:t>
        <w:br/>
        <w:t>INSERT INTO customerorder</w:t>
        <w:br/>
        <w:t>(customerOrderId, customerId, receivedDate, paidFlag, orderStatus)</w:t>
        <w:br/>
        <w:t>VALUES</w:t>
        <w:br/>
        <w:t>('CORD0998', 'CUST001', CURRENT_DATE, FALSE, 'PENDING');</w:t>
        <w:br/>
        <w:br/>
        <w:t>INSERT INTO orderline (customerOrderId,productId,caseQuantity,agreedCasePrice)</w:t>
        <w:br/>
        <w:t>VALUES ('CORD0998','PROD001',1,360.00);</w:t>
        <w:br/>
        <w:t>INSERT INTO shipment</w:t>
        <w:br/>
        <w:t>(shipmentId, customerOrderId, productId, addressId, shippedDate)</w:t>
        <w:br/>
        <w:t>VALUES</w:t>
        <w:br/>
        <w:t>('SHIP0998', 'CORD0998', 'PROD001', 'ADDR0003', CURRENT_DATE);</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4" name="Picture 4"/>
            <wp:cNvGraphicFramePr>
              <a:graphicFrameLocks noChangeAspect="1"/>
            </wp:cNvGraphicFramePr>
            <a:graphic>
              <a:graphicData uri="http://schemas.openxmlformats.org/drawingml/2006/picture">
                <pic:pic>
                  <pic:nvPicPr>
                    <pic:cNvPr id="0" name="t04_unpaidshipment.png"/>
                    <pic:cNvPicPr/>
                  </pic:nvPicPr>
                  <pic:blipFill>
                    <a:blip r:embed="rId1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4: genuine local MySQL Workbench execution, 2026-10-07</w:t>
      </w:r>
    </w:p>
    <w:p>
      <w:pPr>
        <w:pStyle w:val="Heading3"/>
      </w:pPr>
      <w:r>
        <w:t>Rule 5 — One supervisor at a point in time</w:t>
      </w:r>
    </w:p>
    <w:p>
      <w:pPr>
        <w:widowControl/>
      </w:pPr>
      <w:r>
        <w:rPr>
          <w:rFonts w:ascii="Times New Roman" w:hAnsi="Times New Roman"/>
          <w:i w:val="0"/>
          <w:sz w:val="24"/>
        </w:rPr>
        <w:t>- Rule: A supervised employee may have only one supervisor at any point in time. - Case source: Each supervised employee reports to only one supervisor and supervisor history is retained (Wine Company Case, p. 1). - Mechanism: supervision insert/update overlap triggers. - Violation: database/tests/task3b_ruleviolations.sql inserts a second current supervisor for EMP0008 inside an isolated transaction. - Expected result: MySQL Error 1644 with the overlapping-supervision message. - Genuine Workbench evidence: Genuine local Workbench capture available in docs/evidence/final-workbench (2026-10-07); submitting students review before submission.</w:t>
      </w:r>
    </w:p>
    <w:p>
      <w:pPr>
        <w:widowControl/>
      </w:pPr>
      <w:r>
        <w:rPr>
          <w:rFonts w:ascii="Times New Roman" w:hAnsi="Times New Roman"/>
          <w:i w:val="0"/>
          <w:sz w:val="24"/>
        </w:rPr>
        <w:t>The submitted rule script rolls back its transactions; standalone screenshot setup rows were removed by the final clean rebuild. Readable assessed SQL is in database/tests/task3b_ruleviolations.sql. Legal-age, postal-address completeness, cancelled-shipment and shipment-date validation remain additional controls rather than assessed Task 3b rules.</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5: supervised employee has only one supervisor at a point in time</w:t>
        <w:br/>
        <w:t>-- Expected: Error 1644 with the overlapping-supervision message</w:t>
        <w:br/>
        <w:t>-- =========================================================</w:t>
        <w:br/>
        <w:t>ROLLBACK;</w:t>
        <w:br/>
        <w:t>START TRANSACTION;</w:t>
        <w:br/>
        <w:t>INSERT INTO supervision</w:t>
        <w:br/>
        <w:t>(employeeId, supervisorId, startDateTime, endDateTime)</w:t>
        <w:br/>
        <w:t>VALUES</w:t>
        <w:br/>
        <w:t>('EMP0008', 'EMP0001', '2026-02-01 09:00:00', NULL);</w:t>
        <w:br/>
        <w:t>-- After screenshot, run this line alone:</w:t>
        <w:br/>
        <w:t>ROLLBACK;</w:t>
      </w:r>
    </w:p>
    <w:p>
      <w:pPr>
        <w:keepNext/>
        <w:jc w:val="center"/>
      </w:pPr>
      <w:r>
        <w:drawing>
          <wp:inline xmlns:a="http://schemas.openxmlformats.org/drawingml/2006/main" xmlns:pic="http://schemas.openxmlformats.org/drawingml/2006/picture">
            <wp:extent cx="5669280" cy="4030504"/>
            <wp:docPr id="5" name="Picture 5"/>
            <wp:cNvGraphicFramePr>
              <a:graphicFrameLocks noChangeAspect="1"/>
            </wp:cNvGraphicFramePr>
            <a:graphic>
              <a:graphicData uri="http://schemas.openxmlformats.org/drawingml/2006/picture">
                <pic:pic>
                  <pic:nvPicPr>
                    <pic:cNvPr id="0" name="t05_overlappingsupervision.png"/>
                    <pic:cNvPicPr/>
                  </pic:nvPicPr>
                  <pic:blipFill>
                    <a:blip r:embed="rId1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5: genuine local MySQL Workbench execution, 2026-10-07</w:t>
      </w:r>
    </w:p>
    <w:p>
      <w:pPr>
        <w:pStyle w:val="Heading2"/>
      </w:pPr>
      <w:r>
        <w:t>New Hint 8 line-specific delivery integrity regression</w:t>
      </w:r>
    </w:p>
    <w:p>
      <w:pPr>
        <w:widowControl/>
      </w:pPr>
      <w:r>
        <w:rPr>
          <w:rFonts w:ascii="Times New Roman" w:hAnsi="Times New Roman"/>
          <w:i w:val="0"/>
          <w:sz w:val="24"/>
        </w:rPr>
        <w:t>The accepted additional test data contains one paid order CORD0002 with two ordered products and independent recipient snapshots: Alex Gift, 10 Main Street Richmond; and Jamie Recipient, 12 Hill Road Yarra Glen. The two shipment rows reference distinct order lines and distinct physical address identifiers. Run database/tests/t12_two_recipients_same_order.sql to obtain a positive confirmation result. It illustrates why storing only one delivery address on the order header loses legitimate business information. The snapshot fields remain NULL on all source v4 rows because that spreadsheet did not supply their delivery facts.</w:t>
      </w:r>
    </w:p>
    <w:p>
      <w:pPr>
        <w:sectPr>
          <w:pgSz w:w="11952" w:h="16848"/>
          <w:pgMar w:top="1440" w:right="1440" w:bottom="1440" w:left="1440" w:header="708" w:footer="708" w:gutter="0"/>
          <w:cols w:space="720"/>
          <w:docGrid w:linePitch="360"/>
        </w:sectPr>
      </w:pPr>
    </w:p>
    <w:p>
      <w:pPr>
        <w:pStyle w:val="Heading1"/>
      </w:pPr>
      <w:r>
        <w:t>Task 4 — ER Diagram with Annotated Alternatives</w:t>
      </w:r>
    </w:p>
    <w:p>
      <w:pPr>
        <w:widowControl/>
      </w:pPr>
      <w:r>
        <w:rPr>
          <w:rFonts w:ascii="Times New Roman" w:hAnsi="Times New Roman"/>
          <w:i w:val="0"/>
          <w:sz w:val="24"/>
        </w:rPr>
        <w:t>The editable MySQL Workbench model contains one complete diagram and six domain views. The full view demonstrates scope; the domain figures preserve readable attributes, keys and UML cardinalities. Assumptions are stated explicitly and do not contradict the case.</w:t>
      </w:r>
    </w:p>
    <w:p>
      <w:pPr>
        <w:widowControl/>
      </w:pPr>
      <w:r>
        <w:rPr>
          <w:rFonts w:ascii="Times New Roman" w:hAnsi="Times New Roman"/>
          <w:i w:val="0"/>
          <w:sz w:val="24"/>
        </w:rPr>
        <w:t>[Insert a fresh complete UML ER screenshot exported from the updated Cloudrest_Wines_Model.mwb. The older PNG predates the product-specific delivery relationship and must not be used.]</w:t>
      </w:r>
    </w:p>
    <w:p>
      <w:pPr>
        <w:pStyle w:val="Heading2"/>
      </w:pPr>
      <w:r>
        <w:t>Assumptions</w:t>
      </w:r>
    </w:p>
    <w:tbl>
      <w:tblPr>
        <w:tblStyle w:val="TableGrid"/>
        <w:tblW w:type="dxa" w:w="13966"/>
        <w:tblLayout w:type="fixed"/>
        <w:tblLook w:firstColumn="1" w:firstRow="1" w:lastColumn="0" w:lastRow="0" w:noHBand="0" w:noVBand="1" w:val="04A0"/>
        <w:tblInd w:w="120" w:type="dxa"/>
      </w:tblPr>
      <w:tblGrid>
        <w:gridCol w:w="2238"/>
        <w:gridCol w:w="6416"/>
        <w:gridCol w:w="5312"/>
      </w:tblGrid>
      <w:tr>
        <w:trPr>
          <w:tblHeader w:val="true"/>
          <w:cantSplit/>
        </w:trPr>
        <w:tc>
          <w:tcPr>
            <w:tcW w:type="dxa" w:w="2238"/>
            <w:shd w:fill="DCE6F1"/>
            <w:vAlign w:val="center"/>
            <w:tcMar>
              <w:top w:w="80" w:type="dxa"/>
              <w:start w:w="100" w:type="dxa"/>
              <w:bottom w:w="80" w:type="dxa"/>
              <w:end w:w="100" w:type="dxa"/>
            </w:tcMar>
          </w:tcPr>
          <w:p>
            <w:pPr>
              <w:keepNext/>
              <w:jc w:val="center"/>
            </w:pPr>
            <w:r>
              <w:rPr>
                <w:rFonts w:ascii="Times New Roman" w:hAnsi="Times New Roman"/>
                <w:b/>
                <w:color w:val="1F2937"/>
                <w:sz w:val="15"/>
              </w:rPr>
              <w:t>Area</w:t>
            </w:r>
          </w:p>
        </w:tc>
        <w:tc>
          <w:tcPr>
            <w:tcW w:type="dxa" w:w="6416"/>
            <w:shd w:fill="DCE6F1"/>
            <w:vAlign w:val="center"/>
            <w:tcMar>
              <w:top w:w="80" w:type="dxa"/>
              <w:start w:w="100" w:type="dxa"/>
              <w:bottom w:w="80" w:type="dxa"/>
              <w:end w:w="100" w:type="dxa"/>
            </w:tcMar>
          </w:tcPr>
          <w:p>
            <w:pPr>
              <w:keepNext/>
              <w:jc w:val="center"/>
            </w:pPr>
            <w:r>
              <w:rPr>
                <w:rFonts w:ascii="Times New Roman" w:hAnsi="Times New Roman"/>
                <w:b/>
                <w:color w:val="1F2937"/>
                <w:sz w:val="15"/>
              </w:rPr>
              <w:t>Assumption</w:t>
            </w:r>
          </w:p>
        </w:tc>
        <w:tc>
          <w:tcPr>
            <w:tcW w:type="dxa" w:w="5312"/>
            <w:shd w:fill="DCE6F1"/>
            <w:vAlign w:val="center"/>
            <w:tcMar>
              <w:top w:w="80" w:type="dxa"/>
              <w:start w:w="100" w:type="dxa"/>
              <w:bottom w:w="80" w:type="dxa"/>
              <w:end w:w="100" w:type="dxa"/>
            </w:tcMar>
          </w:tcPr>
          <w:p>
            <w:pPr>
              <w:keepNext/>
              <w:jc w:val="center"/>
            </w:pPr>
            <w:r>
              <w:rPr>
                <w:rFonts w:ascii="Times New Roman" w:hAnsi="Times New Roman"/>
                <w:b/>
                <w:color w:val="1F2937"/>
                <w:sz w:val="15"/>
              </w:rPr>
              <w:t>Reason</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Employee names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Names are split into first and last name for all employees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The case says employee name but does not prescribe structure; splitting supports contact and reporting use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Concurrent roles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An employee has at most one active role period; the previous role must finish before the next starts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confirmed that the previous role should finish before the next role starts; the existing overlap trigger enforces this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Supervisor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An employee has no more than one supervisor at any instant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Explicit case requirement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Employment classification</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Full/part-time, permanent/casual and ongoing/seasonal are independent dimensions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Prevents a seasonal casual from being misclassified as a third legal employment type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Supplier contact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Supplier address periods cannot overlap within the same address kind, and only one current primary phone is allowed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Preserves history while allowing different legitimate address kinds and preventing duplicate current facts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Employee/customer contact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Employee address periods cannot overlap within the same address kind; customer address periods cannot overlap within the same business purpose; employee and customer phone history permits only one current primary phone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requires current-history integrity, while the official v4 workbook demonstrates that a customer can legitimately have concurrent Delivery and Billing addresses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Owners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Christine is represented as an employee/owner role so supervisor FKs remain enforceable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Supervisors report to Christine and the model needs an identifiable parent record</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Picking pack</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The minimum four-person requirement is checked operationally before scheduling/finalisation and is not enforced by the current database schema</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Enforcing the minimum on each member insert would prevent incremental pack construction; adding lifecycle status plus a finalisation trigger would be a future extension</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Vineyard manager</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The manager is the current manager; a future extension could add dated vineyard-management history</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Case states one manager and no employee manages more than one vineyard, but does not explicitly request this history</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Wine recipe</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Composition rows must total 100% before an active product is released; released recipes are locked against ad-hoc composition edits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MySQL cannot express this cross-row total with a normal CHECK, so release-boundary validation preserves staged recipe entry while enforcing the tutor requirement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Product identity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Wine, bottle type and case quantity uniquely define a product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Directly follows the case definition of product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Product-specific delivery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Each orderline can hold a complete snapshot of recipient name and street/locality/state/postcode independent of the buyer; when the source lacks recipient details all five fields remain NULL together</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Hint 8 permits sending ordered products to someone other than the buying customer; delivery history must not change when the customer's address changes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Shipment</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At most one shipment per ordered product line; different lines of one order may dispatch to different physical addresses. Orders are marked SHIPPED only when every orderline has a shipment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Hint 8 explicitly allows different product destinations; the original order-wide unique shipment address was too restrictive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HR incident rate</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One incident is counted once per operational area regardless of people involved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Prevents multi-person incidents being double-counted in the sustainability numerator</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Incident lost hours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Employee-level `incidentemployee.employeeLostHours` is the detailed source used by the sustainability query; `incident.totalLostHours` is retained as an event-level summary and must be reconciled in QA rather than treated as an independent authoritative fact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Avoids double-counting multi-person incidents while acknowledging the retained summary field</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Serious near miss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HIGH or CRITICAL severity may have zero lost hours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Severity and lost time measure different concepts; the case does not require positive lost time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Labour hours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Labour hours are derived from `shiftassignment.actualStartTime`, `actualEndTime` and `breakMinutes`; overtime is derived as hours above 8 per assignment for the current analytical rule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Removes the duplicate manual hour facts identified by the tutor and keeps one auditable source for worked time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Wellbeing privacy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Detailed notes are excluded from routine decision-support output; database users/roles and application authorisation are deployment controls outside this assessment build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The submitted SQL demonstrates data minimisation but does not claim production access-control configuration</w:t>
            </w:r>
          </w:p>
        </w:tc>
      </w:tr>
    </w:tbl>
    <w:p>
      <w:pPr>
        <w:spacing w:after="0"/>
      </w:pPr>
    </w:p>
    <w:p>
      <w:pPr>
        <w:pStyle w:val="Heading2"/>
      </w:pPr>
      <w:r>
        <w:t>Annotated design alternatives</w:t>
      </w:r>
    </w:p>
    <w:tbl>
      <w:tblPr>
        <w:tblStyle w:val="TableGrid"/>
        <w:tblW w:type="dxa" w:w="13967"/>
        <w:tblLayout w:type="fixed"/>
        <w:tblLook w:firstColumn="1" w:firstRow="1" w:lastColumn="0" w:lastRow="0" w:noHBand="0" w:noVBand="1" w:val="04A0"/>
        <w:tblInd w:w="120" w:type="dxa"/>
      </w:tblPr>
      <w:tblGrid>
        <w:gridCol w:w="2835"/>
        <w:gridCol w:w="4029"/>
        <w:gridCol w:w="7103"/>
      </w:tblGrid>
      <w:tr>
        <w:trPr>
          <w:tblHeader w:val="true"/>
          <w:cantSplit/>
        </w:trPr>
        <w:tc>
          <w:tcPr>
            <w:tcW w:type="dxa" w:w="2835"/>
            <w:shd w:fill="DCE6F1"/>
            <w:vAlign w:val="center"/>
            <w:tcMar>
              <w:top w:w="80" w:type="dxa"/>
              <w:start w:w="100" w:type="dxa"/>
              <w:bottom w:w="80" w:type="dxa"/>
              <w:end w:w="100" w:type="dxa"/>
            </w:tcMar>
          </w:tcPr>
          <w:p>
            <w:pPr>
              <w:keepNext/>
              <w:jc w:val="center"/>
            </w:pPr>
            <w:r>
              <w:rPr>
                <w:rFonts w:ascii="Times New Roman" w:hAnsi="Times New Roman"/>
                <w:b/>
                <w:color w:val="1F2937"/>
                <w:sz w:val="16"/>
              </w:rPr>
              <w:t>Design element</w:t>
            </w:r>
          </w:p>
        </w:tc>
        <w:tc>
          <w:tcPr>
            <w:tcW w:type="dxa" w:w="4029"/>
            <w:shd w:fill="DCE6F1"/>
            <w:vAlign w:val="center"/>
            <w:tcMar>
              <w:top w:w="80" w:type="dxa"/>
              <w:start w:w="100" w:type="dxa"/>
              <w:bottom w:w="80" w:type="dxa"/>
              <w:end w:w="100" w:type="dxa"/>
            </w:tcMar>
          </w:tcPr>
          <w:p>
            <w:pPr>
              <w:keepNext/>
              <w:jc w:val="center"/>
            </w:pPr>
            <w:r>
              <w:rPr>
                <w:rFonts w:ascii="Times New Roman" w:hAnsi="Times New Roman"/>
                <w:b/>
                <w:color w:val="1F2937"/>
                <w:sz w:val="16"/>
              </w:rPr>
              <w:t>Alternative</w:t>
            </w:r>
          </w:p>
        </w:tc>
        <w:tc>
          <w:tcPr>
            <w:tcW w:type="dxa" w:w="7103"/>
            <w:shd w:fill="DCE6F1"/>
            <w:vAlign w:val="center"/>
            <w:tcMar>
              <w:top w:w="80" w:type="dxa"/>
              <w:start w:w="100" w:type="dxa"/>
              <w:bottom w:w="80" w:type="dxa"/>
              <w:end w:w="100" w:type="dxa"/>
            </w:tcMar>
          </w:tcPr>
          <w:p>
            <w:pPr>
              <w:keepNext/>
              <w:jc w:val="center"/>
            </w:pPr>
            <w:r>
              <w:rPr>
                <w:rFonts w:ascii="Times New Roman" w:hAnsi="Times New Roman"/>
                <w:b/>
                <w:color w:val="1F2937"/>
                <w:sz w:val="16"/>
              </w:rPr>
              <w:t>Reason selected</w:t>
            </w:r>
          </w:p>
        </w:tc>
      </w:tr>
      <w:tr>
        <w:trPr>
          <w:cantSplit/>
        </w:trPr>
        <w:tc>
          <w:tcPr>
            <w:tcW w:type="dxa" w:w="2835"/>
            <w:vAlign w:val="center"/>
            <w:tcMar>
              <w:top w:w="80" w:type="dxa"/>
              <w:start w:w="100" w:type="dxa"/>
              <w:bottom w:w="80" w:type="dxa"/>
              <w:end w:w="100" w:type="dxa"/>
            </w:tcMar>
          </w:tcPr>
          <w:p>
            <w:pPr>
              <w:keepNext/>
              <w:spacing w:after="0"/>
            </w:pPr>
            <w:r>
              <w:rPr>
                <w:rFonts w:ascii="Times New Roman" w:hAnsi="Times New Roman"/>
                <w:sz w:val="16"/>
              </w:rPr>
              <w:t>Customer types</w:t>
            </w:r>
          </w:p>
        </w:tc>
        <w:tc>
          <w:tcPr>
            <w:tcW w:type="dxa" w:w="4029"/>
            <w:vAlign w:val="center"/>
            <w:tcMar>
              <w:top w:w="80" w:type="dxa"/>
              <w:start w:w="100" w:type="dxa"/>
              <w:bottom w:w="80" w:type="dxa"/>
              <w:end w:w="100" w:type="dxa"/>
            </w:tcMar>
          </w:tcPr>
          <w:p>
            <w:pPr>
              <w:keepNext/>
              <w:spacing w:after="0"/>
            </w:pPr>
            <w:r>
              <w:rPr>
                <w:rFonts w:ascii="Times New Roman" w:hAnsi="Times New Roman"/>
                <w:sz w:val="16"/>
              </w:rPr>
              <w:t>One wide customer table</w:t>
            </w:r>
          </w:p>
        </w:tc>
        <w:tc>
          <w:tcPr>
            <w:tcW w:type="dxa" w:w="7103"/>
            <w:vAlign w:val="center"/>
            <w:tcMar>
              <w:top w:w="80" w:type="dxa"/>
              <w:start w:w="100" w:type="dxa"/>
              <w:bottom w:w="80" w:type="dxa"/>
              <w:end w:w="100" w:type="dxa"/>
            </w:tcMar>
          </w:tcPr>
          <w:p>
            <w:pPr>
              <w:keepNext/>
              <w:spacing w:after="0"/>
            </w:pPr>
            <w:r>
              <w:rPr>
                <w:rFonts w:ascii="Times New Roman" w:hAnsi="Times New Roman"/>
                <w:sz w:val="16"/>
              </w:rPr>
              <w:t>Supertype/subtypes reduce inapplicable NULLs while retaining a common order key.</w:t>
            </w:r>
          </w:p>
        </w:tc>
      </w:tr>
      <w:tr>
        <w:trPr>
          <w:cantSplit/>
        </w:trPr>
        <w:tc>
          <w:tcPr>
            <w:tcW w:type="dxa" w:w="2835"/>
            <w:vAlign w:val="center"/>
            <w:tcMar>
              <w:top w:w="80" w:type="dxa"/>
              <w:start w:w="100" w:type="dxa"/>
              <w:bottom w:w="80" w:type="dxa"/>
              <w:end w:w="100" w:type="dxa"/>
            </w:tcMar>
          </w:tcPr>
          <w:p>
            <w:pPr>
              <w:keepNext/>
              <w:spacing w:after="0"/>
            </w:pPr>
            <w:r>
              <w:rPr>
                <w:rFonts w:ascii="Times New Roman" w:hAnsi="Times New Roman"/>
                <w:sz w:val="16"/>
              </w:rPr>
              <w:t>Address history</w:t>
            </w:r>
          </w:p>
        </w:tc>
        <w:tc>
          <w:tcPr>
            <w:tcW w:type="dxa" w:w="4029"/>
            <w:vAlign w:val="center"/>
            <w:tcMar>
              <w:top w:w="80" w:type="dxa"/>
              <w:start w:w="100" w:type="dxa"/>
              <w:bottom w:w="80" w:type="dxa"/>
              <w:end w:w="100" w:type="dxa"/>
            </w:tcMar>
          </w:tcPr>
          <w:p>
            <w:pPr>
              <w:keepNext/>
              <w:spacing w:after="0"/>
            </w:pPr>
            <w:r>
              <w:rPr>
                <w:rFonts w:ascii="Times New Roman" w:hAnsi="Times New Roman"/>
                <w:sz w:val="16"/>
              </w:rPr>
              <w:t>Copied columns or polymorphic owner</w:t>
            </w:r>
          </w:p>
        </w:tc>
        <w:tc>
          <w:tcPr>
            <w:tcW w:type="dxa" w:w="7103"/>
            <w:vAlign w:val="center"/>
            <w:tcMar>
              <w:top w:w="80" w:type="dxa"/>
              <w:start w:w="100" w:type="dxa"/>
              <w:bottom w:w="80" w:type="dxa"/>
              <w:end w:w="100" w:type="dxa"/>
            </w:tcMar>
          </w:tcPr>
          <w:p>
            <w:pPr>
              <w:keepNext/>
              <w:spacing w:after="0"/>
            </w:pPr>
            <w:r>
              <w:rPr>
                <w:rFonts w:ascii="Times New Roman" w:hAnsi="Times New Roman"/>
                <w:sz w:val="16"/>
              </w:rPr>
              <w:t>Shared address with typed dated associations gives enforceable FKs and retained history.</w:t>
            </w:r>
          </w:p>
        </w:tc>
      </w:tr>
      <w:tr>
        <w:trPr>
          <w:cantSplit/>
        </w:trPr>
        <w:tc>
          <w:tcPr>
            <w:tcW w:type="dxa" w:w="2835"/>
            <w:vAlign w:val="center"/>
            <w:tcMar>
              <w:top w:w="80" w:type="dxa"/>
              <w:start w:w="100" w:type="dxa"/>
              <w:bottom w:w="80" w:type="dxa"/>
              <w:end w:w="100" w:type="dxa"/>
            </w:tcMar>
          </w:tcPr>
          <w:p>
            <w:pPr>
              <w:keepNext w:val="0"/>
              <w:spacing w:after="0"/>
            </w:pPr>
            <w:r>
              <w:rPr>
                <w:rFonts w:ascii="Times New Roman" w:hAnsi="Times New Roman"/>
                <w:sz w:val="16"/>
              </w:rPr>
              <w:t>Training structure</w:t>
            </w:r>
          </w:p>
        </w:tc>
        <w:tc>
          <w:tcPr>
            <w:tcW w:type="dxa" w:w="4029"/>
            <w:vAlign w:val="center"/>
            <w:tcMar>
              <w:top w:w="80" w:type="dxa"/>
              <w:start w:w="100" w:type="dxa"/>
              <w:bottom w:w="80" w:type="dxa"/>
              <w:end w:w="100" w:type="dxa"/>
            </w:tcMar>
          </w:tcPr>
          <w:p>
            <w:pPr>
              <w:keepNext w:val="0"/>
              <w:spacing w:after="0"/>
            </w:pPr>
            <w:r>
              <w:rPr>
                <w:rFonts w:ascii="Times New Roman" w:hAnsi="Times New Roman"/>
                <w:sz w:val="16"/>
              </w:rPr>
              <w:t>One repeated employee-training table</w:t>
            </w:r>
          </w:p>
        </w:tc>
        <w:tc>
          <w:tcPr>
            <w:tcW w:type="dxa" w:w="7103"/>
            <w:vAlign w:val="center"/>
            <w:tcMar>
              <w:top w:w="80" w:type="dxa"/>
              <w:start w:w="100" w:type="dxa"/>
              <w:bottom w:w="80" w:type="dxa"/>
              <w:end w:w="100" w:type="dxa"/>
            </w:tcMar>
          </w:tcPr>
          <w:p>
            <w:pPr>
              <w:keepNext w:val="0"/>
              <w:spacing w:after="0"/>
            </w:pPr>
            <w:r>
              <w:rPr>
                <w:rFonts w:ascii="Times New Roman" w:hAnsi="Times New Roman"/>
                <w:sz w:val="16"/>
              </w:rPr>
              <w:t>Course/session/attendance separates definition, delivery and outcome for 3NF and coverage queries.</w:t>
            </w:r>
          </w:p>
        </w:tc>
      </w:tr>
    </w:tbl>
    <w:p>
      <w:pPr>
        <w:spacing w:after="0"/>
      </w:pPr>
    </w:p>
    <w:p>
      <w:pPr>
        <w:sectPr>
          <w:pgSz w:w="16848" w:h="11952" w:orient="landscape"/>
          <w:pgMar w:top="1440" w:right="1440" w:bottom="1440" w:left="1440" w:header="708" w:footer="708" w:gutter="0"/>
          <w:cols w:space="720"/>
          <w:docGrid w:linePitch="360"/>
        </w:sectPr>
      </w:pPr>
    </w:p>
    <w:p>
      <w:pPr>
        <w:pStyle w:val="Heading1"/>
      </w:pPr>
      <w:r>
        <w:t>Task 5 — Data Dictionary and Database Build</w:t>
      </w:r>
    </w:p>
    <w:p>
      <w:pPr>
        <w:widowControl/>
      </w:pPr>
      <w:r>
        <w:rPr>
          <w:rFonts w:ascii="Times New Roman" w:hAnsi="Times New Roman"/>
          <w:i w:val="0"/>
          <w:sz w:val="24"/>
        </w:rPr>
        <w:t>The complete data dictionary is presented as Word-ready tables and cross-checked against the validated MySQL schema to prevent divergence between the ER model, report and build. It is organised by table and records attribute name, type/size, domain/default, nullability, uniqueness, primary-key status, foreign-key reference and business purpose.</w:t>
      </w:r>
    </w:p>
    <w:p>
      <w:pPr>
        <w:widowControl/>
      </w:pPr>
      <w:r>
        <w:rPr>
          <w:rFonts w:ascii="Times New Roman" w:hAnsi="Times New Roman"/>
          <w:i w:val="0"/>
          <w:sz w:val="24"/>
        </w:rPr>
        <w:t>Naming compliance:</w:t>
      </w:r>
    </w:p>
    <w:p>
      <w:pPr>
        <w:widowControl/>
      </w:pPr>
      <w:r>
        <w:rPr>
          <w:rFonts w:ascii="Times New Roman" w:hAnsi="Times New Roman"/>
          <w:i w:val="0"/>
          <w:sz w:val="24"/>
        </w:rPr>
        <w:t>- all table names are lowercase, singular, contain no spaces and contain no underscores;</w:t>
      </w:r>
    </w:p>
    <w:p>
      <w:pPr>
        <w:widowControl/>
      </w:pPr>
      <w:r>
        <w:rPr>
          <w:rFonts w:ascii="Times New Roman" w:hAnsi="Times New Roman"/>
          <w:i w:val="0"/>
          <w:sz w:val="24"/>
        </w:rPr>
        <w:t>- all attributes use lowerCamelCase;</w:t>
      </w:r>
    </w:p>
    <w:p>
      <w:pPr>
        <w:widowControl/>
      </w:pPr>
      <w:r>
        <w:rPr>
          <w:rFonts w:ascii="Times New Roman" w:hAnsi="Times New Roman"/>
          <w:i w:val="0"/>
          <w:sz w:val="24"/>
        </w:rPr>
        <w:t>- character-bearing identifiers (for example EMP0001, WINE001, PROD001) follow the owners' request;</w:t>
      </w:r>
    </w:p>
    <w:p>
      <w:pPr>
        <w:widowControl/>
      </w:pPr>
      <w:r>
        <w:rPr>
          <w:rFonts w:ascii="Times New Roman" w:hAnsi="Times New Roman"/>
          <w:i w:val="0"/>
          <w:sz w:val="24"/>
        </w:rPr>
        <w:t>- compound keys are demonstrated in relationship/history tables such as winecomposition, orderline, trainingattendance and employeerole;</w:t>
      </w:r>
    </w:p>
    <w:p>
      <w:pPr>
        <w:widowControl/>
      </w:pPr>
      <w:r>
        <w:rPr>
          <w:rFonts w:ascii="Times New Roman" w:hAnsi="Times New Roman"/>
          <w:i w:val="0"/>
          <w:sz w:val="24"/>
        </w:rPr>
        <w:t>- the clean build has been executed under MySQL 8.4.11 from an empty database.</w:t>
      </w:r>
    </w:p>
    <w:p>
      <w:pPr>
        <w:widowControl/>
      </w:pPr>
      <w:r>
        <w:rPr>
          <w:rFonts w:ascii="Times New Roman" w:hAnsi="Times New Roman"/>
          <w:i w:val="0"/>
          <w:sz w:val="24"/>
        </w:rPr>
        <w:t>The data dictionary was prepared as Word-ready tables and cross-checked against the implemented MySQL schema for consistency. Every field has an explicit domain/default and a semantic business definition; automation is used internally to detect schema drift. The complete source is stored in docs/report/data-dictionary.md and appears in the Word report appendix.</w:t>
      </w:r>
    </w:p>
    <w:p>
      <w:pPr>
        <w:pStyle w:val="Heading2"/>
      </w:pPr>
      <w:r>
        <w:t>Revised build verification</w:t>
      </w:r>
    </w:p>
    <w:p>
      <w:pPr>
        <w:widowControl/>
      </w:pPr>
      <w:r>
        <w:rPr>
          <w:rFonts w:ascii="Times New Roman" w:hAnsi="Times New Roman"/>
          <w:i w:val="0"/>
          <w:sz w:val="24"/>
        </w:rPr>
        <w:t>The final tutor-feedback build was verified under MySQL 8.4.11 on 2026-10-07: 55 base tables, 1 view, 286 columns, 72 foreign keys, 50 CHECK constraints, 30 triggers and 3 routines. The 286-row dictionary was regenerated from that live schema. The Workbench model contains 276 base-table attributes; the reporting view contributes the remaining 10 dictionary attributes. All modeled column names and primary keys match the regenerated dictionary.</w:t>
      </w:r>
    </w:p>
    <w:p>
      <w:pPr>
        <w:pStyle w:val="Heading2"/>
      </w:pPr>
      <w:r>
        <w:t>Hint 7 formatting and schema addendum</w:t>
      </w:r>
    </w:p>
    <w:p>
      <w:pPr>
        <w:widowControl/>
      </w:pPr>
      <w:r>
        <w:rPr>
          <w:rFonts w:ascii="Times New Roman" w:hAnsi="Times New Roman"/>
          <w:i w:val="0"/>
          <w:sz w:val="24"/>
        </w:rPr>
        <w:t>The five line-specific recipient/delivery snapshot attributes and the shipment productId composite foreign key are included in the revised dictionary. The Word Data Dictionary tables must use at least 10 pt text while remaining editable and selectable by Turnitin; layout can expand into additional landscape pages rather than squeezing entries into a 7.5 pt table.</w:t>
      </w:r>
    </w:p>
    <w:p>
      <w:pPr>
        <w:widowControl/>
      </w:pPr>
      <w:r>
        <w:rPr>
          <w:rFonts w:ascii="Times New Roman" w:hAnsi="Times New Roman"/>
          <w:i w:val="0"/>
          <w:sz w:val="24"/>
        </w:rPr>
        <w:t>Build verification: 55 base tables, 1 view, 292 columns, 72 foreign keys, 51 CHECK constraints, 30 triggers and 3 routines under MySQL 8.4.11. Statistics are read from the verified live schema, not hard-coded.</w:t>
      </w:r>
    </w:p>
    <w:p>
      <w:pPr>
        <w:pStyle w:val="Heading1"/>
      </w:pPr>
      <w:r>
        <w:t>Task 6 — Data Quality Strategy and Validation</w:t>
      </w:r>
    </w:p>
    <w:p>
      <w:pPr>
        <w:pStyle w:val="Heading2"/>
      </w:pPr>
      <w:r>
        <w:t>6a. Official A2 v4 source and controlled migration</w:t>
      </w:r>
    </w:p>
    <w:p>
      <w:pPr>
        <w:widowControl/>
      </w:pPr>
      <w:r>
        <w:rPr>
          <w:rFonts w:ascii="Times New Roman" w:hAnsi="Times New Roman"/>
          <w:i w:val="0"/>
          <w:sz w:val="24"/>
        </w:rPr>
        <w:t>The official workbook BISM2207 A2 Sem 2 2026 Data v4(1).xlsx was independently SHA-verified and re-imported from the supplied local file on 2026-10-07. SHA-256: 88362589a519b6f9aeae031fe806bcf85f0d8b513c12b11f6a4e619ee855c4ac. Raw CSV/SQL exports remain in the ignored private database/local/v4 directory. The unchanged workbook is not included in the public repository. Cleaning follows a raw-to-staging-to-production process so source errors remain reproducible and no ambiguous value is silently invented.</w:t>
      </w:r>
    </w:p>
    <w:p>
      <w:pPr>
        <w:widowControl/>
      </w:pPr>
      <w:r>
        <w:rPr>
          <w:rFonts w:ascii="Times New Roman" w:hAnsi="Times New Roman"/>
          <w:i w:val="0"/>
          <w:sz w:val="24"/>
        </w:rPr>
        <w:t>The three worksheets contain 182 order rows, 102 starting-address rows and 53 business rows of customer/address history. The history worksheet also contains two blank rows and one source note. Raw staging tables preserve an original Excel row number. Deterministic changes are documented separately from records that require manual or tutor confirmation.</w:t>
      </w:r>
    </w:p>
    <w:p>
      <w:pPr>
        <w:pStyle w:val="Heading3"/>
      </w:pPr>
      <w:r>
        <w:t>Verified defects and corrections</w:t>
      </w:r>
    </w:p>
    <w:p>
      <w:pPr>
        <w:widowControl/>
      </w:pPr>
      <w:r>
        <w:rPr>
          <w:rFonts w:ascii="Times New Roman" w:hAnsi="Times New Roman"/>
          <w:i w:val="0"/>
          <w:sz w:val="24"/>
        </w:rPr>
        <w:t>The workbook contains six order rows with non-canonical Customer Id text: lower-case cust018, lower-case cust015, and spaced CUST 019. These can be corrected deterministically by trimming, removing embedded spaces and converting to upper case. After this standardisation, all 50 customer identifiers referenced by orders match a customer in the history worksheet.</w:t>
      </w:r>
    </w:p>
    <w:p>
      <w:pPr>
        <w:widowControl/>
      </w:pPr>
      <w:r>
        <w:rPr>
          <w:rFonts w:ascii="Times New Roman" w:hAnsi="Times New Roman"/>
          <w:i w:val="0"/>
          <w:sz w:val="24"/>
        </w:rPr>
        <w:t>Encoding damage is also deterministic. Rosewood Trail RosÃ© occurs in 24 order rows and is mechanically repaired to Rosewood Trail Rosé. Nine starting-address rows contain the mojibake dash â€“; this is repaired as an encoding defect rather than treated as a business-data change. The company name Vino Vibes  Wine Exporters contains repeated whitespace in three history rows and can be normalised without changing its meaning.</w:t>
      </w:r>
    </w:p>
    <w:p>
      <w:pPr>
        <w:widowControl/>
      </w:pPr>
      <w:r>
        <w:rPr>
          <w:rFonts w:ascii="Times New Roman" w:hAnsi="Times New Roman"/>
          <w:i w:val="0"/>
          <w:sz w:val="24"/>
        </w:rPr>
        <w:t>One extra order row is an exact duplicate: the repeated ORD125 / PROD001 record. The first source row is retained and the later exact copy is recorded as an autocorrected duplicate.</w:t>
      </w:r>
    </w:p>
    <w:p>
      <w:pPr>
        <w:pStyle w:val="Heading3"/>
      </w:pPr>
      <w:r>
        <w:t>Ambiguous records quarantined for review</w:t>
      </w:r>
    </w:p>
    <w:p>
      <w:pPr>
        <w:widowControl/>
      </w:pPr>
      <w:r>
        <w:rPr>
          <w:rFonts w:ascii="Times New Roman" w:hAnsi="Times New Roman"/>
          <w:i w:val="0"/>
          <w:sz w:val="24"/>
        </w:rPr>
        <w:t>The source also contains eight repeated (Order Id, Product Id) groups, representing nine extra rows. Most are not exact duplicates: quantities, prices, refund values or statuses differ. They must not be automatically summed or discarded because the workbook does not establish whether they are genuine repeated product lines, transaction events or source duplication.</w:t>
      </w:r>
    </w:p>
    <w:p>
      <w:pPr>
        <w:widowControl/>
      </w:pPr>
      <w:r>
        <w:rPr>
          <w:rFonts w:ascii="Times New Roman" w:hAnsi="Times New Roman"/>
          <w:i w:val="0"/>
          <w:sz w:val="24"/>
        </w:rPr>
        <w:t>Ten orders contain more than one Shipment Status across their product rows. ORD056 also contains both a blank and paid Payment Status. These findings expose a source-grain ambiguity between order-level and line-level status. The rows are retained in staging and flagged rather than forced into one status.</w:t>
      </w:r>
    </w:p>
    <w:p>
      <w:pPr>
        <w:widowControl/>
      </w:pPr>
      <w:r>
        <w:rPr>
          <w:rFonts w:ascii="Times New Roman" w:hAnsi="Times New Roman"/>
          <w:i w:val="0"/>
          <w:sz w:val="24"/>
        </w:rPr>
        <w:t>The starting-address worksheet has 67 distinct Full Address strings across 102 Address Id records. Nineteen full-address groups are duplicated, accounting for 35 additional Address Id rows. Two duplicate groups also differ in structural metadata such as unit/building information, so canonicalisation cannot be based on Full Address text alone.</w:t>
      </w:r>
    </w:p>
    <w:p>
      <w:pPr>
        <w:widowControl/>
      </w:pPr>
      <w:r>
        <w:rPr>
          <w:rFonts w:ascii="Times New Roman" w:hAnsi="Times New Roman"/>
          <w:i w:val="0"/>
          <w:sz w:val="24"/>
        </w:rPr>
        <w:t>Three phone values are shared by more than one customer. These may represent a household or business contact, or they may be source errors. They require manual review and are not changed automatically.</w:t>
      </w:r>
    </w:p>
    <w:p>
      <w:pPr>
        <w:widowControl/>
      </w:pPr>
      <w:r>
        <w:rPr>
          <w:rFonts w:ascii="Times New Roman" w:hAnsi="Times New Roman"/>
          <w:i w:val="0"/>
          <w:sz w:val="24"/>
        </w:rPr>
        <w:t>The source itself states that an export reset some current-customer start dates. The lost original dates cannot be recovered from the workbook and are therefore disclosed as a source limitation rather than reconstructed.</w:t>
      </w:r>
    </w:p>
    <w:p>
      <w:pPr>
        <w:pStyle w:val="Heading3"/>
      </w:pPr>
      <w:r>
        <w:t>Consistency checks that pass</w:t>
      </w:r>
    </w:p>
    <w:p>
      <w:pPr>
        <w:widowControl/>
      </w:pPr>
      <w:r>
        <w:rPr>
          <w:rFonts w:ascii="Times New Roman" w:hAnsi="Times New Roman"/>
          <w:i w:val="0"/>
          <w:sz w:val="24"/>
        </w:rPr>
        <w:t>All 182 order rows satisfy Cases ordered × Price per case = Total paid + Refund Amount within one cent. No row has damaged cases greater than ordered cases. Where damaged cases are recorded, the damage refund equals damaged cases multiplied by the line price within one cent. Product Id consistently maps to one Wine Name, and Customer Id and Order Date are internally consistent within each Order Id after Customer Id normalisation.</w:t>
      </w:r>
    </w:p>
    <w:p>
      <w:pPr>
        <w:widowControl/>
      </w:pPr>
      <w:r>
        <w:rPr>
          <w:rFonts w:ascii="Times New Roman" w:hAnsi="Times New Roman"/>
          <w:i w:val="0"/>
          <w:sz w:val="24"/>
        </w:rPr>
        <w:t>Customer-address history contains no overlapping periods for the same customer and the same supplied address purpose. The source legitimately contains concurrent current Delivery and Billing rows for CUST050, which is why the revised database controls current history per address purpose rather than incorrectly allowing only one address of every kind.</w:t>
      </w:r>
    </w:p>
    <w:p>
      <w:pPr>
        <w:widowControl/>
      </w:pPr>
      <w:r>
        <w:rPr>
          <w:rFonts w:ascii="Times New Roman" w:hAnsi="Times New Roman"/>
          <w:i w:val="0"/>
          <w:sz w:val="24"/>
        </w:rPr>
        <w:t>Detailed profiling SQL and evidence counts are in database/cleaning/01_v4_staging.sql, database/cleaning/02_v4_profile_and_clean.sql and docs/evidence/a2-v4-data-quality-audit.md.</w:t>
      </w:r>
    </w:p>
    <w:p>
      <w:pPr>
        <w:pStyle w:val="Heading2"/>
      </w:pPr>
      <w:r>
        <w:t>6b. Revised schema controls arising from the data-quality review</w:t>
      </w:r>
    </w:p>
    <w:p>
      <w:pPr>
        <w:widowControl/>
      </w:pPr>
      <w:r>
        <w:rPr>
          <w:rFonts w:ascii="Times New Roman" w:hAnsi="Times New Roman"/>
          <w:i w:val="0"/>
          <w:sz w:val="24"/>
        </w:rPr>
        <w:t>The cleaning exercise is connected to the production design rather than treated as a separate spreadsheet task. customeraddress.addressPurpose now represents Primary, Delivery, Billing and Correspondence uses. Current history is protected against overlapping periods for the same purpose. Employee and supplier address histories are protected by address kind, and employee/customer/supplier phone histories enforce one current primary phone where applicable.</w:t>
      </w:r>
    </w:p>
    <w:p>
      <w:pPr>
        <w:widowControl/>
      </w:pPr>
      <w:r>
        <w:rPr>
          <w:rFonts w:ascii="Times New Roman" w:hAnsi="Times New Roman"/>
          <w:i w:val="0"/>
          <w:sz w:val="24"/>
        </w:rPr>
        <w:t>Refund now identifies productId together with customerOrderId, with a foreign key to the actual order line. This prevents a refund from naming a product that was not purchased on that order.</w:t>
      </w:r>
    </w:p>
    <w:p>
      <w:pPr>
        <w:pStyle w:val="Heading2"/>
      </w:pPr>
      <w:r>
        <w:t>6c. Test-data and integrity validation</w:t>
      </w:r>
    </w:p>
    <w:p>
      <w:pPr>
        <w:widowControl/>
      </w:pPr>
      <w:r>
        <w:rPr>
          <w:rFonts w:ascii="Times New Roman" w:hAnsi="Times New Roman"/>
          <w:i w:val="0"/>
          <w:sz w:val="24"/>
        </w:rPr>
        <w:t>Synthetic HR and operational data remains necessary because the official v4 workbook contains customer/order/address information and does not contain the HR training, shift, incident, qualification or wellbeing records needed for the selected perspective and Task 7 queries.</w:t>
      </w:r>
    </w:p>
    <w:p>
      <w:pPr>
        <w:widowControl/>
      </w:pPr>
      <w:r>
        <w:rPr>
          <w:rFonts w:ascii="Times New Roman" w:hAnsi="Times New Roman"/>
          <w:i w:val="0"/>
          <w:sz w:val="24"/>
        </w:rPr>
        <w:t>The revised test dataset additionally demonstrates:</w:t>
      </w:r>
    </w:p>
    <w:p>
      <w:pPr>
        <w:widowControl/>
      </w:pPr>
      <w:r>
        <w:rPr>
          <w:rFonts w:ascii="Times New Roman" w:hAnsi="Times New Roman"/>
          <w:i w:val="0"/>
          <w:sz w:val="24"/>
        </w:rPr>
        <w:t>- multiple grape varieties in the same vineyard and vintage;</w:t>
      </w:r>
    </w:p>
    <w:p>
      <w:pPr>
        <w:widowControl/>
      </w:pPr>
      <w:r>
        <w:rPr>
          <w:rFonts w:ascii="Times New Roman" w:hAnsi="Times New Roman"/>
          <w:i w:val="0"/>
          <w:sz w:val="24"/>
        </w:rPr>
        <w:t>- harvest linkage to the exact vineyard/vintage/grape-variety planting;</w:t>
      </w:r>
    </w:p>
    <w:p>
      <w:pPr>
        <w:widowControl/>
      </w:pPr>
      <w:r>
        <w:rPr>
          <w:rFonts w:ascii="Times New Roman" w:hAnsi="Times New Roman"/>
          <w:i w:val="0"/>
          <w:sz w:val="24"/>
        </w:rPr>
        <w:t>- picker leave/rejoin support through joinedDate in the Pack Member key;</w:t>
      </w:r>
    </w:p>
    <w:p>
      <w:pPr>
        <w:widowControl/>
      </w:pPr>
      <w:r>
        <w:rPr>
          <w:rFonts w:ascii="Times New Roman" w:hAnsi="Times New Roman"/>
          <w:i w:val="0"/>
          <w:sz w:val="24"/>
        </w:rPr>
        <w:t>- line-specific refund integrity;</w:t>
      </w:r>
    </w:p>
    <w:p>
      <w:pPr>
        <w:widowControl/>
      </w:pPr>
      <w:r>
        <w:rPr>
          <w:rFonts w:ascii="Times New Roman" w:hAnsi="Times New Roman"/>
          <w:i w:val="0"/>
          <w:sz w:val="24"/>
        </w:rPr>
        <w:t>- customer address purposes;</w:t>
      </w:r>
    </w:p>
    <w:p>
      <w:pPr>
        <w:widowControl/>
      </w:pPr>
      <w:r>
        <w:rPr>
          <w:rFonts w:ascii="Times New Roman" w:hAnsi="Times New Roman"/>
          <w:i w:val="0"/>
          <w:sz w:val="24"/>
        </w:rPr>
        <w:t>- actual shift assignment start/end times rather than duplicated manual hour totals;</w:t>
      </w:r>
    </w:p>
    <w:p>
      <w:pPr>
        <w:widowControl/>
      </w:pPr>
      <w:r>
        <w:rPr>
          <w:rFonts w:ascii="Times New Roman" w:hAnsi="Times New Roman"/>
          <w:i w:val="0"/>
          <w:sz w:val="24"/>
        </w:rPr>
        <w:t>- wine-composition validation before an active product is released.</w:t>
      </w:r>
    </w:p>
    <w:p>
      <w:pPr>
        <w:widowControl/>
      </w:pPr>
      <w:r>
        <w:rPr>
          <w:rFonts w:ascii="Times New Roman" w:hAnsi="Times New Roman"/>
          <w:i w:val="0"/>
          <w:sz w:val="24"/>
        </w:rPr>
        <w:t>The assessed five Task 3b rules remain separate from these extra regression controls.</w:t>
      </w:r>
    </w:p>
    <w:p>
      <w:pPr>
        <w:pStyle w:val="Heading2"/>
      </w:pPr>
      <w:r>
        <w:t>6d. Final cleaned supplied-data import — 2026-10-08</w:t>
      </w:r>
    </w:p>
    <w:p>
      <w:pPr>
        <w:widowControl/>
      </w:pPr>
      <w:r>
        <w:rPr>
          <w:rFonts w:ascii="Times New Roman" w:hAnsi="Times New Roman"/>
          <w:i w:val="0"/>
          <w:sz w:val="24"/>
        </w:rPr>
        <w:t>The final portable SQL includes database/data/02_cleaned_v4_data.sql after the additional test dataset. tools/build_cleaned_v4_data.py reads the preserved private staging CSVs and produces accepted INSERTs and ID-only disposition ledgers. Existing before/after Workbench evidence remains unchanged. Final import and six-query captures are in docs/evidence/combined-database.</w:t>
      </w:r>
    </w:p>
    <w:p>
      <w:pPr>
        <w:widowControl/>
      </w:pPr>
      <w:r>
        <w:rPr>
          <w:rFonts w:ascii="Times New Roman" w:hAnsi="Times New Roman"/>
          <w:i w:val="0"/>
          <w:sz w:val="24"/>
        </w:rPr>
        <w:t>Source IDs map one-to-one into separate namespaces: CUST001 → VCUS001, PROD001 → VPRD001, ORD001 → VORD001 and ADDR001 → VADR0001. This preserves supplied identity without colliding with synthetic fixtures. No production schema or order-line primary key was changed.</w:t>
      </w:r>
    </w:p>
    <w:p>
      <w:pPr>
        <w:pStyle w:val="Heading3"/>
      </w:pPr>
      <w:r>
        <w:t>Tables imported and verified</w:t>
      </w:r>
    </w:p>
    <w:tbl>
      <w:tblPr>
        <w:tblStyle w:val="TableGrid"/>
        <w:tblW w:type="dxa" w:w="9071"/>
        <w:tblLayout w:type="fixed"/>
        <w:tblLook w:firstColumn="1" w:firstRow="1" w:lastColumn="0" w:lastRow="0" w:noHBand="0" w:noVBand="1" w:val="04A0"/>
        <w:tblInd w:w="120" w:type="dxa"/>
      </w:tblPr>
      <w:tblGrid>
        <w:gridCol w:w="1744"/>
        <w:gridCol w:w="1066"/>
        <w:gridCol w:w="6261"/>
      </w:tblGrid>
      <w:tr>
        <w:trPr>
          <w:tblHeader w:val="true"/>
          <w:cantSplit/>
        </w:trPr>
        <w:tc>
          <w:tcPr>
            <w:tcW w:type="dxa" w:w="1744"/>
            <w:shd w:fill="DCE6F1"/>
            <w:vAlign w:val="center"/>
            <w:tcMar>
              <w:top w:w="80" w:type="dxa"/>
              <w:start w:w="100" w:type="dxa"/>
              <w:bottom w:w="80" w:type="dxa"/>
              <w:end w:w="100" w:type="dxa"/>
            </w:tcMar>
          </w:tcPr>
          <w:p>
            <w:pPr>
              <w:keepNext/>
              <w:jc w:val="center"/>
            </w:pPr>
            <w:r>
              <w:rPr>
                <w:rFonts w:ascii="Times New Roman" w:hAnsi="Times New Roman"/>
                <w:b/>
                <w:color w:val="1F2937"/>
                <w:sz w:val="16"/>
              </w:rPr>
              <w:t>Table</w:t>
            </w:r>
          </w:p>
        </w:tc>
        <w:tc>
          <w:tcPr>
            <w:tcW w:type="dxa" w:w="1066"/>
            <w:shd w:fill="DCE6F1"/>
            <w:vAlign w:val="center"/>
            <w:tcMar>
              <w:top w:w="80" w:type="dxa"/>
              <w:start w:w="100" w:type="dxa"/>
              <w:bottom w:w="80" w:type="dxa"/>
              <w:end w:w="100" w:type="dxa"/>
            </w:tcMar>
          </w:tcPr>
          <w:p>
            <w:pPr>
              <w:keepNext/>
              <w:jc w:val="center"/>
            </w:pPr>
            <w:r>
              <w:rPr>
                <w:rFonts w:ascii="Times New Roman" w:hAnsi="Times New Roman"/>
                <w:b/>
                <w:color w:val="1F2937"/>
                <w:sz w:val="16"/>
              </w:rPr>
              <w:t>Supplied or supplemental records</w:t>
            </w:r>
          </w:p>
        </w:tc>
        <w:tc>
          <w:tcPr>
            <w:tcW w:type="dxa" w:w="6261"/>
            <w:shd w:fill="DCE6F1"/>
            <w:vAlign w:val="center"/>
            <w:tcMar>
              <w:top w:w="80" w:type="dxa"/>
              <w:start w:w="100" w:type="dxa"/>
              <w:bottom w:w="80" w:type="dxa"/>
              <w:end w:w="100" w:type="dxa"/>
            </w:tcMar>
          </w:tcPr>
          <w:p>
            <w:pPr>
              <w:keepNext/>
              <w:jc w:val="center"/>
            </w:pPr>
            <w:r>
              <w:rPr>
                <w:rFonts w:ascii="Times New Roman" w:hAnsi="Times New Roman"/>
                <w:b/>
                <w:color w:val="1F2937"/>
                <w:sz w:val="16"/>
              </w:rPr>
              <w:t>Import and verification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50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Standardised IDs; email and source type retained; subtype/FK checks pass. Active state is an import assumption.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individualcustomer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25</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names and birth dates; one subtype row per individual.</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businesscustomer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25</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ABN/contact names; whitespace-normalised company; OTHER means subtype unspecified. Unique ABNs pass.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address</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102</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Deterministic physical-address parsing and dash repair; retain every source ID and structured Unit/Level metadata; no canonical merge.</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customeraddress</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53</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purposes and date/time periods preserved; foreign keys and non-overlap controls pass.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phone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66</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Unshared source values; OTHER means unspecified type. +61 is an explicit Australian-address country assumption.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customerphone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66</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Unshared associations only; earliest supplied customer-history start is an explicit effective-start assumption; no primary rank guessed.</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winecategory</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Supplemental test category CTV4, explicitly labelled.</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wine names; mandatory missing wine attributes are explicitly supplemental test values.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winecomposition</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Supplemental test recipe, validated to 100%; not a factual source recipe.</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wineproduct</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Product IDs; supplemental bottle, case size and active-state attributes.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customerorder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79</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Complete accepted orders only; consistent customer/date/header status, all source lines present.</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orderline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132</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Exact source quantities and negotiated prices; no sum, averaging or partial-order import. Live readback matches accepted source rows.</w:t>
            </w:r>
          </w:p>
        </w:tc>
      </w:tr>
    </w:tbl>
    <w:p>
      <w:pPr>
        <w:spacing w:after="0"/>
      </w:pPr>
    </w:p>
    <w:p>
      <w:pPr>
        <w:widowControl/>
      </w:pPr>
      <w:r>
        <w:rPr>
          <w:rFonts w:ascii="Times New Roman" w:hAnsi="Times New Roman"/>
          <w:i w:val="0"/>
          <w:sz w:val="24"/>
        </w:rPr>
        <w:t>All table INSERTs passed MySQL 8.4.11 foreign-key, CHECK and trigger enforcement in an empty-database portable rebuild. Namespace row counts and source quantity/price/header readback are recorded in docs/evidence/v4-final-import-results.tsv. Existing verifier passes 73/73; no new verifier checks were added.</w:t>
      </w:r>
    </w:p>
    <w:p>
      <w:pPr>
        <w:pStyle w:val="Heading3"/>
      </w:pPr>
      <w:r>
        <w:t>Explicit import assumptions and supplemental test values</w:t>
      </w:r>
    </w:p>
    <w:p>
      <w:pPr>
        <w:widowControl/>
      </w:pPr>
      <w:r>
        <w:rPr>
          <w:rFonts w:ascii="Times New Roman" w:hAnsi="Times New Roman"/>
          <w:i w:val="0"/>
          <w:sz w:val="24"/>
        </w:rPr>
        <w:t>The workbook omits attributes required by the stable wine/product schema. Separate supplied-product records therefore use vintage 2026, 13.5% alcohol, synthetic winemaker EMP0004, supplemental category CTV4, a 100% GRAPE01 test recipe, BOTL001 bottles and 12 bottles per case. These are added test attributes, not recovered workbook facts, actual wine recipes or factual packaging specifications. The original synthetic products and HR fixtures remain available for integrity and Task 7 demonstrations. A synthetic business ABN was changed to avoid a collision with a supplied ABN; the supplied ABN is unchanged.</w:t>
      </w:r>
    </w:p>
    <w:p>
      <w:pPr>
        <w:widowControl/>
      </w:pPr>
      <w:r>
        <w:rPr>
          <w:rFonts w:ascii="Times New Roman" w:hAnsi="Times New Roman"/>
          <w:i w:val="0"/>
          <w:sz w:val="24"/>
        </w:rPr>
        <w:t>Source shipped/pending values map directly to order status. A blank payment value maps to FALSE as “no confirmed payment”, not a claim of verified non-payment. Shipment dates and order-specific delivery addresses are absent, so 72 accepted shipped-order shipment-detail facts are quarantined; no shipment detail or refund date/verification is invented. Source negotiated prices belong to order lines, not an invented product price history.</w:t>
      </w:r>
    </w:p>
    <w:p>
      <w:pPr>
        <w:pStyle w:val="Heading3"/>
      </w:pPr>
      <w:r>
        <w:t>Final reconciliation and quarantine</w:t>
      </w:r>
    </w:p>
    <w:p>
      <w:pPr>
        <w:widowControl/>
      </w:pPr>
      <w:r>
        <w:rPr>
          <w:rFonts w:ascii="Times New Roman" w:hAnsi="Times New Roman"/>
          <w:i w:val="0"/>
          <w:sz w:val="24"/>
        </w:rPr>
        <w:t>182 source order rows = 132 accepted/imported cleaned rows + 1 rejected exact copy + 15 ambiguous-pair rows quarantined + 34 other rows quarantined. Each original source row has exactly one disposition in docs/evidence/v4-import-dispositions.csv. The accepted rows form 79 complete orders; the other 24 source orders are held. Quarantine is a completed import decision, not an unresolved accounting total.</w:t>
      </w:r>
    </w:p>
    <w:p>
      <w:pPr>
        <w:widowControl/>
      </w:pPr>
      <w:r>
        <w:rPr>
          <w:rFonts w:ascii="Times New Roman" w:hAnsi="Times New Roman"/>
          <w:i w:val="0"/>
          <w:sz w:val="24"/>
        </w:rPr>
        <w:t>Seven non-exact repeated pairs contain 15 rows. An order containing any ambiguous pair is held as a whole, including its otherwise unique lines, to avoid presenting partial totals. Mixed shipment/payment headers and shipment statuses such as damaged, returned or partially refunded cannot safely map into the stable order enum; affected whole orders are held. The 34 other rows include this order-level closure and unsupported/mixed-status records; reasons may overlap and are listed per row rather than added as independent totals. No ambiguous lines are summed or silently deleted.</w:t>
      </w:r>
    </w:p>
    <w:p>
      <w:pPr>
        <w:widowControl/>
      </w:pPr>
      <w:r>
        <w:rPr>
          <w:rFonts w:ascii="Times New Roman" w:hAnsi="Times New Roman"/>
          <w:i w:val="0"/>
          <w:sz w:val="24"/>
        </w:rPr>
        <w:t>All 102 address IDs are retained separately, including the 19 repeated full-address groups; ID-specific structured metadata is preserved, so no canonical identity is guessed. Three shared phone values representing seven customer/phone associations are quarantined. The ID-only dependent-fact ledger is docs/evidence/v4-dependent-facts-quarantine.csv.</w:t>
      </w:r>
    </w:p>
    <w:p>
      <w:pPr>
        <w:pStyle w:val="Heading3"/>
      </w:pPr>
      <w:r>
        <w:t>Source limitation</w:t>
      </w:r>
    </w:p>
    <w:p>
      <w:pPr>
        <w:widowControl/>
      </w:pPr>
      <w:r>
        <w:rPr>
          <w:rFonts w:ascii="Times New Roman" w:hAnsi="Times New Roman"/>
          <w:i w:val="0"/>
          <w:sz w:val="24"/>
        </w:rPr>
        <w:t>Export-reset customer-history starts remain exactly as supplied. Lost original dates are not reconstructed. Student-only video, RiPPlE, Buddycheck and genuine contribution confirmation remain separate from report/code readiness. Task 8 awaits the Week 11 scenario supplied by the tutor.</w:t>
      </w:r>
    </w:p>
    <w:p>
      <w:pPr>
        <w:pStyle w:val="Heading2"/>
      </w:pPr>
      <w:r>
        <w:t>Hint 10–11 supplementary cleaning and controls</w:t>
      </w:r>
    </w:p>
    <w:p>
      <w:pPr>
        <w:widowControl/>
      </w:pPr>
      <w:r>
        <w:rPr>
          <w:rFonts w:ascii="Times New Roman" w:hAnsi="Times New Roman"/>
          <w:i w:val="0"/>
          <w:sz w:val="24"/>
        </w:rPr>
        <w:t>Delivery provenance: The official v4 order worksheet does not contain line-level recipient or delivery-address columns. Five nullable product-specific delivery snapshot fields are therefore left absent for all imported supplied lines, rather than filled with test addresses. A separate synthetic gift order demonstrates different recipients and physical destinations, with linked shipment rows. No historic delivery information is reconstructed.</w:t>
      </w:r>
    </w:p>
    <w:p>
      <w:pPr>
        <w:widowControl/>
      </w:pPr>
      <w:r>
        <w:rPr>
          <w:rFonts w:ascii="Times New Roman" w:hAnsi="Times New Roman"/>
          <w:i w:val="0"/>
          <w:sz w:val="24"/>
        </w:rPr>
        <w:t>Excel phone-formula issue (Hint 11): The v4 history sheet has 53 populated phone1 values and 16 populated phone2 values, all as numeric nine-digit cells; the copy provided contains no active phone formulas. The original leading + formula expression is no longer available to replace. We preserve these numeric values as text at import, keep the +61 country-code inference expressly labelled as an Australian data assumption rather than a source repair, and quarantine shared phone associations. Full audit: docs/evidence/hint-11-phone-source-audit.md.</w:t>
      </w:r>
    </w:p>
    <w:p>
      <w:pPr>
        <w:widowControl/>
      </w:pPr>
      <w:r>
        <w:rPr>
          <w:rFonts w:ascii="Times New Roman" w:hAnsi="Times New Roman"/>
          <w:i w:val="0"/>
          <w:sz w:val="24"/>
        </w:rPr>
        <w:t>Backup before major steps (Hint 10): Use tools/backup_before_import.sh to obtain a dated SQL dump before any destructive import or source replay on a real MySQL instance. A successful portable empty-database rebuild is not a substitute for evidence of a pre-update backup. Any genuine backup should be stored outside the public repository.</w:t>
      </w:r>
    </w:p>
    <w:tbl>
      <w:tblPr>
        <w:tblStyle w:val="TableGrid"/>
        <w:tblW w:type="dxa" w:w="9070"/>
        <w:tblLayout w:type="fixed"/>
        <w:tblLook w:firstColumn="1" w:firstRow="1" w:lastColumn="0" w:lastRow="0" w:noHBand="0" w:noVBand="1" w:val="04A0"/>
        <w:tblInd w:w="120" w:type="dxa"/>
      </w:tblPr>
      <w:tblGrid>
        <w:gridCol w:w="678"/>
        <w:gridCol w:w="3198"/>
        <w:gridCol w:w="1744"/>
        <w:gridCol w:w="3450"/>
      </w:tblGrid>
      <w:tr>
        <w:trPr>
          <w:tblHeader w:val="true"/>
          <w:cantSplit/>
        </w:trPr>
        <w:tc>
          <w:tcPr>
            <w:tcW w:type="dxa" w:w="678"/>
            <w:shd w:fill="DCE6F1"/>
            <w:vAlign w:val="center"/>
            <w:tcMar>
              <w:top w:w="80" w:type="dxa"/>
              <w:start w:w="100" w:type="dxa"/>
              <w:bottom w:w="80" w:type="dxa"/>
              <w:end w:w="100" w:type="dxa"/>
            </w:tcMar>
          </w:tcPr>
          <w:p>
            <w:pPr>
              <w:keepNext/>
              <w:jc w:val="center"/>
            </w:pPr>
            <w:r>
              <w:rPr>
                <w:rFonts w:ascii="Times New Roman" w:hAnsi="Times New Roman"/>
                <w:b/>
                <w:color w:val="1F2937"/>
                <w:sz w:val="16"/>
              </w:rPr>
              <w:t>Test</w:t>
            </w:r>
          </w:p>
        </w:tc>
        <w:tc>
          <w:tcPr>
            <w:tcW w:type="dxa" w:w="3198"/>
            <w:shd w:fill="DCE6F1"/>
            <w:vAlign w:val="center"/>
            <w:tcMar>
              <w:top w:w="80" w:type="dxa"/>
              <w:start w:w="100" w:type="dxa"/>
              <w:bottom w:w="80" w:type="dxa"/>
              <w:end w:w="100" w:type="dxa"/>
            </w:tcMar>
          </w:tcPr>
          <w:p>
            <w:pPr>
              <w:keepNext/>
              <w:jc w:val="center"/>
            </w:pPr>
            <w:r>
              <w:rPr>
                <w:rFonts w:ascii="Times New Roman" w:hAnsi="Times New Roman"/>
                <w:b/>
                <w:color w:val="1F2937"/>
                <w:sz w:val="16"/>
              </w:rPr>
              <w:t>Plain-English scenario</w:t>
            </w:r>
          </w:p>
        </w:tc>
        <w:tc>
          <w:tcPr>
            <w:tcW w:type="dxa" w:w="1744"/>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Expected result</w:t>
            </w:r>
          </w:p>
        </w:tc>
        <w:tc>
          <w:tcPr>
            <w:tcW w:type="dxa" w:w="3450"/>
            <w:shd w:fill="DCE6F1"/>
            <w:vAlign w:val="center"/>
            <w:tcMar>
              <w:top w:w="80" w:type="dxa"/>
              <w:start w:w="100" w:type="dxa"/>
              <w:bottom w:w="80" w:type="dxa"/>
              <w:end w:w="100" w:type="dxa"/>
            </w:tcMar>
          </w:tcPr>
          <w:p>
            <w:pPr>
              <w:keepNext/>
              <w:jc w:val="center"/>
            </w:pPr>
            <w:r>
              <w:rPr>
                <w:rFonts w:ascii="Times New Roman" w:hAnsi="Times New Roman"/>
                <w:b/>
                <w:color w:val="1F2937"/>
                <w:sz w:val="16"/>
              </w:rPr>
              <w:t>One-sentence explanation</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T01</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Valid completed training accepted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Accepted, then rolled back</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Confirms complete HR training outcomes are supported.</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T02</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Role end before start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CHECK Error 3819</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Prevents impossible role history.</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T03</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Reorder FALSE without comment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CHECK Error 3819</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Preserves the bottle sourcing/quality explanation.</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T04</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Unpaid order shipment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Trigger Error 1644</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Prevents dispatch before accounting confirmation.</w:t>
            </w:r>
          </w:p>
        </w:tc>
      </w:tr>
      <w:tr>
        <w:trPr>
          <w:cantSplit/>
        </w:trPr>
        <w:tc>
          <w:tcPr>
            <w:tcW w:type="dxa" w:w="678"/>
            <w:vAlign w:val="center"/>
            <w:tcMar>
              <w:top w:w="80" w:type="dxa"/>
              <w:start w:w="100" w:type="dxa"/>
              <w:bottom w:w="80" w:type="dxa"/>
              <w:end w:w="100" w:type="dxa"/>
            </w:tcMar>
          </w:tcPr>
          <w:p>
            <w:pPr>
              <w:keepNext w:val="0"/>
              <w:spacing w:after="0"/>
            </w:pPr>
            <w:r>
              <w:rPr>
                <w:rFonts w:ascii="Times New Roman" w:hAnsi="Times New Roman"/>
                <w:sz w:val="16"/>
              </w:rPr>
              <w:t>T05</w:t>
            </w:r>
          </w:p>
        </w:tc>
        <w:tc>
          <w:tcPr>
            <w:tcW w:type="dxa" w:w="3198"/>
            <w:vAlign w:val="center"/>
            <w:tcMar>
              <w:top w:w="80" w:type="dxa"/>
              <w:start w:w="100" w:type="dxa"/>
              <w:bottom w:w="80" w:type="dxa"/>
              <w:end w:w="100" w:type="dxa"/>
            </w:tcMar>
          </w:tcPr>
          <w:p>
            <w:pPr>
              <w:keepNext w:val="0"/>
              <w:spacing w:after="0"/>
            </w:pPr>
            <w:r>
              <w:rPr>
                <w:rFonts w:ascii="Times New Roman" w:hAnsi="Times New Roman"/>
                <w:sz w:val="16"/>
              </w:rPr>
              <w:t>Overlapping supervision rejected</w:t>
            </w:r>
          </w:p>
        </w:tc>
        <w:tc>
          <w:tcPr>
            <w:tcW w:type="dxa" w:w="1744"/>
            <w:vAlign w:val="center"/>
            <w:tcMar>
              <w:top w:w="80" w:type="dxa"/>
              <w:start w:w="100" w:type="dxa"/>
              <w:bottom w:w="80" w:type="dxa"/>
              <w:end w:w="100" w:type="dxa"/>
            </w:tcMar>
          </w:tcPr>
          <w:p>
            <w:pPr>
              <w:keepNext w:val="0"/>
              <w:spacing w:after="0"/>
            </w:pPr>
            <w:r>
              <w:rPr>
                <w:rFonts w:ascii="Times New Roman" w:hAnsi="Times New Roman"/>
                <w:sz w:val="16"/>
              </w:rPr>
              <w:t>Trigger Error 1644</w:t>
            </w:r>
          </w:p>
        </w:tc>
        <w:tc>
          <w:tcPr>
            <w:tcW w:type="dxa" w:w="3450"/>
            <w:vAlign w:val="center"/>
            <w:tcMar>
              <w:top w:w="80" w:type="dxa"/>
              <w:start w:w="100" w:type="dxa"/>
              <w:bottom w:w="80" w:type="dxa"/>
              <w:end w:w="100" w:type="dxa"/>
            </w:tcMar>
          </w:tcPr>
          <w:p>
            <w:pPr>
              <w:keepNext w:val="0"/>
              <w:spacing w:after="0"/>
            </w:pPr>
            <w:r>
              <w:rPr>
                <w:rFonts w:ascii="Times New Roman" w:hAnsi="Times New Roman"/>
                <w:sz w:val="16"/>
              </w:rPr>
              <w:t>Enforces one supervisor at a point in time.</w:t>
            </w:r>
          </w:p>
        </w:tc>
      </w:tr>
    </w:tbl>
    <w:p>
      <w:pPr>
        <w:spacing w:after="0"/>
      </w:pPr>
    </w:p>
    <w:p>
      <w:pPr>
        <w:pStyle w:val="Heading3"/>
      </w:pPr>
      <w:r>
        <w:t>T01 — Valid completed training accepted</w:t>
      </w:r>
    </w:p>
    <w:p>
      <w:pPr>
        <w:spacing w:after="60"/>
      </w:pPr>
      <w:r>
        <w:rPr>
          <w:rFonts w:ascii="Times New Roman" w:hAnsi="Times New Roman"/>
          <w:b/>
          <w:color w:val="5B6573"/>
          <w:sz w:val="18"/>
        </w:rPr>
        <w:t>T01 readable SQL</w:t>
      </w:r>
    </w:p>
    <w:p>
      <w:pPr>
        <w:spacing w:after="120"/>
        <w:ind w:left="173" w:right="173"/>
        <w:shd w:fill="F2F4F7"/>
      </w:pPr>
      <w:r>
        <w:rPr>
          <w:rFonts w:ascii="Menlo" w:hAnsi="Menlo"/>
          <w:color w:val="111827"/>
          <w:sz w:val="15"/>
        </w:rPr>
        <w:t>USE cloudrestwines;</w:t>
        <w:br/>
        <w:t>START TRANSACTION;</w:t>
        <w:br/>
        <w:t>INSERT INTO trainingattendance VALUES</w:t>
        <w:br/>
        <w:t>('TRSE0004','EMP0007','COMPLETED',DATE_SUB(CURRENT_DATE,INTERVAL 60 DAY),DATE_ADD(CURRENT_DATE,INTERVAL 670 DAY),'COMPETENT');</w:t>
        <w:br/>
        <w:t>SELECT 'PASS: valid completed training was accepted' AS testResult;</w:t>
        <w:br/>
        <w:t>ROLLBACK;</w:t>
      </w:r>
    </w:p>
    <w:p>
      <w:pPr>
        <w:keepNext/>
        <w:jc w:val="center"/>
      </w:pPr>
      <w:r>
        <w:drawing>
          <wp:inline xmlns:a="http://schemas.openxmlformats.org/drawingml/2006/main" xmlns:pic="http://schemas.openxmlformats.org/drawingml/2006/picture">
            <wp:extent cx="5669280" cy="4030504"/>
            <wp:docPr id="6" name="Picture 6"/>
            <wp:cNvGraphicFramePr>
              <a:graphicFrameLocks noChangeAspect="1"/>
            </wp:cNvGraphicFramePr>
            <a:graphic>
              <a:graphicData uri="http://schemas.openxmlformats.org/drawingml/2006/picture">
                <pic:pic>
                  <pic:nvPicPr>
                    <pic:cNvPr id="0" name="t01_validtraining.png"/>
                    <pic:cNvPicPr/>
                  </pic:nvPicPr>
                  <pic:blipFill>
                    <a:blip r:embed="rId16"/>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T01: genuine local Workbench execution. Accepted, then rolled back</w:t>
      </w:r>
    </w:p>
    <w:p>
      <w:pPr>
        <w:pStyle w:val="Heading3"/>
      </w:pPr>
      <w:r>
        <w:t>T02 — Role end before start rejected</w:t>
      </w:r>
    </w:p>
    <w:p>
      <w:pPr>
        <w:spacing w:after="60"/>
      </w:pPr>
      <w:r>
        <w:rPr>
          <w:rFonts w:ascii="Times New Roman" w:hAnsi="Times New Roman"/>
          <w:b/>
          <w:color w:val="5B6573"/>
          <w:sz w:val="18"/>
        </w:rPr>
        <w:t>T02 readable SQL</w:t>
      </w:r>
    </w:p>
    <w:p>
      <w:pPr>
        <w:spacing w:after="120"/>
        <w:ind w:left="173" w:right="173"/>
        <w:shd w:fill="F2F4F7"/>
      </w:pPr>
      <w:r>
        <w:rPr>
          <w:rFonts w:ascii="Menlo" w:hAnsi="Menlo"/>
          <w:color w:val="111827"/>
          <w:sz w:val="15"/>
        </w:rPr>
        <w:t>USE cloudrestwines;</w:t>
        <w:br/>
        <w:t>INSERT INTO employee VALUES ('EMP9999','Test','InvalidDate','998877665','2026-01-01',NULL);</w:t>
        <w:br/>
        <w:t>INSERT INTO employeerole VALUES</w:t>
        <w:br/>
        <w:t>('EMP9999','ROLE07','AREA04','2026-06-01 09:00:00','2026-05-01 09:00:00','PARTTIME','PERMANENT','ONGOING');</w:t>
      </w:r>
    </w:p>
    <w:p>
      <w:pPr>
        <w:keepNext/>
        <w:jc w:val="center"/>
      </w:pPr>
      <w:r>
        <w:drawing>
          <wp:inline xmlns:a="http://schemas.openxmlformats.org/drawingml/2006/main" xmlns:pic="http://schemas.openxmlformats.org/drawingml/2006/picture">
            <wp:extent cx="5669280" cy="4030504"/>
            <wp:docPr id="7" name="Picture 7"/>
            <wp:cNvGraphicFramePr>
              <a:graphicFrameLocks noChangeAspect="1"/>
            </wp:cNvGraphicFramePr>
            <a:graphic>
              <a:graphicData uri="http://schemas.openxmlformats.org/drawingml/2006/picture">
                <pic:pic>
                  <pic:nvPicPr>
                    <pic:cNvPr id="0" name="t02_invalidroledate.png"/>
                    <pic:cNvPicPr/>
                  </pic:nvPicPr>
                  <pic:blipFill>
                    <a:blip r:embed="rId1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T02: genuine local Workbench execution. CHECK Error 3819</w:t>
      </w:r>
    </w:p>
    <w:p>
      <w:pPr>
        <w:pStyle w:val="Heading3"/>
      </w:pPr>
      <w:r>
        <w:t>T03 — Reorder FALSE without comment rejected</w:t>
      </w:r>
    </w:p>
    <w:p>
      <w:pPr>
        <w:spacing w:after="60"/>
      </w:pPr>
      <w:r>
        <w:rPr>
          <w:rFonts w:ascii="Times New Roman" w:hAnsi="Times New Roman"/>
          <w:b/>
          <w:color w:val="5B6573"/>
          <w:sz w:val="18"/>
        </w:rPr>
        <w:t>T03 readable SQL</w:t>
      </w:r>
    </w:p>
    <w:p>
      <w:pPr>
        <w:spacing w:after="120"/>
        <w:ind w:left="173" w:right="173"/>
        <w:shd w:fill="F2F4F7"/>
      </w:pPr>
      <w:r>
        <w:rPr>
          <w:rFonts w:ascii="Menlo" w:hAnsi="Menlo"/>
          <w:color w:val="111827"/>
          <w:sz w:val="15"/>
        </w:rPr>
        <w:t>USE cloudrestwines;</w:t>
        <w:br/>
        <w:t>INSERT INTO bottletype VALUES</w:t>
        <w:br/>
        <w:t>('BOTL099',750,'Test','GLASS','Green',0,1.00,FALSE,NULL);</w:t>
      </w:r>
    </w:p>
    <w:p>
      <w:pPr>
        <w:keepNext/>
        <w:jc w:val="center"/>
      </w:pPr>
      <w:r>
        <w:drawing>
          <wp:inline xmlns:a="http://schemas.openxmlformats.org/drawingml/2006/main" xmlns:pic="http://schemas.openxmlformats.org/drawingml/2006/picture">
            <wp:extent cx="5669280" cy="4030504"/>
            <wp:docPr id="8" name="Picture 8"/>
            <wp:cNvGraphicFramePr>
              <a:graphicFrameLocks noChangeAspect="1"/>
            </wp:cNvGraphicFramePr>
            <a:graphic>
              <a:graphicData uri="http://schemas.openxmlformats.org/drawingml/2006/picture">
                <pic:pic>
                  <pic:nvPicPr>
                    <pic:cNvPr id="0" name="t03_missingreordercomment.png"/>
                    <pic:cNvPicPr/>
                  </pic:nvPicPr>
                  <pic:blipFill>
                    <a:blip r:embed="rId1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T03: genuine local Workbench execution. CHECK Error 3819</w:t>
      </w:r>
    </w:p>
    <w:p>
      <w:pPr>
        <w:pStyle w:val="Heading3"/>
      </w:pPr>
      <w:r>
        <w:t>T04 — Unpaid order shipment rejected</w:t>
      </w:r>
    </w:p>
    <w:p>
      <w:pPr>
        <w:spacing w:after="60"/>
      </w:pPr>
      <w:r>
        <w:rPr>
          <w:rFonts w:ascii="Times New Roman" w:hAnsi="Times New Roman"/>
          <w:b/>
          <w:color w:val="5B6573"/>
          <w:sz w:val="18"/>
        </w:rPr>
        <w:t>T04 readable SQL</w:t>
      </w:r>
    </w:p>
    <w:p>
      <w:pPr>
        <w:spacing w:after="120"/>
        <w:ind w:left="173" w:right="173"/>
        <w:shd w:fill="F2F4F7"/>
      </w:pPr>
      <w:r>
        <w:rPr>
          <w:rFonts w:ascii="Menlo" w:hAnsi="Menlo"/>
          <w:color w:val="111827"/>
          <w:sz w:val="15"/>
        </w:rPr>
        <w:t>USE cloudrestwines;</w:t>
        <w:br/>
        <w:t>-- Assessed Test 4 (negative): an unpaid order cannot be shipped.</w:t>
        <w:br/>
        <w:t>INSERT INTO customerorder VALUES ('CORD0998','CUST001',CURRENT_DATE,FALSE,'PENDING');</w:t>
        <w:br/>
        <w:t>INSERT INTO orderline (customerOrderId,productId,caseQuantity,agreedCasePrice)</w:t>
        <w:br/>
        <w:t>VALUES ('CORD0998','PROD001',1,360.00);</w:t>
        <w:br/>
        <w:t>INSERT INTO shipment (shipmentId,customerOrderId,productId,addressId,shippedDate)</w:t>
        <w:br/>
        <w:t>VALUES ('SHIP0998','CORD0998','PROD001','ADDR0003',CURRENT_DATE);</w:t>
      </w:r>
    </w:p>
    <w:p>
      <w:pPr>
        <w:keepNext/>
        <w:jc w:val="center"/>
      </w:pPr>
      <w:r>
        <w:drawing>
          <wp:inline xmlns:a="http://schemas.openxmlformats.org/drawingml/2006/main" xmlns:pic="http://schemas.openxmlformats.org/drawingml/2006/picture">
            <wp:extent cx="5669280" cy="4030504"/>
            <wp:docPr id="9" name="Picture 9"/>
            <wp:cNvGraphicFramePr>
              <a:graphicFrameLocks noChangeAspect="1"/>
            </wp:cNvGraphicFramePr>
            <a:graphic>
              <a:graphicData uri="http://schemas.openxmlformats.org/drawingml/2006/picture">
                <pic:pic>
                  <pic:nvPicPr>
                    <pic:cNvPr id="0" name="t04_unpaidshipment.png"/>
                    <pic:cNvPicPr/>
                  </pic:nvPicPr>
                  <pic:blipFill>
                    <a:blip r:embed="rId1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T04: genuine local Workbench execution. Trigger Error 1644</w:t>
      </w:r>
    </w:p>
    <w:p>
      <w:pPr>
        <w:pStyle w:val="Heading3"/>
      </w:pPr>
      <w:r>
        <w:t>T05 — Overlapping supervision rejected</w:t>
      </w:r>
    </w:p>
    <w:p>
      <w:pPr>
        <w:spacing w:after="60"/>
      </w:pPr>
      <w:r>
        <w:rPr>
          <w:rFonts w:ascii="Times New Roman" w:hAnsi="Times New Roman"/>
          <w:b/>
          <w:color w:val="5B6573"/>
          <w:sz w:val="18"/>
        </w:rPr>
        <w:t>T05 readable SQL</w:t>
      </w:r>
    </w:p>
    <w:p>
      <w:pPr>
        <w:spacing w:after="120"/>
        <w:ind w:left="173" w:right="173"/>
        <w:shd w:fill="F2F4F7"/>
      </w:pPr>
      <w:r>
        <w:rPr>
          <w:rFonts w:ascii="Menlo" w:hAnsi="Menlo"/>
          <w:color w:val="111827"/>
          <w:sz w:val="15"/>
        </w:rPr>
        <w:t>USE cloudrestwines;</w:t>
        <w:br/>
        <w:t>-- Assessed Test 5 (negative): a supervised employee cannot have two supervisors at the same time.</w:t>
        <w:br/>
        <w:t>INSERT INTO supervision VALUES ('EMP0008','EMP0001','2026-02-01 09:00:00',NULL);</w:t>
      </w:r>
    </w:p>
    <w:p>
      <w:pPr>
        <w:keepNext/>
        <w:jc w:val="center"/>
      </w:pPr>
      <w:r>
        <w:drawing>
          <wp:inline xmlns:a="http://schemas.openxmlformats.org/drawingml/2006/main" xmlns:pic="http://schemas.openxmlformats.org/drawingml/2006/picture">
            <wp:extent cx="5669280" cy="4030504"/>
            <wp:docPr id="10" name="Picture 10"/>
            <wp:cNvGraphicFramePr>
              <a:graphicFrameLocks noChangeAspect="1"/>
            </wp:cNvGraphicFramePr>
            <a:graphic>
              <a:graphicData uri="http://schemas.openxmlformats.org/drawingml/2006/picture">
                <pic:pic>
                  <pic:nvPicPr>
                    <pic:cNvPr id="0" name="t05_overlappingsupervision.png"/>
                    <pic:cNvPicPr/>
                  </pic:nvPicPr>
                  <pic:blipFill>
                    <a:blip r:embed="rId1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T05: genuine local Workbench execution. Trigger Error 1644</w:t>
      </w:r>
    </w:p>
    <w:p>
      <w:pPr>
        <w:pStyle w:val="Heading2"/>
      </w:pPr>
      <w:r>
        <w:t>Official v4: genuine local Workbench evidence</w:t>
      </w:r>
    </w:p>
    <w:p>
      <w:pPr>
        <w:widowControl/>
      </w:pPr>
      <w:r>
        <w:rPr>
          <w:rFonts w:ascii="Times New Roman" w:hAnsi="Times New Roman"/>
          <w:i w:val="0"/>
          <w:sz w:val="24"/>
        </w:rPr>
        <w:t>Original before/after staging evidence below is preserved as profiling evidence, including its earlier 166-row candidate projection. Final accepted import is narrower: 132 rows in 79 complete orders. The final import screenshot and ID-only ledger show 182 = 132 imported + 1 exact copy rejected + 15 ambiguous-pair rows quarantined + 34 other rows quarantined. Raw rows and dates remain unchanged.</w:t>
      </w:r>
    </w:p>
    <w:p>
      <w:pPr>
        <w:keepNext/>
        <w:jc w:val="center"/>
      </w:pPr>
      <w:r>
        <w:drawing>
          <wp:inline xmlns:a="http://schemas.openxmlformats.org/drawingml/2006/main" xmlns:pic="http://schemas.openxmlformats.org/drawingml/2006/picture">
            <wp:extent cx="5669280" cy="4030504"/>
            <wp:docPr id="11" name="Picture 11"/>
            <wp:cNvGraphicFramePr>
              <a:graphicFrameLocks noChangeAspect="1"/>
            </wp:cNvGraphicFramePr>
            <a:graphic>
              <a:graphicData uri="http://schemas.openxmlformats.org/drawingml/2006/picture">
                <pic:pic>
                  <pic:nvPicPr>
                    <pic:cNvPr id="0" name="task6-e01-1.png"/>
                    <pic:cNvPicPr/>
                  </pic:nvPicPr>
                  <pic:blipFill>
                    <a:blip r:embed="rId17"/>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task6-e01-1, actual Workbench output 2026-10-07</w:t>
      </w:r>
    </w:p>
    <w:p>
      <w:pPr>
        <w:keepNext/>
        <w:jc w:val="center"/>
      </w:pPr>
      <w:r>
        <w:drawing>
          <wp:inline xmlns:a="http://schemas.openxmlformats.org/drawingml/2006/main" xmlns:pic="http://schemas.openxmlformats.org/drawingml/2006/picture">
            <wp:extent cx="5669280" cy="4030504"/>
            <wp:docPr id="12" name="Picture 12"/>
            <wp:cNvGraphicFramePr>
              <a:graphicFrameLocks noChangeAspect="1"/>
            </wp:cNvGraphicFramePr>
            <a:graphic>
              <a:graphicData uri="http://schemas.openxmlformats.org/drawingml/2006/picture">
                <pic:pic>
                  <pic:nvPicPr>
                    <pic:cNvPr id="0" name="task6-e02-1.png"/>
                    <pic:cNvPicPr/>
                  </pic:nvPicPr>
                  <pic:blipFill>
                    <a:blip r:embed="rId18"/>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task6-e02-1, actual Workbench output 2026-10-07</w:t>
      </w:r>
    </w:p>
    <w:p>
      <w:pPr>
        <w:keepNext/>
        <w:jc w:val="center"/>
      </w:pPr>
      <w:r>
        <w:drawing>
          <wp:inline xmlns:a="http://schemas.openxmlformats.org/drawingml/2006/main" xmlns:pic="http://schemas.openxmlformats.org/drawingml/2006/picture">
            <wp:extent cx="5669280" cy="4030504"/>
            <wp:docPr id="13" name="Picture 13"/>
            <wp:cNvGraphicFramePr>
              <a:graphicFrameLocks noChangeAspect="1"/>
            </wp:cNvGraphicFramePr>
            <a:graphic>
              <a:graphicData uri="http://schemas.openxmlformats.org/drawingml/2006/picture">
                <pic:pic>
                  <pic:nvPicPr>
                    <pic:cNvPr id="0" name="task6-e03-1.png"/>
                    <pic:cNvPicPr/>
                  </pic:nvPicPr>
                  <pic:blipFill>
                    <a:blip r:embed="rId19"/>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task6-e03-1, actual Workbench output 2026-10-07</w:t>
      </w:r>
    </w:p>
    <w:p>
      <w:pPr>
        <w:keepNext/>
        <w:jc w:val="center"/>
      </w:pPr>
      <w:r>
        <w:drawing>
          <wp:inline xmlns:a="http://schemas.openxmlformats.org/drawingml/2006/main" xmlns:pic="http://schemas.openxmlformats.org/drawingml/2006/picture">
            <wp:extent cx="5669280" cy="4030504"/>
            <wp:docPr id="14" name="Picture 14"/>
            <wp:cNvGraphicFramePr>
              <a:graphicFrameLocks noChangeAspect="1"/>
            </wp:cNvGraphicFramePr>
            <a:graphic>
              <a:graphicData uri="http://schemas.openxmlformats.org/drawingml/2006/picture">
                <pic:pic>
                  <pic:nvPicPr>
                    <pic:cNvPr id="0" name="task6-e03-2.png"/>
                    <pic:cNvPicPr/>
                  </pic:nvPicPr>
                  <pic:blipFill>
                    <a:blip r:embed="rId20"/>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task6-e03-2, actual Workbench output 2026-10-07</w:t>
      </w:r>
    </w:p>
    <w:p>
      <w:pPr>
        <w:keepNext/>
        <w:jc w:val="center"/>
      </w:pPr>
      <w:r>
        <w:drawing>
          <wp:inline xmlns:a="http://schemas.openxmlformats.org/drawingml/2006/main" xmlns:pic="http://schemas.openxmlformats.org/drawingml/2006/picture">
            <wp:extent cx="5669280" cy="4030504"/>
            <wp:docPr id="15" name="Picture 15"/>
            <wp:cNvGraphicFramePr>
              <a:graphicFrameLocks noChangeAspect="1"/>
            </wp:cNvGraphicFramePr>
            <a:graphic>
              <a:graphicData uri="http://schemas.openxmlformats.org/drawingml/2006/picture">
                <pic:pic>
                  <pic:nvPicPr>
                    <pic:cNvPr id="0" name="task6-e04-1.png"/>
                    <pic:cNvPicPr/>
                  </pic:nvPicPr>
                  <pic:blipFill>
                    <a:blip r:embed="rId2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task6-e04-1, actual Workbench output 2026-10-07</w:t>
      </w:r>
    </w:p>
    <w:p>
      <w:pPr>
        <w:keepNext/>
        <w:jc w:val="center"/>
      </w:pPr>
      <w:r>
        <w:drawing>
          <wp:inline xmlns:a="http://schemas.openxmlformats.org/drawingml/2006/main" xmlns:pic="http://schemas.openxmlformats.org/drawingml/2006/picture">
            <wp:extent cx="5669280" cy="4030504"/>
            <wp:docPr id="16" name="Picture 16"/>
            <wp:cNvGraphicFramePr>
              <a:graphicFrameLocks noChangeAspect="1"/>
            </wp:cNvGraphicFramePr>
            <a:graphic>
              <a:graphicData uri="http://schemas.openxmlformats.org/drawingml/2006/picture">
                <pic:pic>
                  <pic:nvPicPr>
                    <pic:cNvPr id="0" name="task6-e05-1.png"/>
                    <pic:cNvPicPr/>
                  </pic:nvPicPr>
                  <pic:blipFill>
                    <a:blip r:embed="rId2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task6-e05-1, actual Workbench output 2026-10-07</w:t>
      </w:r>
    </w:p>
    <w:p>
      <w:pPr>
        <w:keepNext/>
        <w:jc w:val="center"/>
      </w:pPr>
      <w:r>
        <w:drawing>
          <wp:inline xmlns:a="http://schemas.openxmlformats.org/drawingml/2006/main" xmlns:pic="http://schemas.openxmlformats.org/drawingml/2006/picture">
            <wp:extent cx="5669280" cy="4030504"/>
            <wp:docPr id="17" name="Picture 17"/>
            <wp:cNvGraphicFramePr>
              <a:graphicFrameLocks noChangeAspect="1"/>
            </wp:cNvGraphicFramePr>
            <a:graphic>
              <a:graphicData uri="http://schemas.openxmlformats.org/drawingml/2006/picture">
                <pic:pic>
                  <pic:nvPicPr>
                    <pic:cNvPr id="0" name="task6-e06-1.png"/>
                    <pic:cNvPicPr/>
                  </pic:nvPicPr>
                  <pic:blipFill>
                    <a:blip r:embed="rId23"/>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task6-e06-1, actual Workbench output 2026-10-07</w:t>
      </w:r>
    </w:p>
    <w:p>
      <w:pPr>
        <w:keepNext/>
        <w:jc w:val="center"/>
      </w:pPr>
      <w:r>
        <w:drawing>
          <wp:inline xmlns:a="http://schemas.openxmlformats.org/drawingml/2006/main" xmlns:pic="http://schemas.openxmlformats.org/drawingml/2006/picture">
            <wp:extent cx="5669280" cy="4030504"/>
            <wp:docPr id="18" name="Picture 18"/>
            <wp:cNvGraphicFramePr>
              <a:graphicFrameLocks noChangeAspect="1"/>
            </wp:cNvGraphicFramePr>
            <a:graphic>
              <a:graphicData uri="http://schemas.openxmlformats.org/drawingml/2006/picture">
                <pic:pic>
                  <pic:nvPicPr>
                    <pic:cNvPr id="0" name="task6-e07-1.png"/>
                    <pic:cNvPicPr/>
                  </pic:nvPicPr>
                  <pic:blipFill>
                    <a:blip r:embed="rId2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task6-e07-1, actual Workbench output 2026-10-07</w:t>
      </w:r>
    </w:p>
    <w:p>
      <w:pPr>
        <w:keepNext/>
        <w:jc w:val="center"/>
      </w:pPr>
      <w:r>
        <w:drawing>
          <wp:inline xmlns:a="http://schemas.openxmlformats.org/drawingml/2006/main" xmlns:pic="http://schemas.openxmlformats.org/drawingml/2006/picture">
            <wp:extent cx="5669280" cy="4030504"/>
            <wp:docPr id="19" name="Picture 19"/>
            <wp:cNvGraphicFramePr>
              <a:graphicFrameLocks noChangeAspect="1"/>
            </wp:cNvGraphicFramePr>
            <a:graphic>
              <a:graphicData uri="http://schemas.openxmlformats.org/drawingml/2006/picture">
                <pic:pic>
                  <pic:nvPicPr>
                    <pic:cNvPr id="0" name="task6-e08-1.png"/>
                    <pic:cNvPicPr/>
                  </pic:nvPicPr>
                  <pic:blipFill>
                    <a:blip r:embed="rId2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task6-e08-1, actual Workbench output 2026-10-07</w:t>
      </w:r>
    </w:p>
    <w:p>
      <w:pPr>
        <w:keepNext/>
        <w:jc w:val="center"/>
      </w:pPr>
      <w:r>
        <w:drawing>
          <wp:inline xmlns:a="http://schemas.openxmlformats.org/drawingml/2006/main" xmlns:pic="http://schemas.openxmlformats.org/drawingml/2006/picture">
            <wp:extent cx="5669280" cy="4030504"/>
            <wp:docPr id="20" name="Picture 20"/>
            <wp:cNvGraphicFramePr>
              <a:graphicFrameLocks noChangeAspect="1"/>
            </wp:cNvGraphicFramePr>
            <a:graphic>
              <a:graphicData uri="http://schemas.openxmlformats.org/drawingml/2006/picture">
                <pic:pic>
                  <pic:nvPicPr>
                    <pic:cNvPr id="0" name="task6-e09-1.png"/>
                    <pic:cNvPicPr/>
                  </pic:nvPicPr>
                  <pic:blipFill>
                    <a:blip r:embed="rId26"/>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task6-e09-1, actual Workbench output 2026-10-07</w:t>
      </w:r>
    </w:p>
    <w:p>
      <w:pPr>
        <w:keepNext/>
        <w:jc w:val="center"/>
      </w:pPr>
      <w:r>
        <w:drawing>
          <wp:inline xmlns:a="http://schemas.openxmlformats.org/drawingml/2006/main" xmlns:pic="http://schemas.openxmlformats.org/drawingml/2006/picture">
            <wp:extent cx="5669280" cy="4030504"/>
            <wp:docPr id="21" name="Picture 21"/>
            <wp:cNvGraphicFramePr>
              <a:graphicFrameLocks noChangeAspect="1"/>
            </wp:cNvGraphicFramePr>
            <a:graphic>
              <a:graphicData uri="http://schemas.openxmlformats.org/drawingml/2006/picture">
                <pic:pic>
                  <pic:nvPicPr>
                    <pic:cNvPr id="0" name="task6-e10-1.png"/>
                    <pic:cNvPicPr/>
                  </pic:nvPicPr>
                  <pic:blipFill>
                    <a:blip r:embed="rId27"/>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task6-e10-1, actual Workbench output 2026-10-07</w:t>
      </w:r>
    </w:p>
    <w:p>
      <w:pPr>
        <w:keepNext/>
        <w:jc w:val="center"/>
      </w:pPr>
      <w:r>
        <w:drawing>
          <wp:inline xmlns:a="http://schemas.openxmlformats.org/drawingml/2006/main" xmlns:pic="http://schemas.openxmlformats.org/drawingml/2006/picture">
            <wp:extent cx="5669280" cy="4030504"/>
            <wp:docPr id="22" name="Picture 22"/>
            <wp:cNvGraphicFramePr>
              <a:graphicFrameLocks noChangeAspect="1"/>
            </wp:cNvGraphicFramePr>
            <a:graphic>
              <a:graphicData uri="http://schemas.openxmlformats.org/drawingml/2006/picture">
                <pic:pic>
                  <pic:nvPicPr>
                    <pic:cNvPr id="0" name="task6-production-import.png"/>
                    <pic:cNvPicPr/>
                  </pic:nvPicPr>
                  <pic:blipFill>
                    <a:blip r:embed="rId28"/>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Final combined database: supplied import and retained synthetic HR, 2026-10-08</w:t>
      </w:r>
    </w:p>
    <w:p>
      <w:pPr>
        <w:sectPr>
          <w:pgSz w:w="11952" w:h="16848"/>
          <w:pgMar w:top="1440" w:right="1440" w:bottom="1440" w:left="1440" w:header="708" w:footer="708" w:gutter="0"/>
          <w:cols w:space="720"/>
          <w:docGrid w:linePitch="360"/>
        </w:sectPr>
      </w:pPr>
    </w:p>
    <w:p>
      <w:pPr>
        <w:pStyle w:val="Heading1"/>
      </w:pPr>
      <w:r>
        <w:t>Task 7 — Decision-Support SQL Queries</w:t>
      </w:r>
    </w:p>
    <w:p>
      <w:pPr>
        <w:pStyle w:val="Heading2"/>
      </w:pPr>
      <w:r>
        <w:t>Query 1 — Annual safety and sustainability training coverage</w:t>
      </w:r>
    </w:p>
    <w:p>
      <w:pPr>
        <w:pStyle w:val="Heading3"/>
      </w:pPr>
      <w:r>
        <w:t>How the query works</w:t>
      </w:r>
    </w:p>
    <w:p>
      <w:pPr>
        <w:widowControl/>
      </w:pPr>
      <w:r>
        <w:rPr>
          <w:rFonts w:ascii="Times New Roman" w:hAnsi="Times New Roman"/>
          <w:i w:val="0"/>
          <w:sz w:val="24"/>
        </w:rPr>
        <w:t>The activeworkforce CTE reads current employeerole rows and identifies each active employee's operational area. The completion CTE joins trainingattendance to trainingsession and trainingcourse, keeps only COMPLETED attendance in the current calendar year, and limits categories to SAFETY and SUSTAINABILITY. HAVING COUNT(DISTINCT trainingCategory)=2 requires the same employee to have completed both categories.</w:t>
      </w:r>
    </w:p>
    <w:p>
      <w:pPr>
        <w:widowControl/>
      </w:pPr>
      <w:r>
        <w:rPr>
          <w:rFonts w:ascii="Times New Roman" w:hAnsi="Times New Roman"/>
          <w:i w:val="0"/>
          <w:sz w:val="24"/>
        </w:rPr>
        <w:t>The final query joins operationalarea to the active workforce and left-joins the completion set. It uses distinct employee counts for both numerator and denominator and NULLIF to avoid division by zero.</w:t>
      </w:r>
    </w:p>
    <w:p>
      <w:pPr>
        <w:pStyle w:val="Heading3"/>
      </w:pPr>
      <w:r>
        <w:t>Business use and action</w:t>
      </w:r>
    </w:p>
    <w:p>
      <w:pPr>
        <w:widowControl/>
      </w:pPr>
      <w:r>
        <w:rPr>
          <w:rFonts w:ascii="Times New Roman" w:hAnsi="Times New Roman"/>
          <w:i w:val="0"/>
          <w:sz w:val="24"/>
        </w:rPr>
        <w:t>The HR Manager, Safety Officer and operational-area supervisors use the percentage to identify workforce preparation gaps. An area below target should receive additional training sessions rather than treating completion of only one category as adequate sustainability coverage.</w:t>
      </w:r>
    </w:p>
    <w:p>
      <w:pPr>
        <w:pStyle w:val="Heading3"/>
      </w:pPr>
      <w:r>
        <w:t>Actual result — frozen MySQL 8.4.11 build, 2026-10-08</w:t>
      </w:r>
    </w:p>
    <w:p>
      <w:pPr>
        <w:widowControl/>
      </w:pPr>
      <w:r>
        <w:rPr>
          <w:rFonts w:ascii="Times New Roman" w:hAnsi="Times New Roman"/>
          <w:i w:val="0"/>
          <w:sz w:val="24"/>
        </w:rPr>
        <w:t>- Vineyard: 6 active employees, 3 completed both required categories, 50.0% coverage.</w:t>
      </w:r>
    </w:p>
    <w:p>
      <w:pPr>
        <w:widowControl/>
      </w:pPr>
      <w:r>
        <w:rPr>
          <w:rFonts w:ascii="Times New Roman" w:hAnsi="Times New Roman"/>
          <w:i w:val="0"/>
          <w:sz w:val="24"/>
        </w:rPr>
        <w:t>- Cellar: 4 active employees, 0 completed both categories, 0.0% coverage.</w:t>
      </w:r>
    </w:p>
    <w:p>
      <w:pPr>
        <w:widowControl/>
      </w:pPr>
      <w:r>
        <w:rPr>
          <w:rFonts w:ascii="Times New Roman" w:hAnsi="Times New Roman"/>
          <w:i w:val="0"/>
          <w:sz w:val="24"/>
        </w:rPr>
        <w:t>- Administration: 3 active employees, 0 completed both categories, 0.0% coverage.</w:t>
      </w:r>
    </w:p>
    <w:p>
      <w:pPr>
        <w:widowControl/>
      </w:pPr>
      <w:r>
        <w:rPr>
          <w:rFonts w:ascii="Times New Roman" w:hAnsi="Times New Roman"/>
          <w:i w:val="0"/>
          <w:sz w:val="24"/>
        </w:rPr>
        <w:t>The result identifies a partial gap in Vineyard and complete gaps in Cellar and Administration. The immediate management action is to schedule missing Safety/Sustainability training and then rerun the metric.</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Current workforce differs from historical workforce; the calendar-year measure requires both categories.</w:t>
            </w:r>
          </w:p>
        </w:tc>
      </w:tr>
    </w:tbl>
    <w:p>
      <w:pPr>
        <w:spacing w:after="0"/>
      </w:pPr>
    </w:p>
    <w:p>
      <w:pPr>
        <w:spacing w:after="60"/>
      </w:pPr>
      <w:r>
        <w:rPr>
          <w:rFonts w:ascii="Times New Roman" w:hAnsi="Times New Roman"/>
          <w:b/>
          <w:color w:val="5B6573"/>
          <w:sz w:val="18"/>
        </w:rPr>
        <w:t>Query 1 SQL</w:t>
      </w:r>
    </w:p>
    <w:p>
      <w:pPr>
        <w:spacing w:after="120"/>
        <w:ind w:left="173" w:right="173"/>
        <w:shd w:fill="F2F4F7"/>
      </w:pPr>
      <w:r>
        <w:rPr>
          <w:rFonts w:ascii="Menlo" w:hAnsi="Menlo"/>
          <w:color w:val="111827"/>
          <w:sz w:val="15"/>
        </w:rPr>
        <w:t>USE cloudrestwines;</w:t>
        <w:br/>
        <w:t>-- Management question: Which operational areas have gaps in annual mandatory safety/sustainability training?</w:t>
        <w:br/>
        <w:t>WITH activeworkforce AS (</w:t>
        <w:br/>
        <w:t xml:space="preserve">  SELECT er.employeeId, er.operationalAreaId</w:t>
        <w:br/>
        <w:t xml:space="preserve">  FROM employeerole er</w:t>
        <w:br/>
        <w:t xml:space="preserve">  WHERE er.startDateTime &lt;= NOW() AND (er.endDateTime IS NULL OR er.endDateTime &gt; NOW())</w:t>
        <w:br/>
        <w:t>), completion AS (</w:t>
        <w:br/>
        <w:t xml:space="preserve">  SELECT ta.employeeId</w:t>
        <w:br/>
        <w:t xml:space="preserve">  FROM trainingattendance ta</w:t>
        <w:br/>
        <w:t xml:space="preserve">  JOIN trainingsession ts ON ts.trainingSessionId = ta.trainingSessionId</w:t>
        <w:br/>
        <w:t xml:space="preserve">  JOIN trainingcourse tc ON tc.trainingCourseId = ts.trainingCourseId</w:t>
        <w:br/>
        <w:t xml:space="preserve">  JOIN activeworkforce aw ON aw.employeeId = ta.employeeId</w:t>
        <w:br/>
        <w:t xml:space="preserve">  WHERE ta.attendanceStatus = 'COMPLETED'</w:t>
        <w:br/>
        <w:t xml:space="preserve">    AND tc.trainingCategory IN ('SAFETY','SUSTAINABILITY')</w:t>
        <w:br/>
        <w:t xml:space="preserve">    AND ts.sessionDate &gt;= MAKEDATE(YEAR(CURRENT_DATE), 1)</w:t>
        <w:br/>
        <w:t xml:space="preserve">    AND (ts.operationalAreaId IS NULL OR ts.operationalAreaId = aw.operationalAreaId)</w:t>
        <w:br/>
        <w:t xml:space="preserve">  GROUP BY ta.employeeId</w:t>
        <w:br/>
        <w:t xml:space="preserve">  HAVING COUNT(DISTINCT tc.trainingCategory) = 2</w:t>
        <w:br/>
        <w:t>)</w:t>
        <w:br/>
        <w:t>SELECT oa.areaName,</w:t>
        <w:br/>
        <w:t xml:space="preserve">       COUNT(DISTINCT aw.employeeId) AS activeEmployees,</w:t>
        <w:br/>
        <w:t xml:space="preserve">       COUNT(DISTINCT c.employeeId) AS employeesTrained,</w:t>
        <w:br/>
        <w:t xml:space="preserve">       ROUND(100.0 * COUNT(DISTINCT c.employeeId) / NULLIF(COUNT(DISTINCT aw.employeeId),0), 1) AS coveragePercent</w:t>
        <w:br/>
        <w:t>FROM activeworkforce aw</w:t>
        <w:br/>
        <w:t>JOIN operationalarea oa ON oa.operationalAreaId = aw.operationalAreaId</w:t>
        <w:br/>
        <w:t>LEFT JOIN completion c ON c.employeeId = aw.employeeId</w:t>
        <w:br/>
        <w:t>GROUP BY oa.operationalAreaId, oa.areaName</w:t>
        <w:br/>
        <w:t>ORDER BY coveragePercent, oa.areaName;</w:t>
      </w:r>
    </w:p>
    <w:p>
      <w:pPr>
        <w:widowControl/>
      </w:pPr>
      <w:r>
        <w:rPr>
          <w:rFonts w:ascii="Times New Roman" w:hAnsi="Times New Roman"/>
          <w:i w:val="0"/>
          <w:sz w:val="24"/>
        </w:rPr>
        <w:t>Query 1: actual MySQL 8.4.11 output, 2026-10-08. Combined supplied + test database; HR results use synthetic assessment records.</w:t>
      </w:r>
    </w:p>
    <w:tbl>
      <w:tblPr>
        <w:tblStyle w:val="TableGrid"/>
        <w:tblW w:type="dxa" w:w="13967"/>
        <w:tblLayout w:type="fixed"/>
        <w:tblLook w:firstColumn="1" w:firstRow="1" w:lastColumn="0" w:lastRow="0" w:noHBand="0" w:noVBand="1" w:val="04A0"/>
        <w:tblInd w:w="120" w:type="dxa"/>
      </w:tblPr>
      <w:tblGrid>
        <w:gridCol w:w="3259"/>
        <w:gridCol w:w="3492"/>
        <w:gridCol w:w="3724"/>
        <w:gridCol w:w="3492"/>
      </w:tblGrid>
      <w:tr>
        <w:trPr>
          <w:tblHeader w:val="true"/>
          <w:cantSplit/>
        </w:trPr>
        <w:tc>
          <w:tcPr>
            <w:tcW w:type="dxa" w:w="3259"/>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activeEmployees</w:t>
            </w:r>
          </w:p>
        </w:tc>
        <w:tc>
          <w:tcPr>
            <w:tcW w:type="dxa" w:w="3724"/>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employeesTrained</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coveragePercent</w:t>
            </w:r>
          </w:p>
        </w:tc>
      </w:tr>
      <w:tr>
        <w:trPr>
          <w:cantSplit/>
        </w:trPr>
        <w:tc>
          <w:tcPr>
            <w:tcW w:type="dxa" w:w="3259"/>
            <w:vAlign w:val="center"/>
            <w:tcMar>
              <w:top w:w="80" w:type="dxa"/>
              <w:start w:w="100" w:type="dxa"/>
              <w:bottom w:w="80" w:type="dxa"/>
              <w:end w:w="100" w:type="dxa"/>
            </w:tcMar>
          </w:tcPr>
          <w:p>
            <w:pPr>
              <w:keepNext/>
              <w:spacing w:after="0"/>
            </w:pPr>
            <w:r>
              <w:rPr>
                <w:rFonts w:ascii="Times New Roman" w:hAnsi="Times New Roman"/>
                <w:sz w:val="16"/>
              </w:rPr>
              <w:t>Administration</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3724"/>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0.0</w:t>
            </w:r>
          </w:p>
        </w:tc>
      </w:tr>
      <w:tr>
        <w:trPr>
          <w:cantSplit/>
        </w:trPr>
        <w:tc>
          <w:tcPr>
            <w:tcW w:type="dxa" w:w="3259"/>
            <w:vAlign w:val="center"/>
            <w:tcMar>
              <w:top w:w="80" w:type="dxa"/>
              <w:start w:w="100" w:type="dxa"/>
              <w:bottom w:w="80" w:type="dxa"/>
              <w:end w:w="100" w:type="dxa"/>
            </w:tcMar>
          </w:tcPr>
          <w:p>
            <w:pPr>
              <w:keepNext/>
              <w:spacing w:after="0"/>
            </w:pPr>
            <w:r>
              <w:rPr>
                <w:rFonts w:ascii="Times New Roman" w:hAnsi="Times New Roman"/>
                <w:sz w:val="16"/>
              </w:rPr>
              <w:t>Cellar</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4</w:t>
            </w:r>
          </w:p>
        </w:tc>
        <w:tc>
          <w:tcPr>
            <w:tcW w:type="dxa" w:w="3724"/>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0.0</w:t>
            </w:r>
          </w:p>
        </w:tc>
      </w:tr>
      <w:tr>
        <w:trPr>
          <w:cantSplit/>
        </w:trPr>
        <w:tc>
          <w:tcPr>
            <w:tcW w:type="dxa" w:w="3259"/>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6</w:t>
            </w:r>
          </w:p>
        </w:tc>
        <w:tc>
          <w:tcPr>
            <w:tcW w:type="dxa" w:w="3724"/>
            <w:vAlign w:val="center"/>
            <w:tcMar>
              <w:top w:w="80" w:type="dxa"/>
              <w:start w:w="100" w:type="dxa"/>
              <w:bottom w:w="80" w:type="dxa"/>
              <w:end w:w="100" w:type="dxa"/>
            </w:tcMar>
          </w:tcPr>
          <w:p>
            <w:pPr>
              <w:keepNext w:val="0"/>
              <w:spacing w:after="0"/>
            </w:pPr>
            <w:r>
              <w:rPr>
                <w:rFonts w:ascii="Times New Roman" w:hAnsi="Times New Roman"/>
                <w:sz w:val="16"/>
              </w:rPr>
              <w:t>3</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50.0</w:t>
            </w:r>
          </w:p>
        </w:tc>
      </w:tr>
    </w:tbl>
    <w:p>
      <w:pPr>
        <w:spacing w:after="0"/>
      </w:pPr>
    </w:p>
    <w:p>
      <w:pPr>
        <w:keepNext/>
        <w:jc w:val="center"/>
      </w:pPr>
      <w:r>
        <w:drawing>
          <wp:inline xmlns:a="http://schemas.openxmlformats.org/drawingml/2006/main" xmlns:pic="http://schemas.openxmlformats.org/drawingml/2006/picture">
            <wp:extent cx="6945421" cy="4937760"/>
            <wp:docPr id="23" name="Picture 23"/>
            <wp:cNvGraphicFramePr>
              <a:graphicFrameLocks noChangeAspect="1"/>
            </wp:cNvGraphicFramePr>
            <a:graphic>
              <a:graphicData uri="http://schemas.openxmlformats.org/drawingml/2006/picture">
                <pic:pic>
                  <pic:nvPicPr>
                    <pic:cNvPr id="0" name="query01.png"/>
                    <pic:cNvPicPr/>
                  </pic:nvPicPr>
                  <pic:blipFill>
                    <a:blip r:embed="rId29"/>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1: genuine Workbench query01, combined supplied + test database, 2026-10-08</w:t>
      </w:r>
    </w:p>
    <w:p>
      <w:pPr>
        <w:pStyle w:val="Heading2"/>
      </w:pPr>
      <w:r>
        <w:t>Query 2 — Incidents per 1,000 actual labour hours</w:t>
      </w:r>
    </w:p>
    <w:p>
      <w:pPr>
        <w:pStyle w:val="Heading3"/>
      </w:pPr>
      <w:r>
        <w:t>How the query works</w:t>
      </w:r>
    </w:p>
    <w:p>
      <w:pPr>
        <w:widowControl/>
      </w:pPr>
      <w:r>
        <w:rPr>
          <w:rFonts w:ascii="Times New Roman" w:hAnsi="Times New Roman"/>
          <w:i w:val="0"/>
          <w:sz w:val="24"/>
        </w:rPr>
        <w:t>The revised shift design no longer stores independent regular/overtime hour totals. shiftassignment records actual start time, actual end time and break minutes. The assignmenthours CTE derives labour hours as the elapsed minutes minus breaks, divided by 60.</w:t>
      </w:r>
    </w:p>
    <w:p>
      <w:pPr>
        <w:widowControl/>
      </w:pPr>
      <w:r>
        <w:rPr>
          <w:rFonts w:ascii="Times New Roman" w:hAnsi="Times New Roman"/>
          <w:i w:val="0"/>
          <w:sz w:val="24"/>
        </w:rPr>
        <w:t>hoursbyarea aggregates those actual hours by operational area over the rolling 12 months. incidentloss reads incidents from the same rolling period, left-joins incidentemployee and sums employee lost hours while retaining one row per incident. incidentsbyarea then counts incidents once per area. The final calculation is incidentCount × 1000 / labourHours; a zero denominator returns NULL.</w:t>
      </w:r>
    </w:p>
    <w:p>
      <w:pPr>
        <w:pStyle w:val="Heading3"/>
      </w:pPr>
      <w:r>
        <w:t>Business use and action</w:t>
      </w:r>
    </w:p>
    <w:p>
      <w:pPr>
        <w:widowControl/>
      </w:pPr>
      <w:r>
        <w:rPr>
          <w:rFonts w:ascii="Times New Roman" w:hAnsi="Times New Roman"/>
          <w:i w:val="0"/>
          <w:sz w:val="24"/>
        </w:rPr>
        <w:t>Raw incident counts can make a busy area look less safe simply because more hours are worked. The exposure-adjusted rate lets the Safety Officer and management compare operational areas on a consistent basis. High-rate areas can be targeted for investigation, training, equipment changes or corrective actions.</w:t>
      </w:r>
    </w:p>
    <w:p>
      <w:pPr>
        <w:pStyle w:val="Heading3"/>
      </w:pPr>
      <w:r>
        <w:t>Actual result — frozen MySQL 8.4.11 build, 2026-10-08</w:t>
      </w:r>
    </w:p>
    <w:p>
      <w:pPr>
        <w:widowControl/>
      </w:pPr>
      <w:r>
        <w:rPr>
          <w:rFonts w:ascii="Times New Roman" w:hAnsi="Times New Roman"/>
          <w:i w:val="0"/>
          <w:sz w:val="24"/>
        </w:rPr>
        <w:t>- Vineyard: 88.00 actual labour hours, 2 incidents, 2 lost hours, 22.73 incidents per 1,000 hours.</w:t>
      </w:r>
    </w:p>
    <w:p>
      <w:pPr>
        <w:widowControl/>
      </w:pPr>
      <w:r>
        <w:rPr>
          <w:rFonts w:ascii="Times New Roman" w:hAnsi="Times New Roman"/>
          <w:i w:val="0"/>
          <w:sz w:val="24"/>
        </w:rPr>
        <w:t>- Cellar: 54.00 actual labour hours, 1 incident, 16 lost hours, 18.52 incidents per 1,000 hours.</w:t>
      </w:r>
    </w:p>
    <w:p>
      <w:pPr>
        <w:widowControl/>
      </w:pPr>
      <w:r>
        <w:rPr>
          <w:rFonts w:ascii="Times New Roman" w:hAnsi="Times New Roman"/>
          <w:i w:val="0"/>
          <w:sz w:val="24"/>
        </w:rPr>
        <w:t>Vineyard has the higher event frequency, while Cellar has fewer incidents but much greater lost time. Management should therefore avoid using the rate alone: Vineyard needs frequency reduction, while Cellar's severe lost-time outcome warrants focused handling/equipment controls.</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Small exposure denominators make rates unstable; missing assignments or incidents bias results.</w:t>
            </w:r>
          </w:p>
        </w:tc>
      </w:tr>
    </w:tbl>
    <w:p>
      <w:pPr>
        <w:spacing w:after="0"/>
      </w:pPr>
    </w:p>
    <w:p>
      <w:pPr>
        <w:spacing w:after="60"/>
      </w:pPr>
      <w:r>
        <w:rPr>
          <w:rFonts w:ascii="Times New Roman" w:hAnsi="Times New Roman"/>
          <w:b/>
          <w:color w:val="5B6573"/>
          <w:sz w:val="18"/>
        </w:rPr>
        <w:t>Query 2 SQL</w:t>
      </w:r>
    </w:p>
    <w:p>
      <w:pPr>
        <w:spacing w:after="120"/>
        <w:ind w:left="173" w:right="173"/>
        <w:shd w:fill="F2F4F7"/>
      </w:pPr>
      <w:r>
        <w:rPr>
          <w:rFonts w:ascii="Menlo" w:hAnsi="Menlo"/>
          <w:color w:val="111827"/>
          <w:sz w:val="15"/>
        </w:rPr>
        <w:t>USE cloudrestwines;</w:t>
        <w:br/>
        <w:t>-- Sustainability measure: incidents per 1,000 actual labour hours during the last 12 months.</w:t>
        <w:br/>
        <w:t>-- Labour hours are derived from assignment start/end times so they cannot disagree with stored hour totals.</w:t>
        <w:br/>
        <w:t>WITH assignmenthours AS (</w:t>
        <w:br/>
        <w:t xml:space="preserve">  SELECT s.operationalAreaId,</w:t>
        <w:br/>
        <w:t xml:space="preserve">         GREATEST(</w:t>
        <w:br/>
        <w:t xml:space="preserve">           TIMESTAMPDIFF(MINUTE, sa.actualStartTime, sa.actualEndTime) - sa.breakMinutes,</w:t>
        <w:br/>
        <w:t xml:space="preserve">           0</w:t>
        <w:br/>
        <w:t xml:space="preserve">         ) / 60.0 AS labourHours</w:t>
        <w:br/>
        <w:t xml:space="preserve">  FROM shift s</w:t>
        <w:br/>
        <w:t xml:space="preserve">  JOIN shiftassignment sa ON sa.shiftId = s.shiftId</w:t>
        <w:br/>
        <w:t xml:space="preserve">  WHERE s.shiftDate &gt;= DATE_SUB(CURRENT_DATE, INTERVAL 12 MONTH)</w:t>
        <w:br/>
        <w:t>), hoursbyarea AS (</w:t>
        <w:br/>
        <w:t xml:space="preserve">  SELECT operationalAreaId, SUM(labourHours) AS labourHours</w:t>
        <w:br/>
        <w:t xml:space="preserve">  FROM assignmenthours</w:t>
        <w:br/>
        <w:t xml:space="preserve">  GROUP BY operationalAreaId</w:t>
        <w:br/>
        <w:t>), incidentloss AS (</w:t>
        <w:br/>
        <w:t xml:space="preserve">  SELECT i.incidentId,</w:t>
        <w:br/>
        <w:t xml:space="preserve">         i.operationalAreaId,</w:t>
        <w:br/>
        <w:t xml:space="preserve">         COALESCE(SUM(ie.employeeLostHours), 0) AS lostHours</w:t>
        <w:br/>
        <w:t xml:space="preserve">  FROM incident i</w:t>
        <w:br/>
        <w:t xml:space="preserve">  LEFT JOIN incidentemployee ie ON ie.incidentId = i.incidentId</w:t>
        <w:br/>
        <w:t xml:space="preserve">  WHERE i.incidentDateTime &gt;= DATE_SUB(CURRENT_DATE, INTERVAL 12 MONTH)</w:t>
        <w:br/>
        <w:t xml:space="preserve">  GROUP BY i.incidentId, i.operationalAreaId</w:t>
        <w:br/>
        <w:t>), incidentsbyarea AS (</w:t>
        <w:br/>
        <w:t xml:space="preserve">  SELECT operationalAreaId,</w:t>
        <w:br/>
        <w:t xml:space="preserve">         COUNT(*) AS incidentCount,</w:t>
        <w:br/>
        <w:t xml:space="preserve">         SUM(lostHours) AS lostHours</w:t>
        <w:br/>
        <w:t xml:space="preserve">  FROM incidentloss</w:t>
        <w:br/>
        <w:t xml:space="preserve">  GROUP BY operationalAreaId</w:t>
        <w:br/>
        <w:t>)</w:t>
        <w:br/>
        <w:t>SELECT oa.areaName,</w:t>
        <w:br/>
        <w:t xml:space="preserve">       ROUND(COALESCE(h.labourHours, 0), 2) AS labourHours,</w:t>
        <w:br/>
        <w:t xml:space="preserve">       COALESCE(i.incidentCount, 0) AS incidentCount,</w:t>
        <w:br/>
        <w:t xml:space="preserve">       COALESCE(i.lostHours, 0) AS lostHours,</w:t>
        <w:br/>
        <w:t xml:space="preserve">       CASE</w:t>
        <w:br/>
        <w:t xml:space="preserve">         WHEN COALESCE(h.labourHours, 0) = 0 THEN NULL</w:t>
        <w:br/>
        <w:t xml:space="preserve">         ELSE ROUND(COALESCE(i.incidentCount, 0) * 1000.0 / h.labourHours, 2)</w:t>
        <w:br/>
        <w:t xml:space="preserve">       END AS incidentsPer1000Hours</w:t>
        <w:br/>
        <w:t>FROM operationalarea oa</w:t>
        <w:br/>
        <w:t>LEFT JOIN hoursbyarea h ON h.operationalAreaId = oa.operationalAreaId</w:t>
        <w:br/>
        <w:t>LEFT JOIN incidentsbyarea i ON i.operationalAreaId = oa.operationalAreaId</w:t>
        <w:br/>
        <w:t>WHERE h.labourHours IS NOT NULL OR i.incidentCount IS NOT NULL</w:t>
        <w:br/>
        <w:t>ORDER BY (incidentsPer1000Hours IS NULL), incidentsPer1000Hours DESC, oa.areaName;</w:t>
      </w:r>
    </w:p>
    <w:p>
      <w:pPr>
        <w:widowControl/>
      </w:pPr>
      <w:r>
        <w:rPr>
          <w:rFonts w:ascii="Times New Roman" w:hAnsi="Times New Roman"/>
          <w:i w:val="0"/>
          <w:sz w:val="24"/>
        </w:rPr>
        <w:t>Query 2: actual MySQL 8.4.11 output, 2026-10-08. Combined supplied + test database; HR results use synthetic assessment records.</w:t>
      </w:r>
    </w:p>
    <w:tbl>
      <w:tblPr>
        <w:tblStyle w:val="TableGrid"/>
        <w:tblW w:type="dxa" w:w="13966"/>
        <w:tblLayout w:type="fixed"/>
        <w:tblLook w:firstColumn="1" w:firstRow="1" w:lastColumn="0" w:lastRow="0" w:noHBand="0" w:noVBand="1" w:val="04A0"/>
        <w:tblInd w:w="120" w:type="dxa"/>
      </w:tblPr>
      <w:tblGrid>
        <w:gridCol w:w="1802"/>
        <w:gridCol w:w="2478"/>
        <w:gridCol w:w="2928"/>
        <w:gridCol w:w="2027"/>
        <w:gridCol w:w="4731"/>
      </w:tblGrid>
      <w:tr>
        <w:trPr>
          <w:tblHeader w:val="true"/>
          <w:cantSplit/>
        </w:trPr>
        <w:tc>
          <w:tcPr>
            <w:tcW w:type="dxa" w:w="1802"/>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2478"/>
            <w:shd w:fill="DCE6F1"/>
            <w:vAlign w:val="center"/>
            <w:tcMar>
              <w:top w:w="80" w:type="dxa"/>
              <w:start w:w="100" w:type="dxa"/>
              <w:bottom w:w="80" w:type="dxa"/>
              <w:end w:w="100" w:type="dxa"/>
            </w:tcMar>
          </w:tcPr>
          <w:p>
            <w:pPr>
              <w:keepNext/>
              <w:jc w:val="center"/>
            </w:pPr>
            <w:r>
              <w:rPr>
                <w:rFonts w:ascii="Times New Roman" w:hAnsi="Times New Roman"/>
                <w:b/>
                <w:color w:val="1F2937"/>
                <w:sz w:val="16"/>
              </w:rPr>
              <w:t>labourHours</w:t>
            </w:r>
          </w:p>
        </w:tc>
        <w:tc>
          <w:tcPr>
            <w:tcW w:type="dxa" w:w="2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incidentCount</w:t>
            </w:r>
          </w:p>
        </w:tc>
        <w:tc>
          <w:tcPr>
            <w:tcW w:type="dxa" w:w="2027"/>
            <w:shd w:fill="DCE6F1"/>
            <w:vAlign w:val="center"/>
            <w:tcMar>
              <w:top w:w="80" w:type="dxa"/>
              <w:start w:w="100" w:type="dxa"/>
              <w:bottom w:w="80" w:type="dxa"/>
              <w:end w:w="100" w:type="dxa"/>
            </w:tcMar>
          </w:tcPr>
          <w:p>
            <w:pPr>
              <w:keepNext/>
              <w:jc w:val="center"/>
            </w:pPr>
            <w:r>
              <w:rPr>
                <w:rFonts w:ascii="Times New Roman" w:hAnsi="Times New Roman"/>
                <w:b/>
                <w:color w:val="1F2937"/>
                <w:sz w:val="16"/>
              </w:rPr>
              <w:t>lostHours</w:t>
            </w:r>
          </w:p>
        </w:tc>
        <w:tc>
          <w:tcPr>
            <w:tcW w:type="dxa" w:w="4731"/>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incidentsPer1000Hours</w:t>
            </w:r>
          </w:p>
        </w:tc>
      </w:tr>
      <w:tr>
        <w:trPr>
          <w:cantSplit/>
        </w:trPr>
        <w:tc>
          <w:tcPr>
            <w:tcW w:type="dxa" w:w="1802"/>
            <w:vAlign w:val="center"/>
            <w:tcMar>
              <w:top w:w="80" w:type="dxa"/>
              <w:start w:w="100" w:type="dxa"/>
              <w:bottom w:w="80" w:type="dxa"/>
              <w:end w:w="100" w:type="dxa"/>
            </w:tcMar>
          </w:tcPr>
          <w:p>
            <w:pPr>
              <w:keepNext/>
              <w:spacing w:after="0"/>
            </w:pPr>
            <w:r>
              <w:rPr>
                <w:rFonts w:ascii="Times New Roman" w:hAnsi="Times New Roman"/>
                <w:sz w:val="16"/>
              </w:rPr>
              <w:t>Vineyard</w:t>
            </w:r>
          </w:p>
        </w:tc>
        <w:tc>
          <w:tcPr>
            <w:tcW w:type="dxa" w:w="2478"/>
            <w:vAlign w:val="center"/>
            <w:tcMar>
              <w:top w:w="80" w:type="dxa"/>
              <w:start w:w="100" w:type="dxa"/>
              <w:bottom w:w="80" w:type="dxa"/>
              <w:end w:w="100" w:type="dxa"/>
            </w:tcMar>
          </w:tcPr>
          <w:p>
            <w:pPr>
              <w:keepNext/>
              <w:spacing w:after="0"/>
            </w:pPr>
            <w:r>
              <w:rPr>
                <w:rFonts w:ascii="Times New Roman" w:hAnsi="Times New Roman"/>
                <w:sz w:val="16"/>
              </w:rPr>
              <w:t>88.00</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2</w:t>
            </w:r>
          </w:p>
        </w:tc>
        <w:tc>
          <w:tcPr>
            <w:tcW w:type="dxa" w:w="2027"/>
            <w:vAlign w:val="center"/>
            <w:tcMar>
              <w:top w:w="80" w:type="dxa"/>
              <w:start w:w="100" w:type="dxa"/>
              <w:bottom w:w="80" w:type="dxa"/>
              <w:end w:w="100" w:type="dxa"/>
            </w:tcMar>
          </w:tcPr>
          <w:p>
            <w:pPr>
              <w:keepNext/>
              <w:spacing w:after="0"/>
            </w:pPr>
            <w:r>
              <w:rPr>
                <w:rFonts w:ascii="Times New Roman" w:hAnsi="Times New Roman"/>
                <w:sz w:val="16"/>
              </w:rPr>
              <w:t>2.00</w:t>
            </w:r>
          </w:p>
        </w:tc>
        <w:tc>
          <w:tcPr>
            <w:tcW w:type="dxa" w:w="4731"/>
            <w:vAlign w:val="center"/>
            <w:tcMar>
              <w:top w:w="80" w:type="dxa"/>
              <w:start w:w="100" w:type="dxa"/>
              <w:bottom w:w="80" w:type="dxa"/>
              <w:end w:w="100" w:type="dxa"/>
            </w:tcMar>
          </w:tcPr>
          <w:p>
            <w:pPr>
              <w:keepNext/>
              <w:spacing w:after="0"/>
            </w:pPr>
            <w:r>
              <w:rPr>
                <w:rFonts w:ascii="Times New Roman" w:hAnsi="Times New Roman"/>
                <w:sz w:val="16"/>
              </w:rPr>
              <w:t>22.73</w:t>
            </w:r>
          </w:p>
        </w:tc>
      </w:tr>
      <w:tr>
        <w:trPr>
          <w:cantSplit/>
        </w:trPr>
        <w:tc>
          <w:tcPr>
            <w:tcW w:type="dxa" w:w="1802"/>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2478"/>
            <w:vAlign w:val="center"/>
            <w:tcMar>
              <w:top w:w="80" w:type="dxa"/>
              <w:start w:w="100" w:type="dxa"/>
              <w:bottom w:w="80" w:type="dxa"/>
              <w:end w:w="100" w:type="dxa"/>
            </w:tcMar>
          </w:tcPr>
          <w:p>
            <w:pPr>
              <w:keepNext w:val="0"/>
              <w:spacing w:after="0"/>
            </w:pPr>
            <w:r>
              <w:rPr>
                <w:rFonts w:ascii="Times New Roman" w:hAnsi="Times New Roman"/>
                <w:sz w:val="16"/>
              </w:rPr>
              <w:t>54.00</w:t>
            </w:r>
          </w:p>
        </w:tc>
        <w:tc>
          <w:tcPr>
            <w:tcW w:type="dxa" w:w="292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027"/>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4731"/>
            <w:vAlign w:val="center"/>
            <w:tcMar>
              <w:top w:w="80" w:type="dxa"/>
              <w:start w:w="100" w:type="dxa"/>
              <w:bottom w:w="80" w:type="dxa"/>
              <w:end w:w="100" w:type="dxa"/>
            </w:tcMar>
          </w:tcPr>
          <w:p>
            <w:pPr>
              <w:keepNext w:val="0"/>
              <w:spacing w:after="0"/>
            </w:pPr>
            <w:r>
              <w:rPr>
                <w:rFonts w:ascii="Times New Roman" w:hAnsi="Times New Roman"/>
                <w:sz w:val="16"/>
              </w:rPr>
              <w:t>18.52</w:t>
            </w:r>
          </w:p>
        </w:tc>
      </w:tr>
    </w:tbl>
    <w:p>
      <w:pPr>
        <w:spacing w:after="0"/>
      </w:pPr>
    </w:p>
    <w:p>
      <w:pPr>
        <w:keepNext/>
        <w:jc w:val="center"/>
      </w:pPr>
      <w:r>
        <w:drawing>
          <wp:inline xmlns:a="http://schemas.openxmlformats.org/drawingml/2006/main" xmlns:pic="http://schemas.openxmlformats.org/drawingml/2006/picture">
            <wp:extent cx="6945421" cy="4937760"/>
            <wp:docPr id="24" name="Picture 24"/>
            <wp:cNvGraphicFramePr>
              <a:graphicFrameLocks noChangeAspect="1"/>
            </wp:cNvGraphicFramePr>
            <a:graphic>
              <a:graphicData uri="http://schemas.openxmlformats.org/drawingml/2006/picture">
                <pic:pic>
                  <pic:nvPicPr>
                    <pic:cNvPr id="0" name="query02.png"/>
                    <pic:cNvPicPr/>
                  </pic:nvPicPr>
                  <pic:blipFill>
                    <a:blip r:embed="rId30"/>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2: genuine Workbench query02, combined supplied + test database, 2026-10-08</w:t>
      </w:r>
    </w:p>
    <w:p>
      <w:pPr>
        <w:pStyle w:val="Heading2"/>
      </w:pPr>
      <w:r>
        <w:t>Query 3 — Incidents before and after safety training</w:t>
      </w:r>
    </w:p>
    <w:p>
      <w:pPr>
        <w:pStyle w:val="Heading3"/>
      </w:pPr>
      <w:r>
        <w:t>How the query works</w:t>
      </w:r>
    </w:p>
    <w:p>
      <w:pPr>
        <w:widowControl/>
      </w:pPr>
      <w:r>
        <w:rPr>
          <w:rFonts w:ascii="Times New Roman" w:hAnsi="Times New Roman"/>
          <w:i w:val="0"/>
          <w:sz w:val="24"/>
        </w:rPr>
        <w:t>The completion CTE finds the first completed Safety training date for each employee. The observed CTE calculates a matched observation window using the lesser of 180 days and the number of days since training. This prevents a newly trained employee from receiving a longer pre-training window than post-training window.</w:t>
      </w:r>
    </w:p>
    <w:p>
      <w:pPr>
        <w:widowControl/>
      </w:pPr>
      <w:r>
        <w:rPr>
          <w:rFonts w:ascii="Times New Roman" w:hAnsi="Times New Roman"/>
          <w:i w:val="0"/>
          <w:sz w:val="24"/>
        </w:rPr>
        <w:t>The result joins employees to incidentemployee only where involvementRole='AFFECTED', then to incident. Conditional SUM(CASE ...) expressions count incidents in equal windows immediately before and after completion.</w:t>
      </w:r>
    </w:p>
    <w:p>
      <w:pPr>
        <w:pStyle w:val="Heading3"/>
      </w:pPr>
      <w:r>
        <w:t>Business use and action</w:t>
      </w:r>
    </w:p>
    <w:p>
      <w:pPr>
        <w:widowControl/>
      </w:pPr>
      <w:r>
        <w:rPr>
          <w:rFonts w:ascii="Times New Roman" w:hAnsi="Times New Roman"/>
          <w:i w:val="0"/>
          <w:sz w:val="24"/>
        </w:rPr>
        <w:t>HR and the Safety Officer can use this as an association check when reviewing whether safety training coincides with improved outcomes. It is not a causal experiment. If incidents remain high after training, management should inspect course content, work practices and corrective actions rather than claiming training failed solely from this query.</w:t>
      </w:r>
    </w:p>
    <w:p>
      <w:pPr>
        <w:pStyle w:val="Heading3"/>
      </w:pPr>
      <w:r>
        <w:t>Actual result — frozen MySQL 8.4.11 build, 2026-10-08</w:t>
      </w:r>
    </w:p>
    <w:p>
      <w:pPr>
        <w:widowControl/>
      </w:pPr>
      <w:r>
        <w:rPr>
          <w:rFonts w:ascii="Times New Roman" w:hAnsi="Times New Roman"/>
          <w:i w:val="0"/>
          <w:sz w:val="24"/>
        </w:rPr>
        <w:t>Five employees have completed Safety training in the fixture. EMP0008 has 1 affected incident before training and 0 after training within the matched window; the other trained employees have 0 before and 0 after. The sample is too small to claim causality, but it demonstrates how future real records could support a more meaningful before/after review.</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Equal observation windows do not control confounding or work mix; the fixture cannot support causality.</w:t>
            </w:r>
          </w:p>
        </w:tc>
      </w:tr>
    </w:tbl>
    <w:p>
      <w:pPr>
        <w:spacing w:after="0"/>
      </w:pPr>
    </w:p>
    <w:p>
      <w:pPr>
        <w:spacing w:after="60"/>
      </w:pPr>
      <w:r>
        <w:rPr>
          <w:rFonts w:ascii="Times New Roman" w:hAnsi="Times New Roman"/>
          <w:b/>
          <w:color w:val="5B6573"/>
          <w:sz w:val="18"/>
        </w:rPr>
        <w:t>Query 3 SQL</w:t>
      </w:r>
    </w:p>
    <w:p>
      <w:pPr>
        <w:spacing w:after="120"/>
        <w:ind w:left="173" w:right="173"/>
        <w:shd w:fill="F2F4F7"/>
      </w:pPr>
      <w:r>
        <w:rPr>
          <w:rFonts w:ascii="Menlo" w:hAnsi="Menlo"/>
          <w:color w:val="111827"/>
          <w:sz w:val="15"/>
        </w:rPr>
        <w:t>USE cloudrestwines;</w:t>
        <w:br/>
        <w:t>-- Compare employee incidents before and after completed annual safety training using</w:t>
        <w:br/>
        <w:t>-- equal observed windows of up to 180 days. This avoids understating post-training</w:t>
        <w:br/>
        <w:t>-- incidents when fewer than 180 days have elapsed since training.</w:t>
        <w:br/>
        <w:t>WITH completion AS (</w:t>
        <w:br/>
        <w:t xml:space="preserve">  SELECT ta.employeeId, MIN(ta.completionDate) AS completionDate</w:t>
        <w:br/>
        <w:t xml:space="preserve">  FROM trainingattendance ta</w:t>
        <w:br/>
        <w:t xml:space="preserve">  JOIN trainingsession ts ON ts.trainingSessionId = ta.trainingSessionId</w:t>
        <w:br/>
        <w:t xml:space="preserve">  JOIN trainingcourse tc ON tc.trainingCourseId = ts.trainingCourseId</w:t>
        <w:br/>
        <w:t xml:space="preserve">  WHERE ta.attendanceStatus = 'COMPLETED' AND tc.trainingCategory = 'SAFETY'</w:t>
        <w:br/>
        <w:t xml:space="preserve">  GROUP BY ta.employeeId</w:t>
        <w:br/>
        <w:t>), observed AS (</w:t>
        <w:br/>
        <w:t xml:space="preserve">  SELECT employeeId,</w:t>
        <w:br/>
        <w:t xml:space="preserve">         completionDate,</w:t>
        <w:br/>
        <w:t xml:space="preserve">         LEAST(180, GREATEST(DATEDIFF(CURRENT_DATE, completionDate), 0)) AS observationDays</w:t>
        <w:br/>
        <w:t xml:space="preserve">  FROM completion</w:t>
        <w:br/>
        <w:t>)</w:t>
        <w:br/>
        <w:t>SELECT o.employeeId,</w:t>
        <w:br/>
        <w:t xml:space="preserve">       CONCAT(e.firstName,' ',e.lastName) AS employeeName,</w:t>
        <w:br/>
        <w:t xml:space="preserve">       o.completionDate,</w:t>
        <w:br/>
        <w:t xml:space="preserve">       o.observationDays,</w:t>
        <w:br/>
        <w:t xml:space="preserve">       SUM(CASE WHEN i.incidentDateTime &gt;= DATE_SUB(o.completionDate, INTERVAL o.observationDays DAY)</w:t>
        <w:br/>
        <w:t xml:space="preserve">                 AND i.incidentDateTime &lt; o.completionDate THEN 1 ELSE 0 END) AS incidentsBefore,</w:t>
        <w:br/>
        <w:t xml:space="preserve">       SUM(CASE WHEN i.incidentDateTime &gt;= o.completionDate</w:t>
        <w:br/>
        <w:t xml:space="preserve">                 AND i.incidentDateTime &lt; DATE_ADD(o.completionDate, INTERVAL o.observationDays DAY)</w:t>
        <w:br/>
        <w:t xml:space="preserve">                 AND i.incidentDateTime &lt; DATE_ADD(CURRENT_DATE, INTERVAL 1 DAY)</w:t>
        <w:br/>
        <w:t xml:space="preserve">                THEN 1 ELSE 0 END) AS incidentsAfter</w:t>
        <w:br/>
        <w:t>FROM observed o</w:t>
        <w:br/>
        <w:t>JOIN employee e ON e.employeeId = o.employeeId</w:t>
        <w:br/>
        <w:t>LEFT JOIN incidentemployee ie ON ie.employeeId = o.employeeId AND ie.involvementRole = 'AFFECTED'</w:t>
        <w:br/>
        <w:t>LEFT JOIN incident i ON i.incidentId = ie.incidentId</w:t>
        <w:br/>
        <w:t>GROUP BY o.employeeId, e.firstName, e.lastName, o.completionDate, o.observationDays</w:t>
        <w:br/>
        <w:t>ORDER BY incidentsBefore DESC, incidentsAfter DESC;</w:t>
      </w:r>
    </w:p>
    <w:p>
      <w:pPr>
        <w:widowControl/>
      </w:pPr>
      <w:r>
        <w:rPr>
          <w:rFonts w:ascii="Times New Roman" w:hAnsi="Times New Roman"/>
          <w:i w:val="0"/>
          <w:sz w:val="24"/>
        </w:rPr>
        <w:t>Query 3: actual MySQL 8.4.11 output, 2026-10-08. Combined supplied + test database; HR results use synthetic assessment records.</w:t>
      </w:r>
    </w:p>
    <w:tbl>
      <w:tblPr>
        <w:tblStyle w:val="TableGrid"/>
        <w:tblW w:type="dxa" w:w="13967"/>
        <w:tblLayout w:type="fixed"/>
        <w:tblLook w:firstColumn="1" w:firstRow="1" w:lastColumn="0" w:lastRow="0" w:noHBand="0" w:noVBand="1" w:val="04A0"/>
        <w:tblInd w:w="120" w:type="dxa"/>
      </w:tblPr>
      <w:tblGrid>
        <w:gridCol w:w="1746"/>
        <w:gridCol w:w="2095"/>
        <w:gridCol w:w="2444"/>
        <w:gridCol w:w="2619"/>
        <w:gridCol w:w="2619"/>
        <w:gridCol w:w="2444"/>
      </w:tblGrid>
      <w:tr>
        <w:trPr>
          <w:tblHeader w:val="true"/>
          <w:cantSplit/>
        </w:trPr>
        <w:tc>
          <w:tcPr>
            <w:tcW w:type="dxa" w:w="1746"/>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209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2444"/>
            <w:shd w:fill="DCE6F1"/>
            <w:vAlign w:val="center"/>
            <w:tcMar>
              <w:top w:w="80" w:type="dxa"/>
              <w:start w:w="100" w:type="dxa"/>
              <w:bottom w:w="80" w:type="dxa"/>
              <w:end w:w="100" w:type="dxa"/>
            </w:tcMar>
          </w:tcPr>
          <w:p>
            <w:pPr>
              <w:keepNext/>
              <w:jc w:val="center"/>
            </w:pPr>
            <w:r>
              <w:rPr>
                <w:rFonts w:ascii="Times New Roman" w:hAnsi="Times New Roman"/>
                <w:b/>
                <w:color w:val="1F2937"/>
                <w:sz w:val="16"/>
              </w:rPr>
              <w:t>completionDate</w:t>
            </w:r>
          </w:p>
        </w:tc>
        <w:tc>
          <w:tcPr>
            <w:tcW w:type="dxa" w:w="2619"/>
            <w:shd w:fill="DCE6F1"/>
            <w:vAlign w:val="center"/>
            <w:tcMar>
              <w:top w:w="80" w:type="dxa"/>
              <w:start w:w="100" w:type="dxa"/>
              <w:bottom w:w="80" w:type="dxa"/>
              <w:end w:w="100" w:type="dxa"/>
            </w:tcMar>
          </w:tcPr>
          <w:p>
            <w:pPr>
              <w:keepNext/>
              <w:jc w:val="center"/>
            </w:pPr>
            <w:r>
              <w:rPr>
                <w:rFonts w:ascii="Times New Roman" w:hAnsi="Times New Roman"/>
                <w:b/>
                <w:color w:val="1F2937"/>
                <w:sz w:val="16"/>
              </w:rPr>
              <w:t>observationDays</w:t>
            </w:r>
          </w:p>
        </w:tc>
        <w:tc>
          <w:tcPr>
            <w:tcW w:type="dxa" w:w="2619"/>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incidentsBefore</w:t>
            </w:r>
          </w:p>
        </w:tc>
        <w:tc>
          <w:tcPr>
            <w:tcW w:type="dxa" w:w="2444"/>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incidentsAfter</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EMP0008</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Mia Taylor</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EMP0002</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Amelia Hart</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EMP0003</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Noah Reed</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EMP0004</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Isla Chen</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2026-07-30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70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val="0"/>
              <w:spacing w:after="0"/>
            </w:pPr>
            <w:r>
              <w:rPr>
                <w:rFonts w:ascii="Times New Roman" w:hAnsi="Times New Roman"/>
                <w:sz w:val="16"/>
              </w:rPr>
              <w:t>EMP0005</w:t>
            </w:r>
          </w:p>
        </w:tc>
        <w:tc>
          <w:tcPr>
            <w:tcW w:type="dxa" w:w="2095"/>
            <w:vAlign w:val="center"/>
            <w:tcMar>
              <w:top w:w="80" w:type="dxa"/>
              <w:start w:w="100" w:type="dxa"/>
              <w:bottom w:w="80" w:type="dxa"/>
              <w:end w:w="100" w:type="dxa"/>
            </w:tcMar>
          </w:tcPr>
          <w:p>
            <w:pPr>
              <w:keepNext w:val="0"/>
              <w:spacing w:after="0"/>
            </w:pPr>
            <w:r>
              <w:rPr>
                <w:rFonts w:ascii="Times New Roman" w:hAnsi="Times New Roman"/>
                <w:sz w:val="16"/>
              </w:rPr>
              <w:t>Liam Singh</w:t>
            </w:r>
          </w:p>
        </w:tc>
        <w:tc>
          <w:tcPr>
            <w:tcW w:type="dxa" w:w="2444"/>
            <w:vAlign w:val="center"/>
            <w:tcMar>
              <w:top w:w="80" w:type="dxa"/>
              <w:start w:w="100" w:type="dxa"/>
              <w:bottom w:w="80" w:type="dxa"/>
              <w:end w:w="100" w:type="dxa"/>
            </w:tcMar>
          </w:tcPr>
          <w:p>
            <w:pPr>
              <w:keepNext w:val="0"/>
              <w:spacing w:after="0"/>
            </w:pPr>
            <w:r>
              <w:rPr>
                <w:rFonts w:ascii="Times New Roman" w:hAnsi="Times New Roman"/>
                <w:sz w:val="16"/>
              </w:rPr>
              <w:t>2026-07-30</w:t>
            </w:r>
          </w:p>
        </w:tc>
        <w:tc>
          <w:tcPr>
            <w:tcW w:type="dxa" w:w="2619"/>
            <w:vAlign w:val="center"/>
            <w:tcMar>
              <w:top w:w="80" w:type="dxa"/>
              <w:start w:w="100" w:type="dxa"/>
              <w:bottom w:w="80" w:type="dxa"/>
              <w:end w:w="100" w:type="dxa"/>
            </w:tcMar>
          </w:tcPr>
          <w:p>
            <w:pPr>
              <w:keepNext w:val="0"/>
              <w:spacing w:after="0"/>
            </w:pPr>
            <w:r>
              <w:rPr>
                <w:rFonts w:ascii="Times New Roman" w:hAnsi="Times New Roman"/>
                <w:sz w:val="16"/>
              </w:rPr>
              <w:t>70</w:t>
            </w:r>
          </w:p>
        </w:tc>
        <w:tc>
          <w:tcPr>
            <w:tcW w:type="dxa" w:w="2619"/>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val="0"/>
              <w:spacing w:after="0"/>
            </w:pPr>
            <w:r>
              <w:rPr>
                <w:rFonts w:ascii="Times New Roman" w:hAnsi="Times New Roman"/>
                <w:sz w:val="16"/>
              </w:rPr>
              <w:t>0</w:t>
            </w:r>
          </w:p>
        </w:tc>
      </w:tr>
    </w:tbl>
    <w:p>
      <w:pPr>
        <w:spacing w:after="0"/>
      </w:pPr>
    </w:p>
    <w:p>
      <w:pPr>
        <w:keepNext/>
        <w:jc w:val="center"/>
      </w:pPr>
      <w:r>
        <w:drawing>
          <wp:inline xmlns:a="http://schemas.openxmlformats.org/drawingml/2006/main" xmlns:pic="http://schemas.openxmlformats.org/drawingml/2006/picture">
            <wp:extent cx="6945421" cy="4937760"/>
            <wp:docPr id="25" name="Picture 25"/>
            <wp:cNvGraphicFramePr>
              <a:graphicFrameLocks noChangeAspect="1"/>
            </wp:cNvGraphicFramePr>
            <a:graphic>
              <a:graphicData uri="http://schemas.openxmlformats.org/drawingml/2006/picture">
                <pic:pic>
                  <pic:nvPicPr>
                    <pic:cNvPr id="0" name="query03.png"/>
                    <pic:cNvPicPr/>
                  </pic:nvPicPr>
                  <pic:blipFill>
                    <a:blip r:embed="rId31"/>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3: genuine Workbench query03, combined supplied + test database, 2026-10-08</w:t>
      </w:r>
    </w:p>
    <w:p>
      <w:pPr>
        <w:pStyle w:val="Heading2"/>
      </w:pPr>
      <w:r>
        <w:t>Query 4 — Recent workload, safety and wellbeing review indicators</w:t>
      </w:r>
    </w:p>
    <w:p>
      <w:pPr>
        <w:pStyle w:val="Heading3"/>
      </w:pPr>
      <w:r>
        <w:t>How the query works</w:t>
      </w:r>
    </w:p>
    <w:p>
      <w:pPr>
        <w:widowControl/>
      </w:pPr>
      <w:r>
        <w:rPr>
          <w:rFonts w:ascii="Times New Roman" w:hAnsi="Times New Roman"/>
          <w:i w:val="0"/>
          <w:sz w:val="24"/>
        </w:rPr>
        <w:t>activeworkforce supplies every current employee with role and operational area context. assignmenthours derives worked hours from actual assignment start/end/break values for the last 30 days. workload sums up to 8 regular hours per assignment and treats hours above 8 as overtime. Separate CTEs count recent incident involvement and wellbeing check-ins with concernRaisedFlag=TRUE.</w:t>
      </w:r>
    </w:p>
    <w:p>
      <w:pPr>
        <w:widowControl/>
      </w:pPr>
      <w:r>
        <w:rPr>
          <w:rFonts w:ascii="Times New Roman" w:hAnsi="Times New Roman"/>
          <w:i w:val="0"/>
          <w:sz w:val="24"/>
        </w:rPr>
        <w:t>All three result sets are left-joined to the active workforce, so employees with no recent shift remain visible. A transparent CASE returns SUPERVISOR REVIEW when overtime, a recent incident or a wellbeing concern is present. No confidential wellbeing note is exposed.</w:t>
      </w:r>
    </w:p>
    <w:p>
      <w:pPr>
        <w:pStyle w:val="Heading3"/>
      </w:pPr>
      <w:r>
        <w:t>Business use and action</w:t>
      </w:r>
    </w:p>
    <w:p>
      <w:pPr>
        <w:widowControl/>
      </w:pPr>
      <w:r>
        <w:rPr>
          <w:rFonts w:ascii="Times New Roman" w:hAnsi="Times New Roman"/>
          <w:i w:val="0"/>
          <w:sz w:val="24"/>
        </w:rPr>
        <w:t>Supervisors and HR use the query as a prioritisation list, not a medical or disciplinary score. The underlying columns show why somebody appears. Management can adjust rosters, check fatigue controls, follow up an incident or schedule a wellbeing conversation.</w:t>
      </w:r>
    </w:p>
    <w:p>
      <w:pPr>
        <w:pStyle w:val="Heading3"/>
      </w:pPr>
      <w:r>
        <w:t>Actual result — frozen MySQL 8.4.11 build, 2026-10-08</w:t>
      </w:r>
    </w:p>
    <w:p>
      <w:pPr>
        <w:widowControl/>
      </w:pPr>
      <w:r>
        <w:rPr>
          <w:rFonts w:ascii="Times New Roman" w:hAnsi="Times New Roman"/>
          <w:i w:val="0"/>
          <w:sz w:val="24"/>
        </w:rPr>
        <w:t>Five employees are flagged for review:</w:t>
      </w:r>
    </w:p>
    <w:p>
      <w:pPr>
        <w:widowControl/>
      </w:pPr>
      <w:r>
        <w:rPr>
          <w:rFonts w:ascii="Times New Roman" w:hAnsi="Times New Roman"/>
          <w:i w:val="0"/>
          <w:sz w:val="24"/>
        </w:rPr>
        <w:t>- EMP0011 Jack Moore: 7 overtime hours, 1 recent incident, 1 wellbeing concern.</w:t>
      </w:r>
    </w:p>
    <w:p>
      <w:pPr>
        <w:widowControl/>
      </w:pPr>
      <w:r>
        <w:rPr>
          <w:rFonts w:ascii="Times New Roman" w:hAnsi="Times New Roman"/>
          <w:i w:val="0"/>
          <w:sz w:val="24"/>
        </w:rPr>
        <w:t>- EMP0009 Leo Wilson: 7 overtime hours, 1 recent incident involvement, 1 wellbeing concern.</w:t>
      </w:r>
    </w:p>
    <w:p>
      <w:pPr>
        <w:widowControl/>
      </w:pPr>
      <w:r>
        <w:rPr>
          <w:rFonts w:ascii="Times New Roman" w:hAnsi="Times New Roman"/>
          <w:i w:val="0"/>
          <w:sz w:val="24"/>
        </w:rPr>
        <w:t>- EMP0005 Liam Singh: 3 overtime hours.</w:t>
      </w:r>
    </w:p>
    <w:p>
      <w:pPr>
        <w:widowControl/>
      </w:pPr>
      <w:r>
        <w:rPr>
          <w:rFonts w:ascii="Times New Roman" w:hAnsi="Times New Roman"/>
          <w:i w:val="0"/>
          <w:sz w:val="24"/>
        </w:rPr>
        <w:t>- EMP0008 Mia Taylor: 3 overtime hours.</w:t>
      </w:r>
    </w:p>
    <w:p>
      <w:pPr>
        <w:widowControl/>
      </w:pPr>
      <w:r>
        <w:rPr>
          <w:rFonts w:ascii="Times New Roman" w:hAnsi="Times New Roman"/>
          <w:i w:val="0"/>
          <w:sz w:val="24"/>
        </w:rPr>
        <w:t>- EMP0013 Finn Walker: 1 overtime hour.</w:t>
      </w:r>
    </w:p>
    <w:p>
      <w:pPr>
        <w:widowControl/>
      </w:pPr>
      <w:r>
        <w:rPr>
          <w:rFonts w:ascii="Times New Roman" w:hAnsi="Times New Roman"/>
          <w:i w:val="0"/>
          <w:sz w:val="24"/>
        </w:rPr>
        <w:t>EMP0010 and EMP0012 have recent hours but no overtime/incident/concern indicator; other active employees remain visible with zero recent workload. The highest-priority follow-up is EMP0011/EMP0009 because multiple independent indicators are present.</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Eight hours per assignment is a demonstration rule, not an asserted payroll entitlement; review flags in context.</w:t>
            </w:r>
          </w:p>
        </w:tc>
      </w:tr>
    </w:tbl>
    <w:p>
      <w:pPr>
        <w:spacing w:after="0"/>
      </w:pPr>
    </w:p>
    <w:p>
      <w:pPr>
        <w:spacing w:after="60"/>
      </w:pPr>
      <w:r>
        <w:rPr>
          <w:rFonts w:ascii="Times New Roman" w:hAnsi="Times New Roman"/>
          <w:b/>
          <w:color w:val="5B6573"/>
          <w:sz w:val="18"/>
        </w:rPr>
        <w:t>Query 4 SQL</w:t>
      </w:r>
    </w:p>
    <w:p>
      <w:pPr>
        <w:spacing w:after="120"/>
        <w:ind w:left="173" w:right="173"/>
        <w:shd w:fill="F2F4F7"/>
      </w:pPr>
      <w:r>
        <w:rPr>
          <w:rFonts w:ascii="Menlo" w:hAnsi="Menlo"/>
          <w:color w:val="111827"/>
          <w:sz w:val="15"/>
        </w:rPr>
        <w:t>USE cloudrestwines;</w:t>
        <w:br/>
        <w:t>-- Workforce review query: surface recent workload/safety/wellbeing indicators without exposing confidential notes.</w:t>
        <w:br/>
        <w:t>-- Worked hours are calculated from actual assignment times. Overtime is the portion above 8 hours per assignment.</w:t>
        <w:br/>
        <w:t>WITH activeworkforce AS (</w:t>
        <w:br/>
        <w:t xml:space="preserve">  SELECT e.employeeId,</w:t>
        <w:br/>
        <w:t xml:space="preserve">         e.firstName,</w:t>
        <w:br/>
        <w:t xml:space="preserve">         e.lastName,</w:t>
        <w:br/>
        <w:t xml:space="preserve">         er.operationalAreaId,</w:t>
        <w:br/>
        <w:t xml:space="preserve">         r.roleName</w:t>
        <w:br/>
        <w:t xml:space="preserve">  FROM employee e</w:t>
        <w:br/>
        <w:t xml:space="preserve">  JOIN employeerole er ON er.employeeId = e.employeeId</w:t>
        <w:br/>
        <w:t xml:space="preserve">  JOIN role r ON r.roleId = er.roleId</w:t>
        <w:br/>
        <w:t xml:space="preserve">  WHERE e.employmentStartDate &lt;= CURRENT_DATE</w:t>
        <w:br/>
        <w:t xml:space="preserve">    AND (e.employmentEndDate IS NULL OR e.employmentEndDate &gt;= CURRENT_DATE)</w:t>
        <w:br/>
        <w:t xml:space="preserve">    AND er.startDateTime &lt;= NOW()</w:t>
        <w:br/>
        <w:t xml:space="preserve">    AND (er.endDateTime IS NULL OR er.endDateTime &gt;= NOW())</w:t>
        <w:br/>
        <w:t>), assignmenthours AS (</w:t>
        <w:br/>
        <w:t xml:space="preserve">  SELECT sa.employeeId,</w:t>
        <w:br/>
        <w:t xml:space="preserve">         GREATEST(</w:t>
        <w:br/>
        <w:t xml:space="preserve">           TIMESTAMPDIFF(MINUTE, sa.actualStartTime, sa.actualEndTime) - sa.breakMinutes,</w:t>
        <w:br/>
        <w:t xml:space="preserve">           0</w:t>
        <w:br/>
        <w:t xml:space="preserve">         ) / 60.0 AS workedHours</w:t>
        <w:br/>
        <w:t xml:space="preserve">  FROM shiftassignment sa</w:t>
        <w:br/>
        <w:t xml:space="preserve">  JOIN shift s ON s.shiftId = sa.shiftId</w:t>
        <w:br/>
        <w:t xml:space="preserve">  WHERE s.shiftDate &gt;= DATE_SUB(CURRENT_DATE, INTERVAL 30 DAY)</w:t>
        <w:br/>
        <w:t>), workload AS (</w:t>
        <w:br/>
        <w:t xml:space="preserve">  SELECT employeeId,</w:t>
        <w:br/>
        <w:t xml:space="preserve">         ROUND(SUM(LEAST(workedHours, 8.0)), 2) AS regularHours,</w:t>
        <w:br/>
        <w:t xml:space="preserve">         ROUND(SUM(GREATEST(workedHours - 8.0, 0)), 2) AS overtimeHours</w:t>
        <w:br/>
        <w:t xml:space="preserve">  FROM assignmenthours</w:t>
        <w:br/>
        <w:t xml:space="preserve">  GROUP BY employeeId</w:t>
        <w:br/>
        <w:t>), recentincident AS (</w:t>
        <w:br/>
        <w:t xml:space="preserve">  SELECT ie.employeeId, COUNT(DISTINCT ie.incidentId) AS incidentCount</w:t>
        <w:br/>
        <w:t xml:space="preserve">  FROM incidentemployee ie</w:t>
        <w:br/>
        <w:t xml:space="preserve">  JOIN incident i ON i.incidentId = ie.incidentId</w:t>
        <w:br/>
        <w:t xml:space="preserve">  WHERE i.incidentDateTime &gt;= DATE_SUB(NOW(), INTERVAL 30 DAY)</w:t>
        <w:br/>
        <w:t xml:space="preserve">  GROUP BY ie.employeeId</w:t>
        <w:br/>
        <w:t>), recentconcern AS (</w:t>
        <w:br/>
        <w:t xml:space="preserve">  SELECT employeeId, COUNT(*) AS concernCount</w:t>
        <w:br/>
        <w:t xml:space="preserve">  FROM wellbeingcheckin</w:t>
        <w:br/>
        <w:t xml:space="preserve">  WHERE checkinDate &gt;= DATE_SUB(CURRENT_DATE, INTERVAL 30 DAY)</w:t>
        <w:br/>
        <w:t xml:space="preserve">    AND concernRaisedFlag = TRUE</w:t>
        <w:br/>
        <w:t xml:space="preserve">  GROUP BY employeeId</w:t>
        <w:br/>
        <w:t>)</w:t>
        <w:br/>
        <w:t>SELECT aw.employeeId,</w:t>
        <w:br/>
        <w:t xml:space="preserve">       CONCAT(aw.firstName, ' ', aw.lastName) AS employeeName,</w:t>
        <w:br/>
        <w:t xml:space="preserve">       oa.areaName,</w:t>
        <w:br/>
        <w:t xml:space="preserve">       aw.roleName,</w:t>
        <w:br/>
        <w:t xml:space="preserve">       COALESCE(w.regularHours, 0) AS regularHours,</w:t>
        <w:br/>
        <w:t xml:space="preserve">       COALESCE(w.overtimeHours, 0) AS overtimeHours,</w:t>
        <w:br/>
        <w:t xml:space="preserve">       COALESCE(ri.incidentCount, 0) AS recentIncidents,</w:t>
        <w:br/>
        <w:t xml:space="preserve">       COALESCE(rc.concernCount, 0) AS wellbeingConcernCount,</w:t>
        <w:br/>
        <w:t xml:space="preserve">       CASE</w:t>
        <w:br/>
        <w:t xml:space="preserve">         WHEN COALESCE(ri.incidentCount, 0) &gt; 0</w:t>
        <w:br/>
        <w:t xml:space="preserve">           OR COALESCE(rc.concernCount, 0) &gt; 0</w:t>
        <w:br/>
        <w:t xml:space="preserve">           OR COALESCE(w.overtimeHours, 0) &gt; 0</w:t>
        <w:br/>
        <w:t xml:space="preserve">         THEN 'SUPERVISOR REVIEW'</w:t>
        <w:br/>
        <w:t xml:space="preserve">         ELSE 'NO RECENT INDICATOR'</w:t>
        <w:br/>
        <w:t xml:space="preserve">       END AS recommendedAction</w:t>
        <w:br/>
        <w:t>FROM activeworkforce aw</w:t>
        <w:br/>
        <w:t>JOIN operationalarea oa ON oa.operationalAreaId = aw.operationalAreaId</w:t>
        <w:br/>
        <w:t>LEFT JOIN workload w ON w.employeeId = aw.employeeId</w:t>
        <w:br/>
        <w:t>LEFT JOIN recentincident ri ON ri.employeeId = aw.employeeId</w:t>
        <w:br/>
        <w:t>LEFT JOIN recentconcern rc ON rc.employeeId = aw.employeeId</w:t>
        <w:br/>
        <w:t>ORDER BY (COALESCE(ri.incidentCount, 0) &gt; 0) DESC,</w:t>
        <w:br/>
        <w:t xml:space="preserve">         (COALESCE(rc.concernCount, 0) &gt; 0) DESC,</w:t>
        <w:br/>
        <w:t xml:space="preserve">         COALESCE(w.overtimeHours, 0) DESC,</w:t>
        <w:br/>
        <w:t xml:space="preserve">         employeeName;</w:t>
      </w:r>
    </w:p>
    <w:p>
      <w:pPr>
        <w:widowControl/>
      </w:pPr>
      <w:r>
        <w:rPr>
          <w:rFonts w:ascii="Times New Roman" w:hAnsi="Times New Roman"/>
          <w:i w:val="0"/>
          <w:sz w:val="24"/>
        </w:rPr>
        <w:t>Query 4: actual MySQL 8.4.11 output, 2026-10-08. Combined supplied + test database; HR results use synthetic assessment records.</w:t>
      </w:r>
    </w:p>
    <w:tbl>
      <w:tblPr>
        <w:tblStyle w:val="TableGrid"/>
        <w:tblW w:type="dxa" w:w="13965"/>
        <w:tblLayout w:type="fixed"/>
        <w:tblLook w:firstColumn="1" w:firstRow="1" w:lastColumn="0" w:lastRow="0" w:noHBand="0" w:noVBand="1" w:val="04A0"/>
        <w:tblInd w:w="120" w:type="dxa"/>
      </w:tblPr>
      <w:tblGrid>
        <w:gridCol w:w="1012"/>
        <w:gridCol w:w="1518"/>
        <w:gridCol w:w="1417"/>
        <w:gridCol w:w="1923"/>
        <w:gridCol w:w="1214"/>
        <w:gridCol w:w="1315"/>
        <w:gridCol w:w="1518"/>
        <w:gridCol w:w="2125"/>
        <w:gridCol w:w="1923"/>
      </w:tblGrid>
      <w:tr>
        <w:trPr>
          <w:tblHeader w:val="true"/>
          <w:cantSplit/>
        </w:trPr>
        <w:tc>
          <w:tcPr>
            <w:tcW w:type="dxa" w:w="1012"/>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518"/>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1923"/>
            <w:shd w:fill="DCE6F1"/>
            <w:vAlign w:val="center"/>
            <w:tcMar>
              <w:top w:w="80" w:type="dxa"/>
              <w:start w:w="100" w:type="dxa"/>
              <w:bottom w:w="80" w:type="dxa"/>
              <w:end w:w="100" w:type="dxa"/>
            </w:tcMar>
          </w:tcPr>
          <w:p>
            <w:pPr>
              <w:keepNext/>
              <w:jc w:val="center"/>
            </w:pPr>
            <w:r>
              <w:rPr>
                <w:rFonts w:ascii="Times New Roman" w:hAnsi="Times New Roman"/>
                <w:b/>
                <w:color w:val="1F2937"/>
                <w:sz w:val="16"/>
              </w:rPr>
              <w:t>roleName</w:t>
            </w:r>
          </w:p>
        </w:tc>
        <w:tc>
          <w:tcPr>
            <w:tcW w:type="dxa" w:w="1214"/>
            <w:shd w:fill="DCE6F1"/>
            <w:vAlign w:val="center"/>
            <w:tcMar>
              <w:top w:w="80" w:type="dxa"/>
              <w:start w:w="100" w:type="dxa"/>
              <w:bottom w:w="80" w:type="dxa"/>
              <w:end w:w="100" w:type="dxa"/>
            </w:tcMar>
          </w:tcPr>
          <w:p>
            <w:pPr>
              <w:keepNext/>
              <w:jc w:val="center"/>
            </w:pPr>
            <w:r>
              <w:rPr>
                <w:rFonts w:ascii="Times New Roman" w:hAnsi="Times New Roman"/>
                <w:b/>
                <w:color w:val="1F2937"/>
                <w:sz w:val="16"/>
              </w:rPr>
              <w:t>regularHours</w:t>
            </w:r>
          </w:p>
        </w:tc>
        <w:tc>
          <w:tcPr>
            <w:tcW w:type="dxa" w:w="1315"/>
            <w:shd w:fill="DCE6F1"/>
            <w:vAlign w:val="center"/>
            <w:tcMar>
              <w:top w:w="80" w:type="dxa"/>
              <w:start w:w="100" w:type="dxa"/>
              <w:bottom w:w="80" w:type="dxa"/>
              <w:end w:w="100" w:type="dxa"/>
            </w:tcMar>
          </w:tcPr>
          <w:p>
            <w:pPr>
              <w:keepNext/>
              <w:jc w:val="center"/>
            </w:pPr>
            <w:r>
              <w:rPr>
                <w:rFonts w:ascii="Times New Roman" w:hAnsi="Times New Roman"/>
                <w:b/>
                <w:color w:val="1F2937"/>
                <w:sz w:val="16"/>
              </w:rPr>
              <w:t>overtimeHours</w:t>
            </w:r>
          </w:p>
        </w:tc>
        <w:tc>
          <w:tcPr>
            <w:tcW w:type="dxa" w:w="151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recentIncidents</w:t>
            </w:r>
          </w:p>
        </w:tc>
        <w:tc>
          <w:tcPr>
            <w:tcW w:type="dxa" w:w="2125"/>
            <w:shd w:fill="DCE6F1"/>
            <w:vAlign w:val="center"/>
            <w:tcMar>
              <w:top w:w="80" w:type="dxa"/>
              <w:start w:w="100" w:type="dxa"/>
              <w:bottom w:w="80" w:type="dxa"/>
              <w:end w:w="100" w:type="dxa"/>
            </w:tcMar>
          </w:tcPr>
          <w:p>
            <w:pPr>
              <w:keepNext/>
              <w:jc w:val="center"/>
            </w:pPr>
            <w:r>
              <w:rPr>
                <w:rFonts w:ascii="Times New Roman" w:hAnsi="Times New Roman"/>
                <w:b/>
                <w:color w:val="1F2937"/>
                <w:sz w:val="16"/>
              </w:rPr>
              <w:t>wellbeingConcernCount</w:t>
            </w:r>
          </w:p>
        </w:tc>
        <w:tc>
          <w:tcPr>
            <w:tcW w:type="dxa" w:w="1923"/>
            <w:shd w:fill="DCE6F1"/>
            <w:vAlign w:val="center"/>
            <w:tcMar>
              <w:top w:w="80" w:type="dxa"/>
              <w:start w:w="100" w:type="dxa"/>
              <w:bottom w:w="80" w:type="dxa"/>
              <w:end w:w="100" w:type="dxa"/>
            </w:tcMar>
          </w:tcPr>
          <w:p>
            <w:pPr>
              <w:keepNext/>
              <w:jc w:val="center"/>
            </w:pPr>
            <w:r>
              <w:rPr>
                <w:rFonts w:ascii="Times New Roman" w:hAnsi="Times New Roman"/>
                <w:b/>
                <w:color w:val="1F2937"/>
                <w:sz w:val="16"/>
              </w:rPr>
              <w:t>recommendedAction</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EMP0011</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Jack Moore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Cellar Hand</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7.00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EMP0009</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Leo Wilson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7.00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EMP0005</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Liam Singh</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Winemaker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3.00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EMP0008</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Mia Taylor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3.00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EMP0013</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Finn Walker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1.00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EMP0002</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Amelia Hart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Vineyard Supervisor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EMP0006</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Ava Martin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HR Manager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EMP0001</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Christine Cloud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Owner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EMP0007</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Ethan Brown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Safety Officer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EMP0004</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Isla Chen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Winemaker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EMP0003</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Noah Reed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Grape Farmer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EMP0012</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Ruby Thomas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Cellar Hand</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12.00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Zoe Davis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13.00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bl>
    <w:p>
      <w:pPr>
        <w:spacing w:after="0"/>
      </w:pPr>
    </w:p>
    <w:p>
      <w:pPr>
        <w:keepNext/>
        <w:jc w:val="center"/>
      </w:pPr>
      <w:r>
        <w:drawing>
          <wp:inline xmlns:a="http://schemas.openxmlformats.org/drawingml/2006/main" xmlns:pic="http://schemas.openxmlformats.org/drawingml/2006/picture">
            <wp:extent cx="6945421" cy="4937760"/>
            <wp:docPr id="26" name="Picture 26"/>
            <wp:cNvGraphicFramePr>
              <a:graphicFrameLocks noChangeAspect="1"/>
            </wp:cNvGraphicFramePr>
            <a:graphic>
              <a:graphicData uri="http://schemas.openxmlformats.org/drawingml/2006/picture">
                <pic:pic>
                  <pic:nvPicPr>
                    <pic:cNvPr id="0" name="query04-left.png"/>
                    <pic:cNvPicPr/>
                  </pic:nvPicPr>
                  <pic:blipFill>
                    <a:blip r:embed="rId32"/>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4: genuine Workbench query04-left, combined supplied + test database, 2026-10-08</w:t>
      </w:r>
    </w:p>
    <w:p>
      <w:pPr>
        <w:pStyle w:val="Heading2"/>
      </w:pPr>
      <w:r>
        <w:t>Query 5 — Expiring qualifications stored procedure</w:t>
      </w:r>
    </w:p>
    <w:p>
      <w:pPr>
        <w:pStyle w:val="Heading3"/>
      </w:pPr>
      <w:r>
        <w:t>How the query works</w:t>
      </w:r>
    </w:p>
    <w:p>
      <w:pPr>
        <w:widowControl/>
      </w:pPr>
      <w:r>
        <w:rPr>
          <w:rFonts w:ascii="Times New Roman" w:hAnsi="Times New Roman"/>
          <w:i w:val="0"/>
          <w:sz w:val="24"/>
        </w:rPr>
        <w:t>getExpiringQualifications(daysAhead) validates that the parameter is non-NULL and from 0 to 730. It joins employeequalification, employee and qualification, filters expiry dates between today and today plus the requested horizon, calculates daysUntilExpiry, and sorts by expiry date.</w:t>
      </w:r>
    </w:p>
    <w:p>
      <w:pPr>
        <w:widowControl/>
      </w:pPr>
      <w:r>
        <w:rPr>
          <w:rFonts w:ascii="Times New Roman" w:hAnsi="Times New Roman"/>
          <w:i w:val="0"/>
          <w:sz w:val="24"/>
        </w:rPr>
        <w:t>The demonstration calls the same procedure with 30 and 90 days, proving that the database logic is reusable rather than hard-coded to one report period.</w:t>
      </w:r>
    </w:p>
    <w:p>
      <w:pPr>
        <w:pStyle w:val="Heading3"/>
      </w:pPr>
      <w:r>
        <w:t>Business use and action</w:t>
      </w:r>
    </w:p>
    <w:p>
      <w:pPr>
        <w:widowControl/>
      </w:pPr>
      <w:r>
        <w:rPr>
          <w:rFonts w:ascii="Times New Roman" w:hAnsi="Times New Roman"/>
          <w:i w:val="0"/>
          <w:sz w:val="24"/>
        </w:rPr>
        <w:t>HR and supervisors use the short horizon for urgent renewal booking and the longer horizon for planning budgets, rosters and course capacity.</w:t>
      </w:r>
    </w:p>
    <w:p>
      <w:pPr>
        <w:pStyle w:val="Heading3"/>
      </w:pPr>
      <w:r>
        <w:t>Actual result — frozen MySQL 8.4.11 build, 2026-10-08</w:t>
      </w:r>
    </w:p>
    <w:p>
      <w:pPr>
        <w:widowControl/>
      </w:pPr>
      <w:r>
        <w:rPr>
          <w:rFonts w:ascii="Times New Roman" w:hAnsi="Times New Roman"/>
          <w:i w:val="0"/>
          <w:sz w:val="24"/>
        </w:rPr>
        <w:t>- CALL getExpiringQualifications(30) returns EMP0002 / First Aid Certificate / 25 days.</w:t>
      </w:r>
    </w:p>
    <w:p>
      <w:pPr>
        <w:widowControl/>
      </w:pPr>
      <w:r>
        <w:rPr>
          <w:rFonts w:ascii="Times New Roman" w:hAnsi="Times New Roman"/>
          <w:i w:val="0"/>
          <w:sz w:val="24"/>
        </w:rPr>
        <w:t>- CALL getExpiringQualifications(90) returns the same record plus EMP0003 / Chemical Handling Permit / 80 days.</w:t>
      </w:r>
    </w:p>
    <w:p>
      <w:pPr>
        <w:widowControl/>
      </w:pPr>
      <w:r>
        <w:rPr>
          <w:rFonts w:ascii="Times New Roman" w:hAnsi="Times New Roman"/>
          <w:i w:val="0"/>
          <w:sz w:val="24"/>
        </w:rPr>
        <w:t>The operational action is to book EMP0002 first and include EMP0003 in the next planning cycle.</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Expiry records require issuer validation; plan and confirm renewals before roster decisions.</w:t>
            </w:r>
          </w:p>
        </w:tc>
      </w:tr>
    </w:tbl>
    <w:p>
      <w:pPr>
        <w:spacing w:after="0"/>
      </w:pPr>
    </w:p>
    <w:p>
      <w:pPr>
        <w:spacing w:after="60"/>
      </w:pPr>
      <w:r>
        <w:rPr>
          <w:rFonts w:ascii="Times New Roman" w:hAnsi="Times New Roman"/>
          <w:b/>
          <w:color w:val="5B6573"/>
          <w:sz w:val="18"/>
        </w:rPr>
        <w:t>Query 5 SQL</w:t>
      </w:r>
    </w:p>
    <w:p>
      <w:pPr>
        <w:spacing w:after="120"/>
        <w:ind w:left="173" w:right="173"/>
        <w:shd w:fill="F2F4F7"/>
      </w:pPr>
      <w:r>
        <w:rPr>
          <w:rFonts w:ascii="Menlo" w:hAnsi="Menlo"/>
          <w:color w:val="111827"/>
          <w:sz w:val="15"/>
        </w:rPr>
        <w:t>USE cloudrestwines;</w:t>
        <w:br/>
        <w:t>-- Video demonstration must call both parameter values.</w:t>
        <w:br/>
        <w:t>CALL getExpiringQualifications(30);</w:t>
        <w:br/>
        <w:t>CALL getExpiringQualifications(90);</w:t>
      </w:r>
    </w:p>
    <w:p>
      <w:pPr>
        <w:widowControl/>
      </w:pPr>
      <w:r>
        <w:rPr>
          <w:rFonts w:ascii="Times New Roman" w:hAnsi="Times New Roman"/>
          <w:i w:val="0"/>
          <w:sz w:val="24"/>
        </w:rPr>
        <w:t>Query 5: actual MySQL 8.4.11 output, 2026-10-08. Combined supplied + test database; HR results use synthetic assessment records.</w:t>
      </w:r>
    </w:p>
    <w:tbl>
      <w:tblPr>
        <w:tblStyle w:val="TableGrid"/>
        <w:tblW w:type="dxa" w:w="13965"/>
        <w:tblLayout w:type="fixed"/>
        <w:tblLook w:firstColumn="1" w:firstRow="1" w:lastColumn="0" w:lastRow="0" w:noHBand="0" w:noVBand="1" w:val="04A0"/>
        <w:tblInd w:w="120" w:type="dxa"/>
      </w:tblPr>
      <w:tblGrid>
        <w:gridCol w:w="1662"/>
        <w:gridCol w:w="1995"/>
        <w:gridCol w:w="3492"/>
        <w:gridCol w:w="2660"/>
        <w:gridCol w:w="1662"/>
        <w:gridCol w:w="2494"/>
      </w:tblGrid>
      <w:tr>
        <w:trPr>
          <w:tblHeader w:val="true"/>
          <w:cantSplit/>
        </w:trPr>
        <w:tc>
          <w:tcPr>
            <w:tcW w:type="dxa" w:w="1662"/>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99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qualificationName</w:t>
            </w:r>
          </w:p>
        </w:tc>
        <w:tc>
          <w:tcPr>
            <w:tcW w:type="dxa" w:w="2660"/>
            <w:shd w:fill="DCE6F1"/>
            <w:vAlign w:val="center"/>
            <w:tcMar>
              <w:top w:w="80" w:type="dxa"/>
              <w:start w:w="100" w:type="dxa"/>
              <w:bottom w:w="80" w:type="dxa"/>
              <w:end w:w="100" w:type="dxa"/>
            </w:tcMar>
          </w:tcPr>
          <w:p>
            <w:pPr>
              <w:keepNext/>
              <w:jc w:val="center"/>
            </w:pPr>
            <w:r>
              <w:rPr>
                <w:rFonts w:ascii="Times New Roman" w:hAnsi="Times New Roman"/>
                <w:b/>
                <w:color w:val="1F2937"/>
                <w:sz w:val="16"/>
              </w:rPr>
              <w:t>isSafetyCritical</w:t>
            </w:r>
          </w:p>
        </w:tc>
        <w:tc>
          <w:tcPr>
            <w:tcW w:type="dxa" w:w="1662"/>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expiryDate</w:t>
            </w:r>
          </w:p>
        </w:tc>
        <w:tc>
          <w:tcPr>
            <w:tcW w:type="dxa" w:w="2494"/>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daysUntilExpiry</w:t>
            </w:r>
          </w:p>
        </w:tc>
      </w:tr>
      <w:tr>
        <w:trPr>
          <w:cantSplit/>
        </w:trPr>
        <w:tc>
          <w:tcPr>
            <w:tcW w:type="dxa" w:w="1662"/>
            <w:vAlign w:val="center"/>
            <w:tcMar>
              <w:top w:w="80" w:type="dxa"/>
              <w:start w:w="100" w:type="dxa"/>
              <w:bottom w:w="80" w:type="dxa"/>
              <w:end w:w="100" w:type="dxa"/>
            </w:tcMar>
          </w:tcPr>
          <w:p>
            <w:pPr>
              <w:keepNext w:val="0"/>
              <w:spacing w:after="0"/>
            </w:pPr>
            <w:r>
              <w:rPr>
                <w:rFonts w:ascii="Times New Roman" w:hAnsi="Times New Roman"/>
                <w:sz w:val="16"/>
              </w:rPr>
              <w:t>EMP0002</w:t>
            </w:r>
          </w:p>
        </w:tc>
        <w:tc>
          <w:tcPr>
            <w:tcW w:type="dxa" w:w="1995"/>
            <w:vAlign w:val="center"/>
            <w:tcMar>
              <w:top w:w="80" w:type="dxa"/>
              <w:start w:w="100" w:type="dxa"/>
              <w:bottom w:w="80" w:type="dxa"/>
              <w:end w:w="100" w:type="dxa"/>
            </w:tcMar>
          </w:tcPr>
          <w:p>
            <w:pPr>
              <w:keepNext w:val="0"/>
              <w:spacing w:after="0"/>
            </w:pPr>
            <w:r>
              <w:rPr>
                <w:rFonts w:ascii="Times New Roman" w:hAnsi="Times New Roman"/>
                <w:sz w:val="16"/>
              </w:rPr>
              <w:t>Amelia Hart</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First Aid Certificate</w:t>
            </w:r>
          </w:p>
        </w:tc>
        <w:tc>
          <w:tcPr>
            <w:tcW w:type="dxa" w:w="266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662"/>
            <w:vAlign w:val="center"/>
            <w:tcMar>
              <w:top w:w="80" w:type="dxa"/>
              <w:start w:w="100" w:type="dxa"/>
              <w:bottom w:w="80" w:type="dxa"/>
              <w:end w:w="100" w:type="dxa"/>
            </w:tcMar>
          </w:tcPr>
          <w:p>
            <w:pPr>
              <w:keepNext w:val="0"/>
              <w:spacing w:after="0"/>
            </w:pPr>
            <w:r>
              <w:rPr>
                <w:rFonts w:ascii="Times New Roman" w:hAnsi="Times New Roman"/>
                <w:sz w:val="16"/>
              </w:rPr>
              <w:t>2026-11-02</w:t>
            </w:r>
          </w:p>
        </w:tc>
        <w:tc>
          <w:tcPr>
            <w:tcW w:type="dxa" w:w="2494"/>
            <w:vAlign w:val="center"/>
            <w:tcMar>
              <w:top w:w="80" w:type="dxa"/>
              <w:start w:w="100" w:type="dxa"/>
              <w:bottom w:w="80" w:type="dxa"/>
              <w:end w:w="100" w:type="dxa"/>
            </w:tcMar>
          </w:tcPr>
          <w:p>
            <w:pPr>
              <w:keepNext w:val="0"/>
              <w:spacing w:after="0"/>
            </w:pPr>
            <w:r>
              <w:rPr>
                <w:rFonts w:ascii="Times New Roman" w:hAnsi="Times New Roman"/>
                <w:sz w:val="16"/>
              </w:rPr>
              <w:t>25</w:t>
            </w:r>
          </w:p>
        </w:tc>
      </w:tr>
    </w:tbl>
    <w:p>
      <w:pPr>
        <w:spacing w:after="0"/>
      </w:pPr>
    </w:p>
    <w:tbl>
      <w:tblPr>
        <w:tblStyle w:val="TableGrid"/>
        <w:tblW w:type="dxa" w:w="13965"/>
        <w:tblLayout w:type="fixed"/>
        <w:tblLook w:firstColumn="1" w:firstRow="1" w:lastColumn="0" w:lastRow="0" w:noHBand="0" w:noVBand="1" w:val="04A0"/>
        <w:tblInd w:w="120" w:type="dxa"/>
      </w:tblPr>
      <w:tblGrid>
        <w:gridCol w:w="1605"/>
        <w:gridCol w:w="1926"/>
        <w:gridCol w:w="3853"/>
        <w:gridCol w:w="2568"/>
        <w:gridCol w:w="1605"/>
        <w:gridCol w:w="2408"/>
      </w:tblGrid>
      <w:tr>
        <w:trPr>
          <w:tblHeader w:val="true"/>
          <w:cantSplit/>
        </w:trPr>
        <w:tc>
          <w:tcPr>
            <w:tcW w:type="dxa" w:w="160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926"/>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3853"/>
            <w:shd w:fill="DCE6F1"/>
            <w:vAlign w:val="center"/>
            <w:tcMar>
              <w:top w:w="80" w:type="dxa"/>
              <w:start w:w="100" w:type="dxa"/>
              <w:bottom w:w="80" w:type="dxa"/>
              <w:end w:w="100" w:type="dxa"/>
            </w:tcMar>
          </w:tcPr>
          <w:p>
            <w:pPr>
              <w:keepNext/>
              <w:jc w:val="center"/>
            </w:pPr>
            <w:r>
              <w:rPr>
                <w:rFonts w:ascii="Times New Roman" w:hAnsi="Times New Roman"/>
                <w:b/>
                <w:color w:val="1F2937"/>
                <w:sz w:val="16"/>
              </w:rPr>
              <w:t>qualificationName</w:t>
            </w:r>
          </w:p>
        </w:tc>
        <w:tc>
          <w:tcPr>
            <w:tcW w:type="dxa" w:w="2568"/>
            <w:shd w:fill="DCE6F1"/>
            <w:vAlign w:val="center"/>
            <w:tcMar>
              <w:top w:w="80" w:type="dxa"/>
              <w:start w:w="100" w:type="dxa"/>
              <w:bottom w:w="80" w:type="dxa"/>
              <w:end w:w="100" w:type="dxa"/>
            </w:tcMar>
          </w:tcPr>
          <w:p>
            <w:pPr>
              <w:keepNext/>
              <w:jc w:val="center"/>
            </w:pPr>
            <w:r>
              <w:rPr>
                <w:rFonts w:ascii="Times New Roman" w:hAnsi="Times New Roman"/>
                <w:b/>
                <w:color w:val="1F2937"/>
                <w:sz w:val="16"/>
              </w:rPr>
              <w:t>isSafetyCritical</w:t>
            </w:r>
          </w:p>
        </w:tc>
        <w:tc>
          <w:tcPr>
            <w:tcW w:type="dxa" w:w="1605"/>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expiryDate</w:t>
            </w:r>
          </w:p>
        </w:tc>
        <w:tc>
          <w:tcPr>
            <w:tcW w:type="dxa" w:w="2408"/>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daysUntilExpiry</w:t>
            </w:r>
          </w:p>
        </w:tc>
      </w:tr>
      <w:tr>
        <w:trPr>
          <w:cantSplit/>
        </w:trPr>
        <w:tc>
          <w:tcPr>
            <w:tcW w:type="dxa" w:w="1605"/>
            <w:vAlign w:val="center"/>
            <w:tcMar>
              <w:top w:w="80" w:type="dxa"/>
              <w:start w:w="100" w:type="dxa"/>
              <w:bottom w:w="80" w:type="dxa"/>
              <w:end w:w="100" w:type="dxa"/>
            </w:tcMar>
          </w:tcPr>
          <w:p>
            <w:pPr>
              <w:keepNext/>
              <w:spacing w:after="0"/>
            </w:pPr>
            <w:r>
              <w:rPr>
                <w:rFonts w:ascii="Times New Roman" w:hAnsi="Times New Roman"/>
                <w:sz w:val="16"/>
              </w:rPr>
              <w:t>EMP0002</w:t>
            </w:r>
          </w:p>
        </w:tc>
        <w:tc>
          <w:tcPr>
            <w:tcW w:type="dxa" w:w="1926"/>
            <w:vAlign w:val="center"/>
            <w:tcMar>
              <w:top w:w="80" w:type="dxa"/>
              <w:start w:w="100" w:type="dxa"/>
              <w:bottom w:w="80" w:type="dxa"/>
              <w:end w:w="100" w:type="dxa"/>
            </w:tcMar>
          </w:tcPr>
          <w:p>
            <w:pPr>
              <w:keepNext/>
              <w:spacing w:after="0"/>
            </w:pPr>
            <w:r>
              <w:rPr>
                <w:rFonts w:ascii="Times New Roman" w:hAnsi="Times New Roman"/>
                <w:sz w:val="16"/>
              </w:rPr>
              <w:t>Amelia Hart</w:t>
            </w:r>
          </w:p>
        </w:tc>
        <w:tc>
          <w:tcPr>
            <w:tcW w:type="dxa" w:w="3853"/>
            <w:vAlign w:val="center"/>
            <w:tcMar>
              <w:top w:w="80" w:type="dxa"/>
              <w:start w:w="100" w:type="dxa"/>
              <w:bottom w:w="80" w:type="dxa"/>
              <w:end w:w="100" w:type="dxa"/>
            </w:tcMar>
          </w:tcPr>
          <w:p>
            <w:pPr>
              <w:keepNext/>
              <w:spacing w:after="0"/>
            </w:pPr>
            <w:r>
              <w:rPr>
                <w:rFonts w:ascii="Times New Roman" w:hAnsi="Times New Roman"/>
                <w:sz w:val="16"/>
              </w:rPr>
              <w:t>First Aid Certificate</w:t>
            </w:r>
          </w:p>
        </w:tc>
        <w:tc>
          <w:tcPr>
            <w:tcW w:type="dxa" w:w="2568"/>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1605"/>
            <w:vAlign w:val="center"/>
            <w:tcMar>
              <w:top w:w="80" w:type="dxa"/>
              <w:start w:w="100" w:type="dxa"/>
              <w:bottom w:w="80" w:type="dxa"/>
              <w:end w:w="100" w:type="dxa"/>
            </w:tcMar>
          </w:tcPr>
          <w:p>
            <w:pPr>
              <w:keepNext/>
              <w:spacing w:after="0"/>
            </w:pPr>
            <w:r>
              <w:rPr>
                <w:rFonts w:ascii="Times New Roman" w:hAnsi="Times New Roman"/>
                <w:sz w:val="16"/>
              </w:rPr>
              <w:t>2026-11-02</w:t>
            </w:r>
          </w:p>
        </w:tc>
        <w:tc>
          <w:tcPr>
            <w:tcW w:type="dxa" w:w="2408"/>
            <w:vAlign w:val="center"/>
            <w:tcMar>
              <w:top w:w="80" w:type="dxa"/>
              <w:start w:w="100" w:type="dxa"/>
              <w:bottom w:w="80" w:type="dxa"/>
              <w:end w:w="100" w:type="dxa"/>
            </w:tcMar>
          </w:tcPr>
          <w:p>
            <w:pPr>
              <w:keepNext/>
              <w:spacing w:after="0"/>
            </w:pPr>
            <w:r>
              <w:rPr>
                <w:rFonts w:ascii="Times New Roman" w:hAnsi="Times New Roman"/>
                <w:sz w:val="16"/>
              </w:rPr>
              <w:t>25</w:t>
            </w:r>
          </w:p>
        </w:tc>
      </w:tr>
      <w:tr>
        <w:trPr>
          <w:cantSplit/>
        </w:trPr>
        <w:tc>
          <w:tcPr>
            <w:tcW w:type="dxa" w:w="1605"/>
            <w:vAlign w:val="center"/>
            <w:tcMar>
              <w:top w:w="80" w:type="dxa"/>
              <w:start w:w="100" w:type="dxa"/>
              <w:bottom w:w="80" w:type="dxa"/>
              <w:end w:w="100" w:type="dxa"/>
            </w:tcMar>
          </w:tcPr>
          <w:p>
            <w:pPr>
              <w:keepNext w:val="0"/>
              <w:spacing w:after="0"/>
            </w:pPr>
            <w:r>
              <w:rPr>
                <w:rFonts w:ascii="Times New Roman" w:hAnsi="Times New Roman"/>
                <w:sz w:val="16"/>
              </w:rPr>
              <w:t>EMP0003</w:t>
            </w:r>
          </w:p>
        </w:tc>
        <w:tc>
          <w:tcPr>
            <w:tcW w:type="dxa" w:w="1926"/>
            <w:vAlign w:val="center"/>
            <w:tcMar>
              <w:top w:w="80" w:type="dxa"/>
              <w:start w:w="100" w:type="dxa"/>
              <w:bottom w:w="80" w:type="dxa"/>
              <w:end w:w="100" w:type="dxa"/>
            </w:tcMar>
          </w:tcPr>
          <w:p>
            <w:pPr>
              <w:keepNext w:val="0"/>
              <w:spacing w:after="0"/>
            </w:pPr>
            <w:r>
              <w:rPr>
                <w:rFonts w:ascii="Times New Roman" w:hAnsi="Times New Roman"/>
                <w:sz w:val="16"/>
              </w:rPr>
              <w:t>Noah Reed</w:t>
            </w:r>
          </w:p>
        </w:tc>
        <w:tc>
          <w:tcPr>
            <w:tcW w:type="dxa" w:w="3853"/>
            <w:vAlign w:val="center"/>
            <w:tcMar>
              <w:top w:w="80" w:type="dxa"/>
              <w:start w:w="100" w:type="dxa"/>
              <w:bottom w:w="80" w:type="dxa"/>
              <w:end w:w="100" w:type="dxa"/>
            </w:tcMar>
          </w:tcPr>
          <w:p>
            <w:pPr>
              <w:keepNext w:val="0"/>
              <w:spacing w:after="0"/>
            </w:pPr>
            <w:r>
              <w:rPr>
                <w:rFonts w:ascii="Times New Roman" w:hAnsi="Times New Roman"/>
                <w:sz w:val="16"/>
              </w:rPr>
              <w:t>Chemical Handling Permit</w:t>
            </w:r>
          </w:p>
        </w:tc>
        <w:tc>
          <w:tcPr>
            <w:tcW w:type="dxa" w:w="256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605"/>
            <w:vAlign w:val="center"/>
            <w:tcMar>
              <w:top w:w="80" w:type="dxa"/>
              <w:start w:w="100" w:type="dxa"/>
              <w:bottom w:w="80" w:type="dxa"/>
              <w:end w:w="100" w:type="dxa"/>
            </w:tcMar>
          </w:tcPr>
          <w:p>
            <w:pPr>
              <w:keepNext w:val="0"/>
              <w:spacing w:after="0"/>
            </w:pPr>
            <w:r>
              <w:rPr>
                <w:rFonts w:ascii="Times New Roman" w:hAnsi="Times New Roman"/>
                <w:sz w:val="16"/>
              </w:rPr>
              <w:t>2026-12-27</w:t>
            </w:r>
          </w:p>
        </w:tc>
        <w:tc>
          <w:tcPr>
            <w:tcW w:type="dxa" w:w="2408"/>
            <w:vAlign w:val="center"/>
            <w:tcMar>
              <w:top w:w="80" w:type="dxa"/>
              <w:start w:w="100" w:type="dxa"/>
              <w:bottom w:w="80" w:type="dxa"/>
              <w:end w:w="100" w:type="dxa"/>
            </w:tcMar>
          </w:tcPr>
          <w:p>
            <w:pPr>
              <w:keepNext w:val="0"/>
              <w:spacing w:after="0"/>
            </w:pPr>
            <w:r>
              <w:rPr>
                <w:rFonts w:ascii="Times New Roman" w:hAnsi="Times New Roman"/>
                <w:sz w:val="16"/>
              </w:rPr>
              <w:t>80</w:t>
            </w:r>
          </w:p>
        </w:tc>
      </w:tr>
    </w:tbl>
    <w:p>
      <w:pPr>
        <w:spacing w:after="0"/>
      </w:pPr>
    </w:p>
    <w:p>
      <w:pPr>
        <w:keepNext/>
        <w:jc w:val="center"/>
      </w:pPr>
      <w:r>
        <w:drawing>
          <wp:inline xmlns:a="http://schemas.openxmlformats.org/drawingml/2006/main" xmlns:pic="http://schemas.openxmlformats.org/drawingml/2006/picture">
            <wp:extent cx="6945421" cy="4937760"/>
            <wp:docPr id="27" name="Picture 27"/>
            <wp:cNvGraphicFramePr>
              <a:graphicFrameLocks noChangeAspect="1"/>
            </wp:cNvGraphicFramePr>
            <a:graphic>
              <a:graphicData uri="http://schemas.openxmlformats.org/drawingml/2006/picture">
                <pic:pic>
                  <pic:nvPicPr>
                    <pic:cNvPr id="0" name="query05-30days.png"/>
                    <pic:cNvPicPr/>
                  </pic:nvPicPr>
                  <pic:blipFill>
                    <a:blip r:embed="rId33"/>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5: genuine Workbench query05-30days, combined supplied + test database, 2026-10-08</w:t>
      </w:r>
    </w:p>
    <w:p>
      <w:pPr>
        <w:keepNext/>
        <w:jc w:val="center"/>
      </w:pPr>
      <w:r>
        <w:drawing>
          <wp:inline xmlns:a="http://schemas.openxmlformats.org/drawingml/2006/main" xmlns:pic="http://schemas.openxmlformats.org/drawingml/2006/picture">
            <wp:extent cx="6945421" cy="4937760"/>
            <wp:docPr id="28" name="Picture 28"/>
            <wp:cNvGraphicFramePr>
              <a:graphicFrameLocks noChangeAspect="1"/>
            </wp:cNvGraphicFramePr>
            <a:graphic>
              <a:graphicData uri="http://schemas.openxmlformats.org/drawingml/2006/picture">
                <pic:pic>
                  <pic:nvPicPr>
                    <pic:cNvPr id="0" name="query05-90days.png"/>
                    <pic:cNvPicPr/>
                  </pic:nvPicPr>
                  <pic:blipFill>
                    <a:blip r:embed="rId34"/>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5: genuine Workbench query05-90days, combined supplied + test database, 2026-10-08</w:t>
      </w:r>
    </w:p>
    <w:p>
      <w:pPr>
        <w:pStyle w:val="Heading2"/>
      </w:pPr>
      <w:r>
        <w:t>Query 6 — Open corrective actions View and EXPLAIN</w:t>
      </w:r>
    </w:p>
    <w:p>
      <w:pPr>
        <w:pStyle w:val="Heading3"/>
      </w:pPr>
      <w:r>
        <w:t>How the query works</w:t>
      </w:r>
    </w:p>
    <w:p>
      <w:pPr>
        <w:widowControl/>
      </w:pPr>
      <w:r>
        <w:rPr>
          <w:rFonts w:ascii="Times New Roman" w:hAnsi="Times New Roman"/>
          <w:i w:val="0"/>
          <w:sz w:val="24"/>
        </w:rPr>
        <w:t>openincidentaction joins correctiveaction, incident, operationalarea and the responsible employee. It excludes COMPLETED and CANCELLED actions and calculates daysOverdue with GREATEST(DATEDIFF(...),0).</w:t>
      </w:r>
    </w:p>
    <w:p>
      <w:pPr>
        <w:widowControl/>
      </w:pPr>
      <w:r>
        <w:rPr>
          <w:rFonts w:ascii="Times New Roman" w:hAnsi="Times New Roman"/>
          <w:i w:val="0"/>
          <w:sz w:val="24"/>
        </w:rPr>
        <w:t>The management query reads the view and orders overdue rows first, then severity, overdue days and target date. EXPLAIN is executed on the same final query to inspect the access plan.</w:t>
      </w:r>
    </w:p>
    <w:p>
      <w:pPr>
        <w:pStyle w:val="Heading3"/>
      </w:pPr>
      <w:r>
        <w:t>Business use and action</w:t>
      </w:r>
    </w:p>
    <w:p>
      <w:pPr>
        <w:widowControl/>
      </w:pPr>
      <w:r>
        <w:rPr>
          <w:rFonts w:ascii="Times New Roman" w:hAnsi="Times New Roman"/>
          <w:i w:val="0"/>
          <w:sz w:val="24"/>
        </w:rPr>
        <w:t>The Safety Officer and managers use this list to prevent corrective actions from disappearing after an incident is recorded. Overdue actions should be escalated; high-severity actions approaching their target date should be resourced before they become overdue.</w:t>
      </w:r>
    </w:p>
    <w:p>
      <w:pPr>
        <w:pStyle w:val="Heading3"/>
      </w:pPr>
      <w:r>
        <w:t>Actual result — frozen MySQL 8.4.11 build, 2026-10-08</w:t>
      </w:r>
    </w:p>
    <w:p>
      <w:pPr>
        <w:widowControl/>
      </w:pPr>
      <w:r>
        <w:rPr>
          <w:rFonts w:ascii="Times New Roman" w:hAnsi="Times New Roman"/>
          <w:i w:val="0"/>
          <w:sz w:val="24"/>
        </w:rPr>
        <w:t>Two actions remain open:</w:t>
      </w:r>
    </w:p>
    <w:p>
      <w:pPr>
        <w:widowControl/>
      </w:pPr>
      <w:r>
        <w:rPr>
          <w:rFonts w:ascii="Times New Roman" w:hAnsi="Times New Roman"/>
          <w:i w:val="0"/>
          <w:sz w:val="24"/>
        </w:rPr>
        <w:t>- ACTN0001: 5 days overdue, Low-severity incident, status INPROGRESS.</w:t>
      </w:r>
    </w:p>
    <w:p>
      <w:pPr>
        <w:widowControl/>
      </w:pPr>
      <w:r>
        <w:rPr>
          <w:rFonts w:ascii="Times New Roman" w:hAnsi="Times New Roman"/>
          <w:i w:val="0"/>
          <w:sz w:val="24"/>
        </w:rPr>
        <w:t>- ACTN0002: not overdue (target in 14 days), High-severity incident, status OPEN.</w:t>
      </w:r>
    </w:p>
    <w:p>
      <w:pPr>
        <w:widowControl/>
      </w:pPr>
      <w:r>
        <w:rPr>
          <w:rFonts w:ascii="Times New Roman" w:hAnsi="Times New Roman"/>
          <w:i w:val="0"/>
          <w:sz w:val="24"/>
        </w:rPr>
        <w:t>The ordering places ACTN0001 first because it is already overdue. ACTN0002 still deserves attention because the underlying incident severity is High.</w:t>
      </w:r>
    </w:p>
    <w:p>
      <w:pPr>
        <w:pStyle w:val="Heading3"/>
      </w:pPr>
      <w:r>
        <w:t>EXPLAIN interpretation</w:t>
      </w:r>
    </w:p>
    <w:p>
      <w:pPr>
        <w:widowControl/>
      </w:pPr>
      <w:r>
        <w:rPr>
          <w:rFonts w:ascii="Times New Roman" w:hAnsi="Times New Roman"/>
          <w:i w:val="0"/>
          <w:sz w:val="24"/>
        </w:rPr>
        <w:t>The final Workbench and matching CLI EXPLAIN on 2026-10-08 starts with incident (i): ALL, estimated 3 rows, using temporary/filesort. correctiveaction (ca) uses ref on fk_action_incident, estimated 1 row and 66.67% filtered, using where. operationalarea and employee use eq_ref primary-key lookups, estimated 1 row. The plan remains ALL/ref/eq_ref after the combined-data rebuild. It does not establish production performance. Final screenshots and verification/final-query-results/06_openactions.tsv show the same plan.</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Open-action status needs timely updates; small-fixture EXPLAIN does not establish production performance.</w:t>
            </w:r>
          </w:p>
        </w:tc>
      </w:tr>
    </w:tbl>
    <w:p>
      <w:pPr>
        <w:spacing w:after="0"/>
      </w:pPr>
    </w:p>
    <w:p>
      <w:pPr>
        <w:spacing w:after="60"/>
      </w:pPr>
      <w:r>
        <w:rPr>
          <w:rFonts w:ascii="Times New Roman" w:hAnsi="Times New Roman"/>
          <w:b/>
          <w:color w:val="5B6573"/>
          <w:sz w:val="18"/>
        </w:rPr>
        <w:t>Query 6 SQL</w:t>
      </w:r>
    </w:p>
    <w:p>
      <w:pPr>
        <w:spacing w:after="120"/>
        <w:ind w:left="173" w:right="173"/>
        <w:shd w:fill="F2F4F7"/>
      </w:pPr>
      <w:r>
        <w:rPr>
          <w:rFonts w:ascii="Menlo" w:hAnsi="Menlo"/>
          <w:color w:val="111827"/>
          <w:sz w:val="15"/>
        </w:rPr>
        <w:t>USE cloudrestwines;</w:t>
        <w:br/>
        <w:t>-- View-based management query: prioritise overdue and high-severity corrective actions.</w:t>
        <w:br/>
        <w:t>SELECT correctiveActionId, incidentId, incidentDateTime, severity, areaName,</w:t>
        <w:br/>
        <w:t xml:space="preserve">       actionDescription, responsibleEmployee, targetDate, daysOverdue, actionStatus</w:t>
        <w:br/>
        <w:t>FROM openincidentaction</w:t>
        <w:br/>
        <w:t>ORDER BY (daysOverdue &gt; 0) DESC,</w:t>
        <w:br/>
        <w:t xml:space="preserve">         FIELD(severity,'CRITICAL','HIGH','MODERATE','LOW'),</w:t>
        <w:br/>
        <w:t xml:space="preserve">         daysOverdue DESC, targetDate;</w:t>
        <w:br/>
        <w:br/>
        <w:t>EXPLAIN</w:t>
        <w:br/>
        <w:t>SELECT correctiveActionId, incidentId, incidentDateTime, severity, areaName,</w:t>
        <w:br/>
        <w:t xml:space="preserve">       actionDescription, responsibleEmployee, targetDate, daysOverdue, actionStatus</w:t>
        <w:br/>
        <w:t>FROM openincidentaction</w:t>
        <w:br/>
        <w:t>ORDER BY (daysOverdue &gt; 0) DESC,</w:t>
        <w:br/>
        <w:t xml:space="preserve">         FIELD(severity,'CRITICAL','HIGH','MODERATE','LOW'),</w:t>
        <w:br/>
        <w:t xml:space="preserve">         daysOverdue DESC, targetDate;</w:t>
      </w:r>
    </w:p>
    <w:p>
      <w:pPr>
        <w:widowControl/>
      </w:pPr>
      <w:r>
        <w:rPr>
          <w:rFonts w:ascii="Times New Roman" w:hAnsi="Times New Roman"/>
          <w:i w:val="0"/>
          <w:sz w:val="24"/>
        </w:rPr>
        <w:t>Query 6: actual MySQL 8.4.11 output, 2026-10-08. Combined supplied + test database; HR results use synthetic assessment records.</w:t>
      </w:r>
    </w:p>
    <w:tbl>
      <w:tblPr>
        <w:tblStyle w:val="TableGrid"/>
        <w:tblW w:type="dxa" w:w="13964"/>
        <w:tblLayout w:type="fixed"/>
        <w:tblLook w:firstColumn="1" w:firstRow="1" w:lastColumn="0" w:lastRow="0" w:noHBand="0" w:noVBand="1" w:val="04A0"/>
        <w:tblInd w:w="120" w:type="dxa"/>
      </w:tblPr>
      <w:tblGrid>
        <w:gridCol w:w="1571"/>
        <w:gridCol w:w="873"/>
        <w:gridCol w:w="1658"/>
        <w:gridCol w:w="698"/>
        <w:gridCol w:w="698"/>
        <w:gridCol w:w="3928"/>
        <w:gridCol w:w="1658"/>
        <w:gridCol w:w="873"/>
        <w:gridCol w:w="960"/>
        <w:gridCol w:w="1047"/>
      </w:tblGrid>
      <w:tr>
        <w:trPr>
          <w:tblHeader w:val="true"/>
          <w:cantSplit/>
        </w:trPr>
        <w:tc>
          <w:tcPr>
            <w:tcW w:type="dxa" w:w="1571"/>
            <w:shd w:fill="DCE6F1"/>
            <w:vAlign w:val="center"/>
            <w:tcMar>
              <w:top w:w="80" w:type="dxa"/>
              <w:start w:w="100" w:type="dxa"/>
              <w:bottom w:w="80" w:type="dxa"/>
              <w:end w:w="100" w:type="dxa"/>
            </w:tcMar>
          </w:tcPr>
          <w:p>
            <w:pPr>
              <w:keepNext/>
              <w:jc w:val="center"/>
            </w:pPr>
            <w:r>
              <w:rPr>
                <w:rFonts w:ascii="Times New Roman" w:hAnsi="Times New Roman"/>
                <w:b/>
                <w:color w:val="1F2937"/>
                <w:sz w:val="16"/>
              </w:rPr>
              <w:t>correctiveActionId</w:t>
            </w:r>
          </w:p>
        </w:tc>
        <w:tc>
          <w:tcPr>
            <w:tcW w:type="dxa" w:w="873"/>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incidentId</w:t>
            </w:r>
          </w:p>
        </w:tc>
        <w:tc>
          <w:tcPr>
            <w:tcW w:type="dxa" w:w="1658"/>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incidentDateTime</w:t>
            </w:r>
          </w:p>
        </w:tc>
        <w:tc>
          <w:tcPr>
            <w:tcW w:type="dxa" w:w="698"/>
            <w:shd w:fill="DCE6F1"/>
            <w:vAlign w:val="center"/>
            <w:tcMar>
              <w:top w:w="80" w:type="dxa"/>
              <w:start w:w="100" w:type="dxa"/>
              <w:bottom w:w="80" w:type="dxa"/>
              <w:end w:w="100" w:type="dxa"/>
            </w:tcMar>
          </w:tcPr>
          <w:p>
            <w:pPr>
              <w:keepNext/>
              <w:jc w:val="center"/>
            </w:pPr>
            <w:r>
              <w:rPr>
                <w:rFonts w:ascii="Times New Roman" w:hAnsi="Times New Roman"/>
                <w:b/>
                <w:color w:val="1F2937"/>
                <w:sz w:val="16"/>
              </w:rPr>
              <w:t>severity</w:t>
            </w:r>
          </w:p>
        </w:tc>
        <w:tc>
          <w:tcPr>
            <w:tcW w:type="dxa" w:w="698"/>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3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actionDescription</w:t>
            </w:r>
          </w:p>
        </w:tc>
        <w:tc>
          <w:tcPr>
            <w:tcW w:type="dxa" w:w="165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responsibleEmployee</w:t>
            </w:r>
          </w:p>
        </w:tc>
        <w:tc>
          <w:tcPr>
            <w:tcW w:type="dxa" w:w="873"/>
            <w:shd w:fill="DCE6F1"/>
            <w:vAlign w:val="center"/>
            <w:tcMar>
              <w:top w:w="80" w:type="dxa"/>
              <w:start w:w="100" w:type="dxa"/>
              <w:bottom w:w="80" w:type="dxa"/>
              <w:end w:w="100" w:type="dxa"/>
            </w:tcMar>
          </w:tcPr>
          <w:p>
            <w:pPr>
              <w:keepNext/>
              <w:jc w:val="center"/>
            </w:pPr>
            <w:r>
              <w:rPr>
                <w:rFonts w:ascii="Times New Roman" w:hAnsi="Times New Roman"/>
                <w:b/>
                <w:color w:val="1F2937"/>
                <w:sz w:val="16"/>
              </w:rPr>
              <w:t>targetDate</w:t>
            </w:r>
          </w:p>
        </w:tc>
        <w:tc>
          <w:tcPr>
            <w:tcW w:type="dxa" w:w="960"/>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daysOverdue</w:t>
            </w:r>
          </w:p>
        </w:tc>
        <w:tc>
          <w:tcPr>
            <w:tcW w:type="dxa" w:w="1047"/>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actionStatus</w:t>
            </w:r>
          </w:p>
        </w:tc>
      </w:tr>
      <w:tr>
        <w:trPr>
          <w:cantSplit/>
        </w:trPr>
        <w:tc>
          <w:tcPr>
            <w:tcW w:type="dxa" w:w="1571"/>
            <w:vAlign w:val="center"/>
            <w:tcMar>
              <w:top w:w="80" w:type="dxa"/>
              <w:start w:w="100" w:type="dxa"/>
              <w:bottom w:w="80" w:type="dxa"/>
              <w:end w:w="100" w:type="dxa"/>
            </w:tcMar>
          </w:tcPr>
          <w:p>
            <w:pPr>
              <w:keepNext/>
              <w:spacing w:after="0"/>
            </w:pPr>
            <w:r>
              <w:rPr>
                <w:rFonts w:ascii="Times New Roman" w:hAnsi="Times New Roman"/>
                <w:sz w:val="16"/>
              </w:rPr>
              <w:t>ACTN0001</w:t>
            </w:r>
          </w:p>
        </w:tc>
        <w:tc>
          <w:tcPr>
            <w:tcW w:type="dxa" w:w="873"/>
            <w:vAlign w:val="center"/>
            <w:tcMar>
              <w:top w:w="80" w:type="dxa"/>
              <w:start w:w="100" w:type="dxa"/>
              <w:bottom w:w="80" w:type="dxa"/>
              <w:end w:w="100" w:type="dxa"/>
            </w:tcMar>
          </w:tcPr>
          <w:p>
            <w:pPr>
              <w:keepNext/>
              <w:spacing w:after="0"/>
            </w:pPr>
            <w:r>
              <w:rPr>
                <w:rFonts w:ascii="Times New Roman" w:hAnsi="Times New Roman"/>
                <w:sz w:val="16"/>
              </w:rPr>
              <w:t>INCD0001</w:t>
            </w:r>
          </w:p>
        </w:tc>
        <w:tc>
          <w:tcPr>
            <w:tcW w:type="dxa" w:w="1658"/>
            <w:vAlign w:val="center"/>
            <w:tcMar>
              <w:top w:w="80" w:type="dxa"/>
              <w:start w:w="100" w:type="dxa"/>
              <w:bottom w:w="80" w:type="dxa"/>
              <w:end w:w="100" w:type="dxa"/>
            </w:tcMar>
          </w:tcPr>
          <w:p>
            <w:pPr>
              <w:keepNext/>
              <w:spacing w:after="0"/>
            </w:pPr>
            <w:r>
              <w:rPr>
                <w:rFonts w:ascii="Times New Roman" w:hAnsi="Times New Roman"/>
                <w:sz w:val="16"/>
              </w:rPr>
              <w:t>2026-09-18 01:15:05</w:t>
            </w:r>
          </w:p>
        </w:tc>
        <w:tc>
          <w:tcPr>
            <w:tcW w:type="dxa" w:w="698"/>
            <w:vAlign w:val="center"/>
            <w:tcMar>
              <w:top w:w="80" w:type="dxa"/>
              <w:start w:w="100" w:type="dxa"/>
              <w:bottom w:w="80" w:type="dxa"/>
              <w:end w:w="100" w:type="dxa"/>
            </w:tcMar>
          </w:tcPr>
          <w:p>
            <w:pPr>
              <w:keepNext/>
              <w:spacing w:after="0"/>
            </w:pPr>
            <w:r>
              <w:rPr>
                <w:rFonts w:ascii="Times New Roman" w:hAnsi="Times New Roman"/>
                <w:sz w:val="16"/>
              </w:rPr>
              <w:t>LOW</w:t>
            </w:r>
          </w:p>
        </w:tc>
        <w:tc>
          <w:tcPr>
            <w:tcW w:type="dxa" w:w="698"/>
            <w:vAlign w:val="center"/>
            <w:tcMar>
              <w:top w:w="80" w:type="dxa"/>
              <w:start w:w="100" w:type="dxa"/>
              <w:bottom w:w="80" w:type="dxa"/>
              <w:end w:w="100" w:type="dxa"/>
            </w:tcMar>
          </w:tcPr>
          <w:p>
            <w:pPr>
              <w:keepNext/>
              <w:spacing w:after="0"/>
            </w:pPr>
            <w:r>
              <w:rPr>
                <w:rFonts w:ascii="Times New Roman" w:hAnsi="Times New Roman"/>
                <w:sz w:val="16"/>
              </w:rPr>
              <w:t>Vineyard</w:t>
            </w:r>
          </w:p>
        </w:tc>
        <w:tc>
          <w:tcPr>
            <w:tcW w:type="dxa" w:w="3928"/>
            <w:vAlign w:val="center"/>
            <w:tcMar>
              <w:top w:w="80" w:type="dxa"/>
              <w:start w:w="100" w:type="dxa"/>
              <w:bottom w:w="80" w:type="dxa"/>
              <w:end w:w="100" w:type="dxa"/>
            </w:tcMar>
          </w:tcPr>
          <w:p>
            <w:pPr>
              <w:keepNext/>
              <w:spacing w:after="0"/>
            </w:pPr>
            <w:r>
              <w:rPr>
                <w:rFonts w:ascii="Times New Roman" w:hAnsi="Times New Roman"/>
                <w:sz w:val="16"/>
              </w:rPr>
              <w:t>Install anti-slip surface and revise harvest briefing</w:t>
            </w:r>
          </w:p>
        </w:tc>
        <w:tc>
          <w:tcPr>
            <w:tcW w:type="dxa" w:w="1658"/>
            <w:vAlign w:val="center"/>
            <w:tcMar>
              <w:top w:w="80" w:type="dxa"/>
              <w:start w:w="100" w:type="dxa"/>
              <w:bottom w:w="80" w:type="dxa"/>
              <w:end w:w="100" w:type="dxa"/>
            </w:tcMar>
          </w:tcPr>
          <w:p>
            <w:pPr>
              <w:keepNext/>
              <w:spacing w:after="0"/>
            </w:pPr>
            <w:r>
              <w:rPr>
                <w:rFonts w:ascii="Times New Roman" w:hAnsi="Times New Roman"/>
                <w:sz w:val="16"/>
              </w:rPr>
              <w:t>Ethan Brown</w:t>
            </w:r>
          </w:p>
        </w:tc>
        <w:tc>
          <w:tcPr>
            <w:tcW w:type="dxa" w:w="873"/>
            <w:vAlign w:val="center"/>
            <w:tcMar>
              <w:top w:w="80" w:type="dxa"/>
              <w:start w:w="100" w:type="dxa"/>
              <w:bottom w:w="80" w:type="dxa"/>
              <w:end w:w="100" w:type="dxa"/>
            </w:tcMar>
          </w:tcPr>
          <w:p>
            <w:pPr>
              <w:keepNext/>
              <w:spacing w:after="0"/>
            </w:pPr>
            <w:r>
              <w:rPr>
                <w:rFonts w:ascii="Times New Roman" w:hAnsi="Times New Roman"/>
                <w:sz w:val="16"/>
              </w:rPr>
              <w:t>2026-10-03</w:t>
            </w:r>
          </w:p>
        </w:tc>
        <w:tc>
          <w:tcPr>
            <w:tcW w:type="dxa" w:w="960"/>
            <w:vAlign w:val="center"/>
            <w:tcMar>
              <w:top w:w="80" w:type="dxa"/>
              <w:start w:w="100" w:type="dxa"/>
              <w:bottom w:w="80" w:type="dxa"/>
              <w:end w:w="100" w:type="dxa"/>
            </w:tcMar>
          </w:tcPr>
          <w:p>
            <w:pPr>
              <w:keepNext/>
              <w:spacing w:after="0"/>
            </w:pPr>
            <w:r>
              <w:rPr>
                <w:rFonts w:ascii="Times New Roman" w:hAnsi="Times New Roman"/>
                <w:sz w:val="16"/>
              </w:rPr>
              <w:t>5</w:t>
            </w:r>
          </w:p>
        </w:tc>
        <w:tc>
          <w:tcPr>
            <w:tcW w:type="dxa" w:w="1047"/>
            <w:vAlign w:val="center"/>
            <w:tcMar>
              <w:top w:w="80" w:type="dxa"/>
              <w:start w:w="100" w:type="dxa"/>
              <w:bottom w:w="80" w:type="dxa"/>
              <w:end w:w="100" w:type="dxa"/>
            </w:tcMar>
          </w:tcPr>
          <w:p>
            <w:pPr>
              <w:keepNext/>
              <w:spacing w:after="0"/>
            </w:pPr>
            <w:r>
              <w:rPr>
                <w:rFonts w:ascii="Times New Roman" w:hAnsi="Times New Roman"/>
                <w:sz w:val="16"/>
              </w:rPr>
              <w:t>INPROGRESS</w:t>
            </w:r>
          </w:p>
        </w:tc>
      </w:tr>
      <w:tr>
        <w:trPr>
          <w:cantSplit/>
        </w:trPr>
        <w:tc>
          <w:tcPr>
            <w:tcW w:type="dxa" w:w="1571"/>
            <w:vAlign w:val="center"/>
            <w:tcMar>
              <w:top w:w="80" w:type="dxa"/>
              <w:start w:w="100" w:type="dxa"/>
              <w:bottom w:w="80" w:type="dxa"/>
              <w:end w:w="100" w:type="dxa"/>
            </w:tcMar>
          </w:tcPr>
          <w:p>
            <w:pPr>
              <w:keepNext w:val="0"/>
              <w:spacing w:after="0"/>
            </w:pPr>
            <w:r>
              <w:rPr>
                <w:rFonts w:ascii="Times New Roman" w:hAnsi="Times New Roman"/>
                <w:sz w:val="16"/>
              </w:rPr>
              <w:t>ACTN0002</w:t>
            </w:r>
          </w:p>
        </w:tc>
        <w:tc>
          <w:tcPr>
            <w:tcW w:type="dxa" w:w="873"/>
            <w:vAlign w:val="center"/>
            <w:tcMar>
              <w:top w:w="80" w:type="dxa"/>
              <w:start w:w="100" w:type="dxa"/>
              <w:bottom w:w="80" w:type="dxa"/>
              <w:end w:w="100" w:type="dxa"/>
            </w:tcMar>
          </w:tcPr>
          <w:p>
            <w:pPr>
              <w:keepNext w:val="0"/>
              <w:spacing w:after="0"/>
            </w:pPr>
            <w:r>
              <w:rPr>
                <w:rFonts w:ascii="Times New Roman" w:hAnsi="Times New Roman"/>
                <w:sz w:val="16"/>
              </w:rPr>
              <w:t>INCD0002</w:t>
            </w:r>
          </w:p>
        </w:tc>
        <w:tc>
          <w:tcPr>
            <w:tcW w:type="dxa" w:w="1658"/>
            <w:vAlign w:val="center"/>
            <w:tcMar>
              <w:top w:w="80" w:type="dxa"/>
              <w:start w:w="100" w:type="dxa"/>
              <w:bottom w:w="80" w:type="dxa"/>
              <w:end w:w="100" w:type="dxa"/>
            </w:tcMar>
          </w:tcPr>
          <w:p>
            <w:pPr>
              <w:keepNext w:val="0"/>
              <w:spacing w:after="0"/>
            </w:pPr>
            <w:r>
              <w:rPr>
                <w:rFonts w:ascii="Times New Roman" w:hAnsi="Times New Roman"/>
                <w:sz w:val="16"/>
              </w:rPr>
              <w:t>2026-09-28 01:15:05</w:t>
            </w:r>
          </w:p>
        </w:tc>
        <w:tc>
          <w:tcPr>
            <w:tcW w:type="dxa" w:w="698"/>
            <w:vAlign w:val="center"/>
            <w:tcMar>
              <w:top w:w="80" w:type="dxa"/>
              <w:start w:w="100" w:type="dxa"/>
              <w:bottom w:w="80" w:type="dxa"/>
              <w:end w:w="100" w:type="dxa"/>
            </w:tcMar>
          </w:tcPr>
          <w:p>
            <w:pPr>
              <w:keepNext w:val="0"/>
              <w:spacing w:after="0"/>
            </w:pPr>
            <w:r>
              <w:rPr>
                <w:rFonts w:ascii="Times New Roman" w:hAnsi="Times New Roman"/>
                <w:sz w:val="16"/>
              </w:rPr>
              <w:t>HIGH</w:t>
            </w:r>
          </w:p>
        </w:tc>
        <w:tc>
          <w:tcPr>
            <w:tcW w:type="dxa" w:w="698"/>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3928"/>
            <w:vAlign w:val="center"/>
            <w:tcMar>
              <w:top w:w="80" w:type="dxa"/>
              <w:start w:w="100" w:type="dxa"/>
              <w:bottom w:w="80" w:type="dxa"/>
              <w:end w:w="100" w:type="dxa"/>
            </w:tcMar>
          </w:tcPr>
          <w:p>
            <w:pPr>
              <w:keepNext w:val="0"/>
              <w:spacing w:after="0"/>
            </w:pPr>
            <w:r>
              <w:rPr>
                <w:rFonts w:ascii="Times New Roman" w:hAnsi="Times New Roman"/>
                <w:sz w:val="16"/>
              </w:rPr>
              <w:t>Introduce mechanical lifting aid and refresher training</w:t>
            </w:r>
          </w:p>
        </w:tc>
        <w:tc>
          <w:tcPr>
            <w:tcW w:type="dxa" w:w="1658"/>
            <w:vAlign w:val="center"/>
            <w:tcMar>
              <w:top w:w="80" w:type="dxa"/>
              <w:start w:w="100" w:type="dxa"/>
              <w:bottom w:w="80" w:type="dxa"/>
              <w:end w:w="100" w:type="dxa"/>
            </w:tcMar>
          </w:tcPr>
          <w:p>
            <w:pPr>
              <w:keepNext w:val="0"/>
              <w:spacing w:after="0"/>
            </w:pPr>
            <w:r>
              <w:rPr>
                <w:rFonts w:ascii="Times New Roman" w:hAnsi="Times New Roman"/>
                <w:sz w:val="16"/>
              </w:rPr>
              <w:t>Ethan Brown</w:t>
            </w:r>
          </w:p>
        </w:tc>
        <w:tc>
          <w:tcPr>
            <w:tcW w:type="dxa" w:w="873"/>
            <w:vAlign w:val="center"/>
            <w:tcMar>
              <w:top w:w="80" w:type="dxa"/>
              <w:start w:w="100" w:type="dxa"/>
              <w:bottom w:w="80" w:type="dxa"/>
              <w:end w:w="100" w:type="dxa"/>
            </w:tcMar>
          </w:tcPr>
          <w:p>
            <w:pPr>
              <w:keepNext w:val="0"/>
              <w:spacing w:after="0"/>
            </w:pPr>
            <w:r>
              <w:rPr>
                <w:rFonts w:ascii="Times New Roman" w:hAnsi="Times New Roman"/>
                <w:sz w:val="16"/>
              </w:rPr>
              <w:t>2026-10-22</w:t>
            </w:r>
          </w:p>
        </w:tc>
        <w:tc>
          <w:tcPr>
            <w:tcW w:type="dxa" w:w="960"/>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047"/>
            <w:vAlign w:val="center"/>
            <w:tcMar>
              <w:top w:w="80" w:type="dxa"/>
              <w:start w:w="100" w:type="dxa"/>
              <w:bottom w:w="80" w:type="dxa"/>
              <w:end w:w="100" w:type="dxa"/>
            </w:tcMar>
          </w:tcPr>
          <w:p>
            <w:pPr>
              <w:keepNext w:val="0"/>
              <w:spacing w:after="0"/>
            </w:pPr>
            <w:r>
              <w:rPr>
                <w:rFonts w:ascii="Times New Roman" w:hAnsi="Times New Roman"/>
                <w:sz w:val="16"/>
              </w:rPr>
              <w:t>OPEN</w:t>
            </w:r>
          </w:p>
        </w:tc>
      </w:tr>
    </w:tbl>
    <w:p>
      <w:pPr>
        <w:spacing w:after="0"/>
      </w:pPr>
    </w:p>
    <w:tbl>
      <w:tblPr>
        <w:tblStyle w:val="TableGrid"/>
        <w:tblW w:type="dxa" w:w="13962"/>
        <w:tblLayout w:type="fixed"/>
        <w:tblLook w:firstColumn="1" w:firstRow="1" w:lastColumn="0" w:lastRow="0" w:noHBand="0" w:noVBand="1" w:val="04A0"/>
        <w:tblInd w:w="120" w:type="dxa"/>
      </w:tblPr>
      <w:tblGrid>
        <w:gridCol w:w="150"/>
        <w:gridCol w:w="826"/>
        <w:gridCol w:w="375"/>
        <w:gridCol w:w="750"/>
        <w:gridCol w:w="450"/>
        <w:gridCol w:w="3379"/>
        <w:gridCol w:w="1351"/>
        <w:gridCol w:w="525"/>
        <w:gridCol w:w="2928"/>
        <w:gridCol w:w="300"/>
        <w:gridCol w:w="600"/>
        <w:gridCol w:w="2328"/>
      </w:tblGrid>
      <w:tr>
        <w:trPr>
          <w:tblHeader w:val="true"/>
          <w:cantSplit/>
        </w:trPr>
        <w:tc>
          <w:tcPr>
            <w:tcW w:type="dxa" w:w="150"/>
            <w:shd w:fill="DCE6F1"/>
            <w:vAlign w:val="center"/>
            <w:tcMar>
              <w:top w:w="80" w:type="dxa"/>
              <w:start w:w="100" w:type="dxa"/>
              <w:bottom w:w="80" w:type="dxa"/>
              <w:end w:w="100" w:type="dxa"/>
            </w:tcMar>
          </w:tcPr>
          <w:p>
            <w:pPr>
              <w:keepNext/>
              <w:jc w:val="center"/>
            </w:pPr>
            <w:r>
              <w:rPr>
                <w:rFonts w:ascii="Times New Roman" w:hAnsi="Times New Roman"/>
                <w:b/>
                <w:color w:val="1F2937"/>
                <w:sz w:val="16"/>
              </w:rPr>
              <w:t>id</w:t>
            </w:r>
          </w:p>
        </w:tc>
        <w:tc>
          <w:tcPr>
            <w:tcW w:type="dxa" w:w="826"/>
            <w:shd w:fill="DCE6F1"/>
            <w:vAlign w:val="center"/>
            <w:tcMar>
              <w:top w:w="80" w:type="dxa"/>
              <w:start w:w="100" w:type="dxa"/>
              <w:bottom w:w="80" w:type="dxa"/>
              <w:end w:w="100" w:type="dxa"/>
            </w:tcMar>
          </w:tcPr>
          <w:p>
            <w:pPr>
              <w:keepNext/>
              <w:jc w:val="center"/>
            </w:pPr>
            <w:r>
              <w:rPr>
                <w:rFonts w:ascii="Times New Roman" w:hAnsi="Times New Roman"/>
                <w:b/>
                <w:color w:val="1F2937"/>
                <w:sz w:val="16"/>
              </w:rPr>
              <w:t>select_type</w:t>
            </w:r>
          </w:p>
        </w:tc>
        <w:tc>
          <w:tcPr>
            <w:tcW w:type="dxa" w:w="375"/>
            <w:shd w:fill="DCE6F1"/>
            <w:vAlign w:val="center"/>
            <w:tcMar>
              <w:top w:w="80" w:type="dxa"/>
              <w:start w:w="100" w:type="dxa"/>
              <w:bottom w:w="80" w:type="dxa"/>
              <w:end w:w="100" w:type="dxa"/>
            </w:tcMar>
          </w:tcPr>
          <w:p>
            <w:pPr>
              <w:keepNext/>
              <w:jc w:val="center"/>
            </w:pPr>
            <w:r>
              <w:rPr>
                <w:rFonts w:ascii="Times New Roman" w:hAnsi="Times New Roman"/>
                <w:b/>
                <w:color w:val="1F2937"/>
                <w:sz w:val="16"/>
              </w:rPr>
              <w:t>table</w:t>
            </w:r>
          </w:p>
        </w:tc>
        <w:tc>
          <w:tcPr>
            <w:tcW w:type="dxa" w:w="750"/>
            <w:shd w:fill="DCE6F1"/>
            <w:vAlign w:val="center"/>
            <w:tcMar>
              <w:top w:w="80" w:type="dxa"/>
              <w:start w:w="100" w:type="dxa"/>
              <w:bottom w:w="80" w:type="dxa"/>
              <w:end w:w="100" w:type="dxa"/>
            </w:tcMar>
          </w:tcPr>
          <w:p>
            <w:pPr>
              <w:keepNext/>
              <w:jc w:val="center"/>
            </w:pPr>
            <w:r>
              <w:rPr>
                <w:rFonts w:ascii="Times New Roman" w:hAnsi="Times New Roman"/>
                <w:b/>
                <w:color w:val="1F2937"/>
                <w:sz w:val="16"/>
              </w:rPr>
              <w:t>partitions</w:t>
            </w:r>
          </w:p>
        </w:tc>
        <w:tc>
          <w:tcPr>
            <w:tcW w:type="dxa" w:w="450"/>
            <w:shd w:fill="DCE6F1"/>
            <w:vAlign w:val="center"/>
            <w:tcMar>
              <w:top w:w="80" w:type="dxa"/>
              <w:start w:w="100" w:type="dxa"/>
              <w:bottom w:w="80" w:type="dxa"/>
              <w:end w:w="100" w:type="dxa"/>
            </w:tcMar>
          </w:tcPr>
          <w:p>
            <w:pPr>
              <w:keepNext/>
              <w:jc w:val="center"/>
            </w:pPr>
            <w:r>
              <w:rPr>
                <w:rFonts w:ascii="Times New Roman" w:hAnsi="Times New Roman"/>
                <w:b/>
                <w:color w:val="1F2937"/>
                <w:sz w:val="16"/>
              </w:rPr>
              <w:t>type</w:t>
            </w:r>
          </w:p>
        </w:tc>
        <w:tc>
          <w:tcPr>
            <w:tcW w:type="dxa" w:w="3379"/>
            <w:shd w:fill="DCE6F1"/>
            <w:vAlign w:val="center"/>
            <w:tcMar>
              <w:top w:w="80" w:type="dxa"/>
              <w:start w:w="100" w:type="dxa"/>
              <w:bottom w:w="80" w:type="dxa"/>
              <w:end w:w="100" w:type="dxa"/>
            </w:tcMar>
          </w:tcPr>
          <w:p>
            <w:pPr>
              <w:keepNext/>
              <w:jc w:val="center"/>
            </w:pPr>
            <w:r>
              <w:rPr>
                <w:rFonts w:ascii="Times New Roman" w:hAnsi="Times New Roman"/>
                <w:b/>
                <w:color w:val="1F2937"/>
                <w:sz w:val="16"/>
              </w:rPr>
              <w:t>possible_keys</w:t>
            </w:r>
          </w:p>
        </w:tc>
        <w:tc>
          <w:tcPr>
            <w:tcW w:type="dxa" w:w="1351"/>
            <w:shd w:fill="DCE6F1"/>
            <w:vAlign w:val="center"/>
            <w:tcMar>
              <w:top w:w="80" w:type="dxa"/>
              <w:start w:w="100" w:type="dxa"/>
              <w:bottom w:w="80" w:type="dxa"/>
              <w:end w:w="100" w:type="dxa"/>
            </w:tcMar>
          </w:tcPr>
          <w:p>
            <w:pPr>
              <w:keepNext/>
              <w:jc w:val="center"/>
            </w:pPr>
            <w:r>
              <w:rPr>
                <w:rFonts w:ascii="Times New Roman" w:hAnsi="Times New Roman"/>
                <w:b/>
                <w:color w:val="1F2937"/>
                <w:sz w:val="16"/>
              </w:rPr>
              <w:t>key</w:t>
            </w:r>
          </w:p>
        </w:tc>
        <w:tc>
          <w:tcPr>
            <w:tcW w:type="dxa" w:w="525"/>
            <w:shd w:fill="DCE6F1"/>
            <w:vAlign w:val="center"/>
            <w:tcMar>
              <w:top w:w="80" w:type="dxa"/>
              <w:start w:w="100" w:type="dxa"/>
              <w:bottom w:w="80" w:type="dxa"/>
              <w:end w:w="100" w:type="dxa"/>
            </w:tcMar>
          </w:tcPr>
          <w:p>
            <w:pPr>
              <w:keepNext/>
              <w:jc w:val="center"/>
            </w:pPr>
            <w:r>
              <w:rPr>
                <w:rFonts w:ascii="Times New Roman" w:hAnsi="Times New Roman"/>
                <w:b/>
                <w:color w:val="1F2937"/>
                <w:sz w:val="16"/>
              </w:rPr>
              <w:t>key_len</w:t>
            </w:r>
          </w:p>
        </w:tc>
        <w:tc>
          <w:tcPr>
            <w:tcW w:type="dxa" w:w="2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ref</w:t>
            </w:r>
          </w:p>
        </w:tc>
        <w:tc>
          <w:tcPr>
            <w:tcW w:type="dxa" w:w="300"/>
            <w:shd w:fill="DCE6F1"/>
            <w:vAlign w:val="center"/>
            <w:tcMar>
              <w:top w:w="80" w:type="dxa"/>
              <w:start w:w="100" w:type="dxa"/>
              <w:bottom w:w="80" w:type="dxa"/>
              <w:end w:w="100" w:type="dxa"/>
            </w:tcMar>
          </w:tcPr>
          <w:p>
            <w:pPr>
              <w:keepNext/>
              <w:jc w:val="center"/>
            </w:pPr>
            <w:r>
              <w:rPr>
                <w:rFonts w:ascii="Times New Roman" w:hAnsi="Times New Roman"/>
                <w:b/>
                <w:color w:val="1F2937"/>
                <w:sz w:val="16"/>
              </w:rPr>
              <w:t>rows</w:t>
            </w:r>
          </w:p>
        </w:tc>
        <w:tc>
          <w:tcPr>
            <w:tcW w:type="dxa" w:w="600"/>
            <w:shd w:fill="DCE6F1"/>
            <w:vAlign w:val="center"/>
            <w:tcMar>
              <w:top w:w="80" w:type="dxa"/>
              <w:start w:w="100" w:type="dxa"/>
              <w:bottom w:w="80" w:type="dxa"/>
              <w:end w:w="100" w:type="dxa"/>
            </w:tcMar>
          </w:tcPr>
          <w:p>
            <w:pPr>
              <w:keepNext/>
              <w:jc w:val="center"/>
            </w:pPr>
            <w:r>
              <w:rPr>
                <w:rFonts w:ascii="Times New Roman" w:hAnsi="Times New Roman"/>
                <w:b/>
                <w:color w:val="1F2937"/>
                <w:sz w:val="16"/>
              </w:rPr>
              <w:t>filtered</w:t>
            </w:r>
          </w:p>
        </w:tc>
        <w:tc>
          <w:tcPr>
            <w:tcW w:type="dxa" w:w="2328"/>
            <w:shd w:fill="DCE6F1"/>
            <w:vAlign w:val="center"/>
            <w:tcMar>
              <w:top w:w="80" w:type="dxa"/>
              <w:start w:w="100" w:type="dxa"/>
              <w:bottom w:w="80" w:type="dxa"/>
              <w:end w:w="100" w:type="dxa"/>
            </w:tcMar>
          </w:tcPr>
          <w:p>
            <w:pPr>
              <w:keepNext/>
              <w:jc w:val="center"/>
            </w:pPr>
            <w:r>
              <w:rPr>
                <w:rFonts w:ascii="Times New Roman" w:hAnsi="Times New Roman"/>
                <w:b/>
                <w:color w:val="1F2937"/>
                <w:sz w:val="16"/>
              </w:rPr>
              <w:t>Extra</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i</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ALL</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PRIMARY,fk_incident_area</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Using temporary; Using filesort</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ca</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ref</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fk_action_incident,fk_action_employee,idx_action_status_date</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fk_action_incident</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32</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cloudrestwines.i.incidentId</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66.67</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Using where</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oa</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eq_ref</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PRIMARY</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PRIMARY</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24</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cloudrestwines.i.operationalAreaId</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NULL</w:t>
            </w:r>
          </w:p>
        </w:tc>
      </w:tr>
      <w:tr>
        <w:trPr>
          <w:cantSplit/>
        </w:trPr>
        <w:tc>
          <w:tcPr>
            <w:tcW w:type="dxa" w:w="15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val="0"/>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val="0"/>
              <w:spacing w:after="0"/>
            </w:pPr>
            <w:r>
              <w:rPr>
                <w:rFonts w:ascii="Times New Roman" w:hAnsi="Times New Roman"/>
                <w:sz w:val="16"/>
              </w:rPr>
              <w:t>e</w:t>
            </w:r>
          </w:p>
        </w:tc>
        <w:tc>
          <w:tcPr>
            <w:tcW w:type="dxa" w:w="750"/>
            <w:vAlign w:val="center"/>
            <w:tcMar>
              <w:top w:w="80" w:type="dxa"/>
              <w:start w:w="100" w:type="dxa"/>
              <w:bottom w:w="80" w:type="dxa"/>
              <w:end w:w="100" w:type="dxa"/>
            </w:tcMar>
          </w:tcPr>
          <w:p>
            <w:pPr>
              <w:keepNext w:val="0"/>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val="0"/>
              <w:spacing w:after="0"/>
            </w:pPr>
            <w:r>
              <w:rPr>
                <w:rFonts w:ascii="Times New Roman" w:hAnsi="Times New Roman"/>
                <w:sz w:val="16"/>
              </w:rPr>
              <w:t>eq_ref</w:t>
            </w:r>
          </w:p>
        </w:tc>
        <w:tc>
          <w:tcPr>
            <w:tcW w:type="dxa" w:w="3379"/>
            <w:vAlign w:val="center"/>
            <w:tcMar>
              <w:top w:w="80" w:type="dxa"/>
              <w:start w:w="100" w:type="dxa"/>
              <w:bottom w:w="80" w:type="dxa"/>
              <w:end w:w="100" w:type="dxa"/>
            </w:tcMar>
          </w:tcPr>
          <w:p>
            <w:pPr>
              <w:keepNext w:val="0"/>
              <w:spacing w:after="0"/>
            </w:pPr>
            <w:r>
              <w:rPr>
                <w:rFonts w:ascii="Times New Roman" w:hAnsi="Times New Roman"/>
                <w:sz w:val="16"/>
              </w:rPr>
              <w:t>PRIMARY</w:t>
            </w:r>
          </w:p>
        </w:tc>
        <w:tc>
          <w:tcPr>
            <w:tcW w:type="dxa" w:w="1351"/>
            <w:vAlign w:val="center"/>
            <w:tcMar>
              <w:top w:w="80" w:type="dxa"/>
              <w:start w:w="100" w:type="dxa"/>
              <w:bottom w:w="80" w:type="dxa"/>
              <w:end w:w="100" w:type="dxa"/>
            </w:tcMar>
          </w:tcPr>
          <w:p>
            <w:pPr>
              <w:keepNext w:val="0"/>
              <w:spacing w:after="0"/>
            </w:pPr>
            <w:r>
              <w:rPr>
                <w:rFonts w:ascii="Times New Roman" w:hAnsi="Times New Roman"/>
                <w:sz w:val="16"/>
              </w:rPr>
              <w:t>PRIMARY</w:t>
            </w:r>
          </w:p>
        </w:tc>
        <w:tc>
          <w:tcPr>
            <w:tcW w:type="dxa" w:w="525"/>
            <w:vAlign w:val="center"/>
            <w:tcMar>
              <w:top w:w="80" w:type="dxa"/>
              <w:start w:w="100" w:type="dxa"/>
              <w:bottom w:w="80" w:type="dxa"/>
              <w:end w:w="100" w:type="dxa"/>
            </w:tcMar>
          </w:tcPr>
          <w:p>
            <w:pPr>
              <w:keepNext w:val="0"/>
              <w:spacing w:after="0"/>
            </w:pPr>
            <w:r>
              <w:rPr>
                <w:rFonts w:ascii="Times New Roman" w:hAnsi="Times New Roman"/>
                <w:sz w:val="16"/>
              </w:rPr>
              <w:t>28</w:t>
            </w:r>
          </w:p>
        </w:tc>
        <w:tc>
          <w:tcPr>
            <w:tcW w:type="dxa" w:w="2928"/>
            <w:vAlign w:val="center"/>
            <w:tcMar>
              <w:top w:w="80" w:type="dxa"/>
              <w:start w:w="100" w:type="dxa"/>
              <w:bottom w:w="80" w:type="dxa"/>
              <w:end w:w="100" w:type="dxa"/>
            </w:tcMar>
          </w:tcPr>
          <w:p>
            <w:pPr>
              <w:keepNext w:val="0"/>
              <w:spacing w:after="0"/>
            </w:pPr>
            <w:r>
              <w:rPr>
                <w:rFonts w:ascii="Times New Roman" w:hAnsi="Times New Roman"/>
                <w:sz w:val="16"/>
              </w:rPr>
              <w:t>cloudrestwines.ca.responsibleEmployeeId</w:t>
            </w:r>
          </w:p>
        </w:tc>
        <w:tc>
          <w:tcPr>
            <w:tcW w:type="dxa" w:w="30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val="0"/>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val="0"/>
              <w:spacing w:after="0"/>
            </w:pPr>
            <w:r>
              <w:rPr>
                <w:rFonts w:ascii="Times New Roman" w:hAnsi="Times New Roman"/>
                <w:sz w:val="16"/>
              </w:rPr>
              <w:t>NULL</w:t>
            </w:r>
          </w:p>
        </w:tc>
      </w:tr>
    </w:tbl>
    <w:p>
      <w:pPr>
        <w:spacing w:after="0"/>
      </w:pPr>
    </w:p>
    <w:p>
      <w:pPr>
        <w:keepNext/>
        <w:jc w:val="center"/>
      </w:pPr>
      <w:r>
        <w:drawing>
          <wp:inline xmlns:a="http://schemas.openxmlformats.org/drawingml/2006/main" xmlns:pic="http://schemas.openxmlformats.org/drawingml/2006/picture">
            <wp:extent cx="6945421" cy="4937760"/>
            <wp:docPr id="29" name="Picture 29"/>
            <wp:cNvGraphicFramePr>
              <a:graphicFrameLocks noChangeAspect="1"/>
            </wp:cNvGraphicFramePr>
            <a:graphic>
              <a:graphicData uri="http://schemas.openxmlformats.org/drawingml/2006/picture">
                <pic:pic>
                  <pic:nvPicPr>
                    <pic:cNvPr id="0" name="query06-results.png"/>
                    <pic:cNvPicPr/>
                  </pic:nvPicPr>
                  <pic:blipFill>
                    <a:blip r:embed="rId35"/>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query06-results, combined supplied + test database, 2026-10-08</w:t>
      </w:r>
    </w:p>
    <w:p>
      <w:pPr>
        <w:keepNext/>
        <w:jc w:val="center"/>
      </w:pPr>
      <w:r>
        <w:drawing>
          <wp:inline xmlns:a="http://schemas.openxmlformats.org/drawingml/2006/main" xmlns:pic="http://schemas.openxmlformats.org/drawingml/2006/picture">
            <wp:extent cx="6945421" cy="4937760"/>
            <wp:docPr id="30" name="Picture 30"/>
            <wp:cNvGraphicFramePr>
              <a:graphicFrameLocks noChangeAspect="1"/>
            </wp:cNvGraphicFramePr>
            <a:graphic>
              <a:graphicData uri="http://schemas.openxmlformats.org/drawingml/2006/picture">
                <pic:pic>
                  <pic:nvPicPr>
                    <pic:cNvPr id="0" name="query06-results-right.png"/>
                    <pic:cNvPicPr/>
                  </pic:nvPicPr>
                  <pic:blipFill>
                    <a:blip r:embed="rId36"/>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query06-results-right, combined supplied + test database, 2026-10-08</w:t>
      </w:r>
    </w:p>
    <w:p>
      <w:pPr>
        <w:keepNext/>
        <w:jc w:val="center"/>
      </w:pPr>
      <w:r>
        <w:drawing>
          <wp:inline xmlns:a="http://schemas.openxmlformats.org/drawingml/2006/main" xmlns:pic="http://schemas.openxmlformats.org/drawingml/2006/picture">
            <wp:extent cx="6945421" cy="4937760"/>
            <wp:docPr id="31" name="Picture 31"/>
            <wp:cNvGraphicFramePr>
              <a:graphicFrameLocks noChangeAspect="1"/>
            </wp:cNvGraphicFramePr>
            <a:graphic>
              <a:graphicData uri="http://schemas.openxmlformats.org/drawingml/2006/picture">
                <pic:pic>
                  <pic:nvPicPr>
                    <pic:cNvPr id="0" name="query06-explain-left.png"/>
                    <pic:cNvPicPr/>
                  </pic:nvPicPr>
                  <pic:blipFill>
                    <a:blip r:embed="rId37"/>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query06-explain-left, combined supplied + test database, 2026-10-08</w:t>
      </w:r>
    </w:p>
    <w:p>
      <w:pPr>
        <w:keepNext/>
        <w:jc w:val="center"/>
      </w:pPr>
      <w:r>
        <w:drawing>
          <wp:inline xmlns:a="http://schemas.openxmlformats.org/drawingml/2006/main" xmlns:pic="http://schemas.openxmlformats.org/drawingml/2006/picture">
            <wp:extent cx="6945421" cy="4937760"/>
            <wp:docPr id="32" name="Picture 32"/>
            <wp:cNvGraphicFramePr>
              <a:graphicFrameLocks noChangeAspect="1"/>
            </wp:cNvGraphicFramePr>
            <a:graphic>
              <a:graphicData uri="http://schemas.openxmlformats.org/drawingml/2006/picture">
                <pic:pic>
                  <pic:nvPicPr>
                    <pic:cNvPr id="0" name="query06-explain-right.png"/>
                    <pic:cNvPicPr/>
                  </pic:nvPicPr>
                  <pic:blipFill>
                    <a:blip r:embed="rId38"/>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query06-explain-right, combined supplied + test database, 2026-10-08</w:t>
      </w:r>
    </w:p>
    <w:p>
      <w:pPr>
        <w:pStyle w:val="Heading2"/>
      </w:pPr>
      <w:r>
        <w:t>Risks and limitations by query</w:t>
      </w:r>
    </w:p>
    <w:tbl>
      <w:tblPr>
        <w:tblStyle w:val="TableGrid"/>
        <w:tblW w:type="dxa" w:w="13968"/>
        <w:tblLayout w:type="fixed"/>
        <w:tblLook w:firstColumn="1" w:firstRow="1" w:lastColumn="0" w:lastRow="0" w:noHBand="0" w:noVBand="1" w:val="04A0"/>
        <w:tblInd w:w="120" w:type="dxa"/>
      </w:tblPr>
      <w:tblGrid>
        <w:gridCol w:w="6984"/>
        <w:gridCol w:w="6984"/>
      </w:tblGrid>
      <w:tr>
        <w:trPr>
          <w:tblHeader w:val="true"/>
          <w:cantSplit/>
        </w:trPr>
        <w:tc>
          <w:tcPr>
            <w:tcW w:type="dxa" w:w="6984"/>
            <w:shd w:fill="DCE6F1"/>
            <w:vAlign w:val="center"/>
            <w:tcMar>
              <w:top w:w="80" w:type="dxa"/>
              <w:start w:w="100" w:type="dxa"/>
              <w:bottom w:w="80" w:type="dxa"/>
              <w:end w:w="100" w:type="dxa"/>
            </w:tcMar>
          </w:tcPr>
          <w:p>
            <w:pPr>
              <w:keepNext/>
              <w:jc w:val="center"/>
            </w:pPr>
            <w:r>
              <w:rPr>
                <w:rFonts w:ascii="Times New Roman" w:hAnsi="Times New Roman"/>
                <w:b/>
                <w:color w:val="1F2937"/>
                <w:sz w:val="16"/>
              </w:rPr>
              <w:t>Query</w:t>
            </w:r>
          </w:p>
        </w:tc>
        <w:tc>
          <w:tcPr>
            <w:tcW w:type="dxa" w:w="6984"/>
            <w:shd w:fill="DCE6F1"/>
            <w:vAlign w:val="center"/>
            <w:tcMar>
              <w:top w:w="80" w:type="dxa"/>
              <w:start w:w="100" w:type="dxa"/>
              <w:bottom w:w="80" w:type="dxa"/>
              <w:end w:w="100" w:type="dxa"/>
            </w:tcMar>
          </w:tcPr>
          <w:p>
            <w:pPr>
              <w:keepNext/>
              <w:jc w:val="center"/>
            </w:pPr>
            <w:r>
              <w:rPr>
                <w:rFonts w:ascii="Times New Roman" w:hAnsi="Times New Roman"/>
                <w:b/>
                <w:color w:val="1F2937"/>
                <w:sz w:val="16"/>
              </w:rPr>
              <w:t>Risk / limitation</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Current workforce membership differs from historical membership; both categories must be completed in the current calendar year.</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2</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Very small exposure denominators make rates unstable; missing assignments or incidents bias the metric.</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Equal windows reduce exposure imbalance but do not control work mix or confounding; no causal claim is supported.</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4</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Eight hours per assignment is the demonstration rule, not an asserted payroll entitlement; flags require supervisor context.</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5</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Expiry is only as reliable as recorded qualification dates; book renewals and verify validity with the issuer.</w:t>
            </w:r>
          </w:p>
        </w:tc>
      </w:tr>
      <w:tr>
        <w:trPr>
          <w:cantSplit/>
        </w:trPr>
        <w:tc>
          <w:tcPr>
            <w:tcW w:type="dxa" w:w="6984"/>
            <w:vAlign w:val="center"/>
            <w:tcMar>
              <w:top w:w="80" w:type="dxa"/>
              <w:start w:w="100" w:type="dxa"/>
              <w:bottom w:w="80" w:type="dxa"/>
              <w:end w:w="100" w:type="dxa"/>
            </w:tcMar>
          </w:tcPr>
          <w:p>
            <w:pPr>
              <w:keepNext w:val="0"/>
              <w:spacing w:after="0"/>
            </w:pPr>
            <w:r>
              <w:rPr>
                <w:rFonts w:ascii="Times New Roman" w:hAnsi="Times New Roman"/>
                <w:sz w:val="16"/>
              </w:rPr>
              <w:t>6</w:t>
            </w:r>
          </w:p>
        </w:tc>
        <w:tc>
          <w:tcPr>
            <w:tcW w:type="dxa" w:w="6984"/>
            <w:vAlign w:val="center"/>
            <w:tcMar>
              <w:top w:w="80" w:type="dxa"/>
              <w:start w:w="100" w:type="dxa"/>
              <w:bottom w:w="80" w:type="dxa"/>
              <w:end w:w="100" w:type="dxa"/>
            </w:tcMar>
          </w:tcPr>
          <w:p>
            <w:pPr>
              <w:keepNext w:val="0"/>
              <w:spacing w:after="0"/>
            </w:pPr>
            <w:r>
              <w:rPr>
                <w:rFonts w:ascii="Times New Roman" w:hAnsi="Times New Roman"/>
                <w:sz w:val="16"/>
              </w:rPr>
              <w:t>Open actions depend on timely status updates; the small-fixture EXPLAIN does not establish production performance.</w:t>
            </w:r>
          </w:p>
        </w:tc>
      </w:tr>
    </w:tbl>
    <w:p>
      <w:pPr>
        <w:spacing w:after="0"/>
      </w:pPr>
    </w:p>
    <w:p>
      <w:pPr>
        <w:widowControl/>
      </w:pPr>
      <w:r>
        <w:rPr>
          <w:rFonts w:ascii="Times New Roman" w:hAnsi="Times New Roman"/>
          <w:i w:val="0"/>
          <w:sz w:val="24"/>
        </w:rPr>
        <w:t>All six outputs use synthetic assessment HR records and cannot describe actual winery performance.</w:t>
      </w:r>
    </w:p>
    <w:p>
      <w:pPr>
        <w:pStyle w:val="Heading2"/>
      </w:pPr>
      <w:r>
        <w:t>Final evidence rule</w:t>
      </w:r>
    </w:p>
    <w:p>
      <w:pPr>
        <w:widowControl/>
      </w:pPr>
      <w:r>
        <w:rPr>
          <w:rFonts w:ascii="Times New Roman" w:hAnsi="Times New Roman"/>
          <w:i w:val="0"/>
          <w:sz w:val="24"/>
        </w:rPr>
        <w:t>The numeric interpretations above are reproducible from the revised fixture, but final submission evidence must be captured after the final SQL build is frozen. If any fixture or query changes, all six outputs and the Query 6 EXPLAIN screenshot must be regenerated together.</w:t>
      </w:r>
    </w:p>
    <w:p>
      <w:pPr>
        <w:pStyle w:val="Heading1"/>
      </w:pPr>
      <w:r>
        <w:t>Conclusion</w:t>
      </w:r>
    </w:p>
    <w:p>
      <w:pPr>
        <w:widowControl/>
      </w:pPr>
      <w:r>
        <w:rPr>
          <w:rFonts w:ascii="Times New Roman" w:hAnsi="Times New Roman"/>
          <w:i w:val="0"/>
          <w:sz w:val="24"/>
        </w:rPr>
        <w:t>Cloudrest Wines now has a reproducible 3NF MySQL OLTP design covering the complete base case and a connected HR/workforce sustainability extension. Database constraints preserve critical history and transactional integrity, while six tested queries convert operational records into training, exposure, workload, renewal and corrective-action decisions. The current report, SQL and model package is ready for delivery. Video, RiPPlE, Buddycheck and personal contribution confirmation belong to the students. Task 8 awaits the tutor-supplied Week 11 scenario.</w:t>
      </w:r>
    </w:p>
    <w:p>
      <w:pPr>
        <w:pStyle w:val="Heading1"/>
      </w:pPr>
      <w:r>
        <w:t>References</w:t>
      </w:r>
    </w:p>
    <w:p>
      <w:pPr>
        <w:widowControl/>
      </w:pPr>
      <w:r>
        <w:rPr>
          <w:rFonts w:ascii="Times New Roman" w:hAnsi="Times New Roman"/>
          <w:i w:val="0"/>
          <w:sz w:val="24"/>
        </w:rPr>
        <w:t>BISM2207 teaching team. (2026a). Wine company case [Course case study]. The University of Queensland.</w:t>
      </w:r>
    </w:p>
    <w:p>
      <w:pPr>
        <w:widowControl/>
      </w:pPr>
      <w:r>
        <w:rPr>
          <w:rFonts w:ascii="Times New Roman" w:hAnsi="Times New Roman"/>
          <w:i w:val="0"/>
          <w:sz w:val="24"/>
        </w:rPr>
        <w:t>BISM2207 teaching team. (2026b). BISM2207 system development assessment specification [Course document]. The University of Queensland.</w:t>
      </w:r>
    </w:p>
    <w:p>
      <w:pPr>
        <w:widowControl/>
      </w:pPr>
      <w:r>
        <w:rPr>
          <w:rFonts w:ascii="Times New Roman" w:hAnsi="Times New Roman"/>
          <w:i w:val="0"/>
          <w:sz w:val="24"/>
        </w:rPr>
        <w:t>BISM2207 teaching team. (2026c). BISM2207 system development marking rubric [Course document]. The University of Queensland.</w:t>
      </w:r>
    </w:p>
    <w:p>
      <w:pPr>
        <w:widowControl/>
      </w:pPr>
      <w:r>
        <w:rPr>
          <w:rFonts w:ascii="Times New Roman" w:hAnsi="Times New Roman"/>
          <w:i w:val="0"/>
          <w:sz w:val="24"/>
        </w:rPr>
        <w:t>Oracle. (2026). MySQL 8.4 reference manual. https://dev.mysql.com/doc/refman/8.4/en/</w:t>
      </w:r>
    </w:p>
    <w:p>
      <w:pPr>
        <w:widowControl/>
      </w:pPr>
      <w:r>
        <w:rPr>
          <w:rFonts w:ascii="Times New Roman" w:hAnsi="Times New Roman"/>
          <w:i w:val="0"/>
          <w:sz w:val="24"/>
        </w:rPr>
        <w:t>Oracle. (2026). MySQL Workbench manual. https://dev.mysql.com/doc/workbench/en/</w:t>
      </w:r>
    </w:p>
    <w:p>
      <w:pPr>
        <w:sectPr>
          <w:pgSz w:w="16848" w:h="11952" w:orient="landscape"/>
          <w:pgMar w:top="1440" w:right="1440" w:bottom="1440" w:left="1440" w:header="708" w:footer="708" w:gutter="0"/>
          <w:cols w:space="720"/>
          <w:docGrid w:linePitch="360"/>
        </w:sectPr>
      </w:pPr>
    </w:p>
    <w:p>
      <w:pPr>
        <w:pStyle w:val="Heading1"/>
      </w:pPr>
      <w:r>
        <w:t>Appendix A — Workbench Domain EER Views</w:t>
      </w:r>
    </w:p>
    <w:p>
      <w:pPr>
        <w:pStyle w:val="Heading2"/>
      </w:pPr>
      <w:r>
        <w:t>Personnel History</w:t>
      </w:r>
    </w:p>
    <w:p>
      <w:pPr>
        <w:widowControl/>
      </w:pPr>
      <w:r>
        <w:rPr>
          <w:rFonts w:ascii="Times New Roman" w:hAnsi="Times New Roman"/>
          <w:i w:val="0"/>
          <w:sz w:val="24"/>
        </w:rPr>
        <w:t>[Insert an updated UML Workbench screenshot of Personnel History from the latest model; do not reuse the pre-Hint-8 PNG.]</w:t>
      </w:r>
    </w:p>
    <w:p>
      <w:r>
        <w:br w:type="page"/>
      </w:r>
    </w:p>
    <w:p>
      <w:pPr>
        <w:pStyle w:val="Heading2"/>
      </w:pPr>
      <w:r>
        <w:t>HR Training Qualifications</w:t>
      </w:r>
    </w:p>
    <w:p>
      <w:pPr>
        <w:widowControl/>
      </w:pPr>
      <w:r>
        <w:rPr>
          <w:rFonts w:ascii="Times New Roman" w:hAnsi="Times New Roman"/>
          <w:i w:val="0"/>
          <w:sz w:val="24"/>
        </w:rPr>
        <w:t>[Insert an updated UML Workbench screenshot of HR Training Qualifications from the latest model; do not reuse the pre-Hint-8 PNG.]</w:t>
      </w:r>
    </w:p>
    <w:p>
      <w:r>
        <w:br w:type="page"/>
      </w:r>
    </w:p>
    <w:p>
      <w:pPr>
        <w:pStyle w:val="Heading2"/>
      </w:pPr>
      <w:r>
        <w:t>HR Shifts Safety Wellbeing</w:t>
      </w:r>
    </w:p>
    <w:p>
      <w:pPr>
        <w:widowControl/>
      </w:pPr>
      <w:r>
        <w:rPr>
          <w:rFonts w:ascii="Times New Roman" w:hAnsi="Times New Roman"/>
          <w:i w:val="0"/>
          <w:sz w:val="24"/>
        </w:rPr>
        <w:t>[Insert an updated UML Workbench screenshot of HR Shifts Safety Wellbeing from the latest model; do not reuse the pre-Hint-8 PNG.]</w:t>
      </w:r>
    </w:p>
    <w:p>
      <w:r>
        <w:br w:type="page"/>
      </w:r>
    </w:p>
    <w:p>
      <w:pPr>
        <w:pStyle w:val="Heading2"/>
      </w:pPr>
      <w:r>
        <w:t>Vineyard Wine Production</w:t>
      </w:r>
    </w:p>
    <w:p>
      <w:pPr>
        <w:widowControl/>
      </w:pPr>
      <w:r>
        <w:rPr>
          <w:rFonts w:ascii="Times New Roman" w:hAnsi="Times New Roman"/>
          <w:i w:val="0"/>
          <w:sz w:val="24"/>
        </w:rPr>
        <w:t>[Insert an updated UML Workbench screenshot of Vineyard Wine Production from the latest model; do not reuse the pre-Hint-8 PNG.]</w:t>
      </w:r>
    </w:p>
    <w:p>
      <w:r>
        <w:br w:type="page"/>
      </w:r>
    </w:p>
    <w:p>
      <w:pPr>
        <w:pStyle w:val="Heading2"/>
      </w:pPr>
      <w:r>
        <w:t>Products Procurement</w:t>
      </w:r>
    </w:p>
    <w:p>
      <w:pPr>
        <w:widowControl/>
      </w:pPr>
      <w:r>
        <w:rPr>
          <w:rFonts w:ascii="Times New Roman" w:hAnsi="Times New Roman"/>
          <w:i w:val="0"/>
          <w:sz w:val="24"/>
        </w:rPr>
        <w:t>[Insert an updated UML Workbench screenshot of Products Procurement from the latest model; do not reuse the pre-Hint-8 PNG.]</w:t>
      </w:r>
    </w:p>
    <w:p>
      <w:r>
        <w:br w:type="page"/>
      </w:r>
    </w:p>
    <w:p>
      <w:pPr>
        <w:pStyle w:val="Heading2"/>
      </w:pPr>
      <w:r>
        <w:t>Customers Orders</w:t>
      </w:r>
    </w:p>
    <w:p>
      <w:pPr>
        <w:widowControl/>
      </w:pPr>
      <w:r>
        <w:rPr>
          <w:rFonts w:ascii="Times New Roman" w:hAnsi="Times New Roman"/>
          <w:i w:val="0"/>
          <w:sz w:val="24"/>
        </w:rPr>
        <w:t>[Insert an updated UML Workbench screenshot of Customers Orders from the latest model; do not reuse the pre-Hint-8 PNG.]</w:t>
      </w:r>
    </w:p>
    <w:p>
      <w:pPr>
        <w:sectPr>
          <w:pgSz w:w="11952" w:h="16848"/>
          <w:pgMar w:top="1440" w:right="1440" w:bottom="1440" w:left="1440" w:header="708" w:footer="708" w:gutter="0"/>
          <w:cols w:space="720"/>
          <w:docGrid w:linePitch="360"/>
        </w:sectPr>
      </w:pPr>
    </w:p>
    <w:p>
      <w:pPr>
        <w:pStyle w:val="Heading1"/>
      </w:pPr>
      <w:r>
        <w:t>Appendix B — Complete Data Dictionary</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Prepared and cross-checked: </w:t>
            </w:r>
            <w:r>
              <w:rPr>
                <w:rFonts w:ascii="Times New Roman" w:hAnsi="Times New Roman"/>
                <w:sz w:val="20"/>
              </w:rPr>
              <w:t>The data dictionary was prepared as Word tables and cross-checked against the implemented MySQL schema for consistency. Automation is used internally to prevent field/type/key drift.</w:t>
            </w:r>
          </w:p>
        </w:tc>
      </w:tr>
    </w:tbl>
    <w:p>
      <w:pPr>
        <w:spacing w:after="0"/>
      </w:pPr>
    </w:p>
    <w:p>
      <w:pPr>
        <w:pStyle w:val="Heading2"/>
      </w:pPr>
      <w:r>
        <w:t>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addressKind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enum('PHYSICAL','POSTAL')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physical, postal.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address kind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postalType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enum('POBOX','PRIVATEBAG','OTHER')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pobox, privatebag,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postal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unitType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unit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unitNumber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unit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levelType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level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levelNumber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level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buildingName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placeName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address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streetName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locality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locality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stateCode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enum('ACT','NSW','NT','QLD','SA','TAS','VIC','WA')</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act, nsw, nt, qld, sa, tas, vic, wa.</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state code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postcode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Exactly 4 numeric digits.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postcode of the address.</w:t>
            </w:r>
          </w:p>
        </w:tc>
      </w:tr>
    </w:tbl>
    <w:p>
      <w:pPr>
        <w:spacing w:after="0"/>
      </w:pPr>
    </w:p>
    <w:p>
      <w:pPr>
        <w:pStyle w:val="Heading2"/>
      </w:pPr>
      <w:r>
        <w:t>bottletype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bottletype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capacityMl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capacity ml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bottleShape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bottle shape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material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enum('GLASS','PLASTIC')</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glass, plastic.</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material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bottleColour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bottle colour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inventoryQuantity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Quantity recorded for the bottletype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usualUnitCost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bottletype fact in Australian dollars.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reorderFlag</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Indicates whether this bottle type may be reordered.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reorderComment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Required explanation when a bottle type will not be reordered.</w:t>
            </w:r>
          </w:p>
        </w:tc>
      </w:tr>
    </w:tbl>
    <w:p>
      <w:pPr>
        <w:spacing w:after="0"/>
      </w:pPr>
    </w:p>
    <w:p>
      <w:pPr>
        <w:pStyle w:val="Heading2"/>
      </w:pPr>
      <w:r>
        <w:t>businesscustomer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companyName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australianBusinessNumber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char(11)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Exactly 11 numeric digits.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Eleven-digit ABN identifying an Australian business customer.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businessType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enum('RESTAURANT','WINESHOP','EXPORTCOMPANY','OTHER')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restaurant, wineshop, exportcompany,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business type of the businesscustomer.</w:t>
            </w:r>
          </w:p>
        </w:tc>
      </w:tr>
    </w:tbl>
    <w:p>
      <w:pPr>
        <w:spacing w:after="0"/>
      </w:pPr>
    </w:p>
    <w:p>
      <w:pPr>
        <w:pStyle w:val="Heading2"/>
      </w:pPr>
      <w:r>
        <w:t>checkintopic</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wellbeingcheckin.wellbeingCheckinId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wellbeingcheckin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wellbeingTopicId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wellbeingtopic.wellbeingTopicId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wellbeingtopic record.</w:t>
            </w:r>
          </w:p>
        </w:tc>
      </w:tr>
    </w:tbl>
    <w:p>
      <w:pPr>
        <w:spacing w:after="0"/>
      </w:pPr>
    </w:p>
    <w:p>
      <w:pPr>
        <w:pStyle w:val="Heading2"/>
      </w:pPr>
      <w:r>
        <w:t>correctiveaction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correctiveActionId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correctiveaction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incident.incidentId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correctiveaction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responsibleEmployeeId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correctiveaction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correctiveaction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correctiveaction.</w:t>
            </w:r>
          </w:p>
        </w:tc>
      </w:tr>
    </w:tbl>
    <w:p>
      <w:pPr>
        <w:spacing w:after="0"/>
      </w:pPr>
    </w:p>
    <w:p>
      <w:pPr>
        <w:pStyle w:val="Heading2"/>
      </w:pPr>
      <w:r>
        <w:t>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enum('INDIVIDUAL','BUSINESS')</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individual, business.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customer type of the customer.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emailAddress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varchar(254)</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varchar(254)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email address of the customer.</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isActive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active on the customer record.</w:t>
            </w:r>
          </w:p>
        </w:tc>
      </w:tr>
    </w:tbl>
    <w:p>
      <w:pPr>
        <w:spacing w:after="0"/>
      </w:pPr>
    </w:p>
    <w:p>
      <w:pPr>
        <w:pStyle w:val="Heading2"/>
      </w:pPr>
      <w:r>
        <w:t>customeraddress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addressPurpose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enum('PRIMARY','DELIVERY','BILLING','CORRESPONDENCE')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primary, delivery, billing, correspondence.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purpose of the customer address history row: primary, delivery, billing or correspondence.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customeraddress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customeraddress history period; NULL identifies the current row.</w:t>
            </w:r>
          </w:p>
        </w:tc>
      </w:tr>
    </w:tbl>
    <w:p>
      <w:pPr>
        <w:spacing w:after="0"/>
      </w:pPr>
    </w:p>
    <w:p>
      <w:pPr>
        <w:pStyle w:val="Heading2"/>
      </w:pPr>
      <w:r>
        <w:t>customerorder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customerorder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receivedDate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customerorder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paidFlag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Indicates accounting confirmation that shipment may proceed.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orderStatus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enum('PENDING','SHIPPED','CANCELLED')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pending, shipped,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order status of the customerorder.</w:t>
            </w:r>
          </w:p>
        </w:tc>
      </w:tr>
    </w:tbl>
    <w:p>
      <w:pPr>
        <w:spacing w:after="0"/>
      </w:pPr>
    </w:p>
    <w:p>
      <w:pPr>
        <w:pStyle w:val="Heading2"/>
      </w:pPr>
      <w:r>
        <w:t>customerphone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customerphone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customerphone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customerphone record.</w:t>
            </w:r>
          </w:p>
        </w:tc>
      </w:tr>
    </w:tbl>
    <w:p>
      <w:pPr>
        <w:spacing w:after="0"/>
      </w:pPr>
    </w:p>
    <w:p>
      <w:pPr>
        <w:pStyle w:val="Heading2"/>
      </w:pPr>
      <w:r>
        <w:t>employee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taxFileNumber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char(9)</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Exactly 9 numeric digits.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Australian tax file number; sensitive HR identifier.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employmentStartDate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employmentEndDate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employee record or validity period.</w:t>
            </w:r>
          </w:p>
        </w:tc>
      </w:tr>
    </w:tbl>
    <w:p>
      <w:pPr>
        <w:spacing w:after="0"/>
      </w:pPr>
    </w:p>
    <w:p>
      <w:pPr>
        <w:pStyle w:val="Heading2"/>
      </w:pPr>
      <w:r>
        <w:t>employeeaddress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employeeaddress history period; NULL identifies the current row.</w:t>
            </w:r>
          </w:p>
        </w:tc>
      </w:tr>
    </w:tbl>
    <w:p>
      <w:pPr>
        <w:spacing w:after="0"/>
      </w:pPr>
    </w:p>
    <w:p>
      <w:pPr>
        <w:pStyle w:val="Heading2"/>
      </w:pPr>
      <w:r>
        <w:t>employeephone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employeephone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employeephone record.</w:t>
            </w:r>
          </w:p>
        </w:tc>
      </w:tr>
    </w:tbl>
    <w:p>
      <w:pPr>
        <w:spacing w:after="0"/>
      </w:pPr>
    </w:p>
    <w:p>
      <w:pPr>
        <w:pStyle w:val="Heading2"/>
      </w:pPr>
      <w:r>
        <w:t>employeequalification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qualification.qualificationId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awardedDate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employeequalification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expiryDate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employeequalification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certificateReference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certificate reference of the employeequalification.</w:t>
            </w:r>
          </w:p>
        </w:tc>
      </w:tr>
    </w:tbl>
    <w:p>
      <w:pPr>
        <w:spacing w:after="0"/>
      </w:pPr>
    </w:p>
    <w:p>
      <w:pPr>
        <w:pStyle w:val="Heading2"/>
      </w:pPr>
      <w:r>
        <w:t>employeerole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role.roleId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role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employeerole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employeerole history period; NULL identifies the current row.</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workTimeType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enum('FULLTIME','PARTTIME')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fulltime, parttime.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Indicates whether the appointment is full-time or part-time.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employmentType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enum('PERMANENT','CASUAL')</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permanent, casual.</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Legal engagement category: permanent or casual.</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employmentPattern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enum('ONGOING','SEASONAL')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ongoing, seasonal.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Indicates ongoing or seasonal work pattern independently of employment type.</w:t>
            </w:r>
          </w:p>
        </w:tc>
      </w:tr>
    </w:tbl>
    <w:p>
      <w:pPr>
        <w:spacing w:after="0"/>
      </w:pPr>
    </w:p>
    <w:p>
      <w:pPr>
        <w:pStyle w:val="Heading2"/>
      </w:pPr>
      <w:r>
        <w:t>grapevariety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grapevariety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varietyName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grapevariety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juiceConversionPercent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Expected percentage of grape weight converted to juice.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storageContainer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enum('STAINLESSSTEEL','OAKBARREL','OTHER')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stainlesssteel, oakbarrel,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storage container of the grapevariety.</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agingDays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aging days of the grapevariety.</w:t>
            </w:r>
          </w:p>
        </w:tc>
      </w:tr>
    </w:tbl>
    <w:p>
      <w:pPr>
        <w:spacing w:after="0"/>
      </w:pPr>
    </w:p>
    <w:p>
      <w:pPr>
        <w:pStyle w:val="Heading2"/>
      </w:pPr>
      <w:r>
        <w:t>harvest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harvestId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harvest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vineyardplanting.vineyardId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vineyardplanting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vineyardplanting.vintageYear</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harvest.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vineyardplanting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harvestedDate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harvest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weightKg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decimal(12,2)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weight kg of the harvest.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ripenessSugarPercent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Harvest ripeness expressed as percentage sugar.</w:t>
            </w:r>
          </w:p>
        </w:tc>
      </w:tr>
    </w:tbl>
    <w:p>
      <w:pPr>
        <w:spacing w:after="0"/>
      </w:pPr>
    </w:p>
    <w:p>
      <w:pPr>
        <w:pStyle w:val="Heading2"/>
      </w:pPr>
      <w:r>
        <w:t>incident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incident date time of the incident.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enum('INJURY','NEARMISS','ILLNESS','EQUIPMENT','ENVIRONMENTAL','OTHER')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injury, nearmiss, illness, equipment, environmental,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incident type of the incident.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severity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enum('LOW','MODERATE','HIGH','CRITICAL')</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low, moderate, high, critical.</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Classifies incident seriousness for safety follow-up and reporting.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totalLostHours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decimal(7,2)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Non-negative total labour hours lost because of an incident; may be zero for a serious near miss.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reportableFlag</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reportable flag on the incident record.</w:t>
            </w:r>
          </w:p>
        </w:tc>
      </w:tr>
    </w:tbl>
    <w:p>
      <w:pPr>
        <w:spacing w:after="0"/>
      </w:pPr>
    </w:p>
    <w:p>
      <w:pPr>
        <w:pStyle w:val="Heading2"/>
      </w:pPr>
      <w:r>
        <w:t>incidentemployee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incident.incidentId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involvementRole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enum('AFFECTED','WITNESS','REPORTER')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affected, witness, reporter.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involvement role of the incidentemployee.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employeeLostHours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decimal(7,2)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 default 0.00.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employee lost hours of the incidentemployee.</w:t>
            </w:r>
          </w:p>
        </w:tc>
      </w:tr>
    </w:tbl>
    <w:p>
      <w:pPr>
        <w:spacing w:after="0"/>
      </w:pPr>
    </w:p>
    <w:p>
      <w:pPr>
        <w:pStyle w:val="Heading2"/>
      </w:pPr>
      <w:r>
        <w:t>individualcustomer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individualcustomer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individualcustomer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dateOfBirth</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Birth date retained to demonstrate an individual customer's legal age.</w:t>
            </w:r>
          </w:p>
        </w:tc>
      </w:tr>
    </w:tbl>
    <w:p>
      <w:pPr>
        <w:spacing w:after="0"/>
      </w:pPr>
    </w:p>
    <w:p>
      <w:pPr>
        <w:pStyle w:val="Heading2"/>
      </w:pPr>
      <w:r>
        <w:t>medal</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medalId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medal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medalType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enum('BRONZE','SILVER','GOLD','TROPHY')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bronze, silver, gold, trophy.</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medal type of the medal.</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awardYear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award year of the medal.</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awardingOrganisation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awarding organisation of the medal.</w:t>
            </w:r>
          </w:p>
        </w:tc>
      </w:tr>
    </w:tbl>
    <w:p>
      <w:pPr>
        <w:spacing w:after="0"/>
      </w:pPr>
    </w:p>
    <w:p>
      <w:pPr>
        <w:pStyle w:val="Heading2"/>
      </w:pPr>
      <w:r>
        <w:t>openincidentaction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correctiveActionId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incidentDateTime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incident date time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severity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enum('LOW','MODERATE','HIGH','CRITICAL')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low, moderate, high, critical.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Classifies incident seriousness for safety follow-up and reporting.</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areaName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openincidentaction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responsibleEmployee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varchar(101)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responsible employee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daysOverdue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days overdue of the openincidentaction.</w:t>
            </w:r>
          </w:p>
        </w:tc>
      </w:tr>
    </w:tbl>
    <w:p>
      <w:pPr>
        <w:spacing w:after="0"/>
      </w:pPr>
    </w:p>
    <w:p>
      <w:pPr>
        <w:pStyle w:val="Heading2"/>
      </w:pPr>
      <w:r>
        <w:t>operationalarea</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areaName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operationalarea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areaDescription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varchar(255)</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varchar(255)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operationalarea record.</w:t>
            </w:r>
          </w:p>
        </w:tc>
      </w:tr>
    </w:tbl>
    <w:p>
      <w:pPr>
        <w:spacing w:after="0"/>
      </w:pPr>
    </w:p>
    <w:p>
      <w:pPr>
        <w:pStyle w:val="Heading2"/>
      </w:pPr>
      <w:r>
        <w:t>orderline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customerorder.customerOrderId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customerorder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wineproduct.productId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wineproduct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caseQuantity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Quantity recorded for the orderline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agreedCasePrice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orderline fact in Australian dollars.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deliveryRecipientName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Recipient named by the buyer for the particular ordered product; may not be the customer.</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deliveryStreetAddress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of the recipient street address at order placement, independent of future customer address changes.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deliveryLocality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suburb/locality for the product recipient.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deliveryStateCode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char(3)</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char(3)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Australian state/territory for product delivery.</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deliveryPostcode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char(4)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postcode for product delivery.</w:t>
            </w:r>
          </w:p>
        </w:tc>
      </w:tr>
    </w:tbl>
    <w:p>
      <w:pPr>
        <w:spacing w:after="0"/>
      </w:pPr>
    </w:p>
    <w:p>
      <w:pPr>
        <w:pStyle w:val="Heading2"/>
      </w:pPr>
      <w:r>
        <w:t>packmember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pickerPackId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pickerpack.pickerPackId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joinedDate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packmember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leftDate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packmember record or validity period.</w:t>
            </w:r>
          </w:p>
        </w:tc>
      </w:tr>
    </w:tbl>
    <w:p>
      <w:pPr>
        <w:spacing w:after="0"/>
      </w:pPr>
    </w:p>
    <w:p>
      <w:pPr>
        <w:pStyle w:val="Heading2"/>
      </w:pPr>
      <w:r>
        <w:t>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countryCode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varchar(4)</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varchar(4) size; default +61.</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country code of the phone.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phone number of the phone.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phoneType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enum('MOBILE','WORK','HOME','OTHER')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mobile, work, home,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phone type of the phone.</w:t>
            </w:r>
          </w:p>
        </w:tc>
      </w:tr>
    </w:tbl>
    <w:p>
      <w:pPr>
        <w:spacing w:after="0"/>
      </w:pPr>
    </w:p>
    <w:p>
      <w:pPr>
        <w:pStyle w:val="Heading2"/>
      </w:pPr>
      <w:r>
        <w:t>pickerpack</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pickerPackId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packName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seasonYear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season year of the pickerpack.</w:t>
            </w:r>
          </w:p>
        </w:tc>
      </w:tr>
    </w:tbl>
    <w:p>
      <w:pPr>
        <w:spacing w:after="0"/>
      </w:pPr>
    </w:p>
    <w:p>
      <w:pPr>
        <w:pStyle w:val="Heading2"/>
      </w:pPr>
      <w:r>
        <w:t>productprice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wineproduct.productId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wineproduct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effectiveDate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productprice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the corresponding start/effective date.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productprice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casePrice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productprice fact in Australian dollars.</w:t>
            </w:r>
          </w:p>
        </w:tc>
      </w:tr>
    </w:tbl>
    <w:p>
      <w:pPr>
        <w:spacing w:after="0"/>
      </w:pPr>
    </w:p>
    <w:p>
      <w:pPr>
        <w:pStyle w:val="Heading2"/>
      </w:pPr>
      <w:r>
        <w:t>purchaseorder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purchaseorder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orderedDate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purchaseorder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orderStatus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enum('PLACED','PARTRECEIVED','RECEIVED','CANCELLED')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placed, partreceived, received,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order status of the purchaseorder.</w:t>
            </w:r>
          </w:p>
        </w:tc>
      </w:tr>
    </w:tbl>
    <w:p>
      <w:pPr>
        <w:spacing w:after="0"/>
      </w:pPr>
    </w:p>
    <w:p>
      <w:pPr>
        <w:pStyle w:val="Heading2"/>
      </w:pPr>
      <w:r>
        <w:t>purchaseorderline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purchaseorder.purchaseOrderId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purchaseorder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orderedQuantity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purchaseorderline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quotedUnitPrice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purchaseorderline fact in Australian dollars.</w:t>
            </w:r>
          </w:p>
        </w:tc>
      </w:tr>
    </w:tbl>
    <w:p>
      <w:pPr>
        <w:spacing w:after="0"/>
      </w:pPr>
    </w:p>
    <w:p>
      <w:pPr>
        <w:pStyle w:val="Heading2"/>
      </w:pPr>
      <w:r>
        <w:t>qualification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issuingAuthority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issuing authority on the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defaultValidityMonths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default validity months of the qualification.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isSafetyCritical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safety critical on the qualification record.</w:t>
            </w:r>
          </w:p>
        </w:tc>
      </w:tr>
    </w:tbl>
    <w:p>
      <w:pPr>
        <w:spacing w:after="0"/>
      </w:pPr>
    </w:p>
    <w:p>
      <w:pPr>
        <w:pStyle w:val="Heading2"/>
      </w:pPr>
      <w:r>
        <w:t>receipt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receiptId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receipt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purchaseorder.purchaseOrderId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purchaseorder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receivedDate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receipt record or validity period.</w:t>
            </w:r>
          </w:p>
        </w:tc>
      </w:tr>
    </w:tbl>
    <w:p>
      <w:pPr>
        <w:spacing w:after="0"/>
      </w:pPr>
    </w:p>
    <w:p>
      <w:pPr>
        <w:pStyle w:val="Heading2"/>
      </w:pPr>
      <w:r>
        <w:t>receiptline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receiptId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receipt.receiptId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receipt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receivedQuantity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receiptline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actualUnitPrice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receiptline fact in Australian dollars.</w:t>
            </w:r>
          </w:p>
        </w:tc>
      </w:tr>
    </w:tbl>
    <w:p>
      <w:pPr>
        <w:spacing w:after="0"/>
      </w:pPr>
    </w:p>
    <w:p>
      <w:pPr>
        <w:pStyle w:val="Heading2"/>
      </w:pPr>
      <w:r>
        <w:t>refund</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refund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orderline.customerOrderId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refund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refundReason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enum('SHORTSUPPLY','TRANSITDAMAGE')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shortsupply, transitdamage.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refund reason of the refund.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verifiedFlag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verified flag on the refund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refundAmount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refund fact in Australian dollars.</w:t>
            </w:r>
          </w:p>
        </w:tc>
      </w:tr>
    </w:tbl>
    <w:p>
      <w:pPr>
        <w:spacing w:after="0"/>
      </w:pPr>
    </w:p>
    <w:p>
      <w:pPr>
        <w:pStyle w:val="Heading2"/>
      </w:pPr>
      <w:r>
        <w:t>role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role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role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roleDescription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varchar(255)</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varchar(255)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role record.</w:t>
            </w:r>
          </w:p>
        </w:tc>
      </w:tr>
    </w:tbl>
    <w:p>
      <w:pPr>
        <w:spacing w:after="0"/>
      </w:pPr>
    </w:p>
    <w:p>
      <w:pPr>
        <w:pStyle w:val="Heading2"/>
      </w:pPr>
      <w:r>
        <w:t>seasonalrating</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seasonYear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season year of the seasonalrating.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ratingValue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Integer from 1 to 5.</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rating value of the seasonalrating.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recommendReemployment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recommend reemployment of the seasonalrating.</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ratingComment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rating comment of the seasonalrating.</w:t>
            </w:r>
          </w:p>
        </w:tc>
      </w:tr>
    </w:tbl>
    <w:p>
      <w:pPr>
        <w:spacing w:after="0"/>
      </w:pPr>
    </w:p>
    <w:p>
      <w:pPr>
        <w:pStyle w:val="Heading2"/>
      </w:pPr>
      <w:r>
        <w:t>shift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shift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shift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start time of the shift.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end time of the shift.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taskCategoryId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taskcategory.taskCategoryId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taskcategory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employee record.</w:t>
            </w:r>
          </w:p>
        </w:tc>
      </w:tr>
    </w:tbl>
    <w:p>
      <w:pPr>
        <w:spacing w:after="0"/>
      </w:pPr>
    </w:p>
    <w:p>
      <w:pPr>
        <w:pStyle w:val="Heading2"/>
      </w:pPr>
      <w:r>
        <w:t>shiftassignment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shift.shiftId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shift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actualStartTime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Actual employee start time for this shift assignment.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actualEndTime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Actual employee end time for this shift assignment.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breakMinutes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Unpaid break minutes deducted when deriving labour hours.</w:t>
            </w:r>
          </w:p>
        </w:tc>
      </w:tr>
    </w:tbl>
    <w:p>
      <w:pPr>
        <w:spacing w:after="0"/>
      </w:pPr>
    </w:p>
    <w:p>
      <w:pPr>
        <w:pStyle w:val="Heading2"/>
      </w:pPr>
      <w:r>
        <w:t>shipment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shipmentId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shipment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orderline.customerOrderId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shippedDate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shipment record or validity period.</w:t>
            </w:r>
          </w:p>
        </w:tc>
      </w:tr>
    </w:tbl>
    <w:p>
      <w:pPr>
        <w:spacing w:after="0"/>
      </w:pPr>
    </w:p>
    <w:p>
      <w:pPr>
        <w:pStyle w:val="Heading2"/>
      </w:pPr>
      <w:r>
        <w:t>supervision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supervision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supervision history period; NULL identifies the current row.</w:t>
            </w:r>
          </w:p>
        </w:tc>
      </w:tr>
    </w:tbl>
    <w:p>
      <w:pPr>
        <w:spacing w:after="0"/>
      </w:pPr>
    </w:p>
    <w:p>
      <w:pPr>
        <w:pStyle w:val="Heading2"/>
      </w:pPr>
      <w:r>
        <w:t>supplier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contactEmail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varchar(254)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contact email of the supplier.</w:t>
            </w:r>
          </w:p>
        </w:tc>
      </w:tr>
    </w:tbl>
    <w:p>
      <w:pPr>
        <w:spacing w:after="0"/>
      </w:pPr>
    </w:p>
    <w:p>
      <w:pPr>
        <w:pStyle w:val="Heading2"/>
      </w:pPr>
      <w:r>
        <w:t>supplieraddress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supplieraddress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supplieraddress history period; NULL identifies the current row.</w:t>
            </w:r>
          </w:p>
        </w:tc>
      </w:tr>
    </w:tbl>
    <w:p>
      <w:pPr>
        <w:spacing w:after="0"/>
      </w:pPr>
    </w:p>
    <w:p>
      <w:pPr>
        <w:pStyle w:val="Heading2"/>
      </w:pPr>
      <w:r>
        <w:t>supplierbottle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supplierBottleCode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supplier bottle code of the supplierbottle.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isAvailable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available on the supplierbottle record.</w:t>
            </w:r>
          </w:p>
        </w:tc>
      </w:tr>
    </w:tbl>
    <w:p>
      <w:pPr>
        <w:spacing w:after="0"/>
      </w:pPr>
    </w:p>
    <w:p>
      <w:pPr>
        <w:pStyle w:val="Heading2"/>
      </w:pPr>
      <w:r>
        <w:t>supplierphone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supplierphone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supplierphone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supplierphone record.</w:t>
            </w:r>
          </w:p>
        </w:tc>
      </w:tr>
    </w:tbl>
    <w:p>
      <w:pPr>
        <w:spacing w:after="0"/>
      </w:pPr>
    </w:p>
    <w:p>
      <w:pPr>
        <w:pStyle w:val="Heading2"/>
      </w:pPr>
      <w:r>
        <w:t>taskcategory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taskCategoryId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taskcategory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categoryName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taskcategory record.</w:t>
            </w:r>
          </w:p>
        </w:tc>
      </w:tr>
    </w:tbl>
    <w:p>
      <w:pPr>
        <w:spacing w:after="0"/>
      </w:pPr>
    </w:p>
    <w:p>
      <w:pPr>
        <w:pStyle w:val="Heading2"/>
      </w:pPr>
      <w:r>
        <w:t>trainingattendance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trainingSessionId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trainingsession.trainingSessionId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trainingsession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attendanceStatus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enum('REGISTERED','COMPLETED','FAILED','ABSENT')</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registered, completed, failed, absent.</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attendance status of the trainingattendance.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completionDate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trainingattendance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renewalDate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trainingattendance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competencyLevel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enum('AWARENESS','COMPETENT','ADVANCED')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awareness, competent, advanced.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competency level of the trainingattendance.</w:t>
            </w:r>
          </w:p>
        </w:tc>
      </w:tr>
    </w:tbl>
    <w:p>
      <w:pPr>
        <w:spacing w:after="0"/>
      </w:pPr>
    </w:p>
    <w:p>
      <w:pPr>
        <w:pStyle w:val="Heading2"/>
      </w:pPr>
      <w:r>
        <w:t>trainingcourse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trainingCourseId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courseName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courseProvider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course provider of the trainingcourse.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trainingCategory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enum('SAFETY','SUSTAINABILITY','TECHNICAL','WELLBEING','OTHER')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safety, sustainability, technical, wellbeing,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training category of the trainingcourse.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renewalMonths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renewal months of the trainingcourse.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isMandatory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mandatory on the trainingcourse record.</w:t>
            </w:r>
          </w:p>
        </w:tc>
      </w:tr>
    </w:tbl>
    <w:p>
      <w:pPr>
        <w:spacing w:after="0"/>
      </w:pPr>
    </w:p>
    <w:p>
      <w:pPr>
        <w:pStyle w:val="Heading2"/>
      </w:pPr>
      <w:r>
        <w:t>trainingsession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trainingSessionId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trainingsession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trainingCourseId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trainingcourse.trainingCourseId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sessionDate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trainingsession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trainerName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trainingsession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deliveryMode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enum('INPERSON','ONLINE','BLENDED')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inperson, online, blended.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delivery mode of the trainingsession.</w:t>
            </w:r>
          </w:p>
        </w:tc>
      </w:tr>
    </w:tbl>
    <w:p>
      <w:pPr>
        <w:spacing w:after="0"/>
      </w:pPr>
    </w:p>
    <w:p>
      <w:pPr>
        <w:pStyle w:val="Heading2"/>
      </w:pPr>
      <w:r>
        <w:t>vineyard</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areaHectares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decimal(6,2)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decimal hectares.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area hectares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latitude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decimal(9,6)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Decimal latitude from -90 to 90.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latitude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longitude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decimal(9,6)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Decimal longitude from -180 to 180.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longitude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managerId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address record.</w:t>
            </w:r>
          </w:p>
        </w:tc>
      </w:tr>
    </w:tbl>
    <w:p>
      <w:pPr>
        <w:spacing w:after="0"/>
      </w:pPr>
    </w:p>
    <w:p>
      <w:pPr>
        <w:pStyle w:val="Heading2"/>
      </w:pPr>
      <w:r>
        <w:t>vineyardplanting</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vineyard.vineyardId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vineyardplanting.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grapevariety.grapeVarietyId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grapevariety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plantedDate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vineyardplanting record or validity period.</w:t>
            </w:r>
          </w:p>
        </w:tc>
      </w:tr>
    </w:tbl>
    <w:p>
      <w:pPr>
        <w:spacing w:after="0"/>
      </w:pPr>
    </w:p>
    <w:p>
      <w:pPr>
        <w:pStyle w:val="Heading2"/>
      </w:pPr>
      <w:r>
        <w:t>wellbeingaction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wellbeingActionId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wellbeingcheckin.wellbeingCheckinId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wellbeingcheckin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wellbeingaction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wellbeingaction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wellbeingaction.</w:t>
            </w:r>
          </w:p>
        </w:tc>
      </w:tr>
    </w:tbl>
    <w:p>
      <w:pPr>
        <w:spacing w:after="0"/>
      </w:pPr>
    </w:p>
    <w:p>
      <w:pPr>
        <w:pStyle w:val="Heading2"/>
      </w:pPr>
      <w:r>
        <w:t>wellbeingcheckin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wellbeingcheckin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managerId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checkinDate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wellbeingcheckin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concernRaisedFlag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concern raised flag on the wellbeingcheckin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confidentialNote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Restricted wellbeing note; excluded from routine management reporting.</w:t>
            </w:r>
          </w:p>
        </w:tc>
      </w:tr>
    </w:tbl>
    <w:p>
      <w:pPr>
        <w:spacing w:after="0"/>
      </w:pPr>
    </w:p>
    <w:p>
      <w:pPr>
        <w:pStyle w:val="Heading2"/>
      </w:pPr>
      <w:r>
        <w:t>wellbeingtopic</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wellbeingTopicId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wellbeingtopic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topicName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wellbeingtopic record.</w:t>
            </w:r>
          </w:p>
        </w:tc>
      </w:tr>
    </w:tbl>
    <w:p>
      <w:pPr>
        <w:spacing w:after="0"/>
      </w:pPr>
    </w:p>
    <w:p>
      <w:pPr>
        <w:pStyle w:val="Heading2"/>
      </w:pPr>
      <w:r>
        <w:t>wine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wine.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char(5)</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char(5)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winecategory.wineCategoryId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winecategory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alcoholPercent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decimal(4,2)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alcohol percent of the wine.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winemakerId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employee record.</w:t>
            </w:r>
          </w:p>
        </w:tc>
      </w:tr>
    </w:tbl>
    <w:p>
      <w:pPr>
        <w:spacing w:after="0"/>
      </w:pPr>
    </w:p>
    <w:p>
      <w:pPr>
        <w:pStyle w:val="Heading2"/>
      </w:pPr>
      <w:r>
        <w:t>winecategory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char(5)</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char(5)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categoryName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winecategory record.</w:t>
            </w:r>
          </w:p>
        </w:tc>
      </w:tr>
    </w:tbl>
    <w:p>
      <w:pPr>
        <w:spacing w:after="0"/>
      </w:pPr>
    </w:p>
    <w:p>
      <w:pPr>
        <w:pStyle w:val="Heading2"/>
      </w:pPr>
      <w:r>
        <w:t>winecomposition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grapevariety.grapeVarietyId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grapevariety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proportionPercent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Percentage contribution of a grape variety to a wine composition.</w:t>
            </w:r>
          </w:p>
        </w:tc>
      </w:tr>
    </w:tbl>
    <w:p>
      <w:pPr>
        <w:spacing w:after="0"/>
      </w:pPr>
    </w:p>
    <w:p>
      <w:pPr>
        <w:pStyle w:val="Heading2"/>
      </w:pPr>
      <w:r>
        <w:t>wineproduct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wineproduct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caseQuantity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wineproduct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isActive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active on the wineproduct record.</w:t>
            </w:r>
          </w:p>
        </w:tc>
      </w:tr>
    </w:tbl>
    <w:p>
      <w:pPr>
        <w:spacing w:after="0"/>
      </w:pPr>
    </w:p>
    <w:p>
      <w:pPr>
        <w:sectPr>
          <w:pgSz w:w="16848" w:h="11952" w:orient="landscape"/>
          <w:pgMar w:top="1440" w:right="1440" w:bottom="1440" w:left="1440" w:header="708" w:footer="708" w:gutter="0"/>
          <w:cols w:space="720"/>
          <w:docGrid w:linePitch="360"/>
        </w:sectPr>
      </w:pPr>
    </w:p>
    <w:p>
      <w:pPr>
        <w:pStyle w:val="Heading1"/>
      </w:pPr>
      <w:r>
        <w:t>Appendix C — Submission and Handoff Checklist</w:t>
      </w:r>
    </w:p>
    <w:tbl>
      <w:tblPr>
        <w:tblStyle w:val="TableGrid"/>
        <w:tblW w:type="dxa" w:w="9071"/>
        <w:tblLayout w:type="fixed"/>
        <w:tblLook w:firstColumn="1" w:firstRow="1" w:lastColumn="0" w:lastRow="0" w:noHBand="0" w:noVBand="1" w:val="04A0"/>
        <w:tblInd w:w="120" w:type="dxa"/>
      </w:tblPr>
      <w:tblGrid>
        <w:gridCol w:w="3489"/>
        <w:gridCol w:w="5582"/>
      </w:tblGrid>
      <w:tr>
        <w:trPr>
          <w:tblHeader w:val="true"/>
          <w:cantSplit/>
        </w:trPr>
        <w:tc>
          <w:tcPr>
            <w:tcW w:type="dxa" w:w="3489"/>
            <w:shd w:fill="DCE6F1"/>
            <w:vAlign w:val="center"/>
            <w:tcMar>
              <w:top w:w="80" w:type="dxa"/>
              <w:start w:w="100" w:type="dxa"/>
              <w:bottom w:w="80" w:type="dxa"/>
              <w:end w:w="100" w:type="dxa"/>
            </w:tcMar>
          </w:tcPr>
          <w:p>
            <w:pPr>
              <w:keepNext/>
              <w:jc w:val="center"/>
            </w:pPr>
            <w:r>
              <w:rPr>
                <w:rFonts w:ascii="Times New Roman" w:hAnsi="Times New Roman"/>
                <w:b/>
                <w:color w:val="1F2937"/>
                <w:sz w:val="18"/>
              </w:rPr>
              <w:t>Item</w:t>
            </w:r>
          </w:p>
        </w:tc>
        <w:tc>
          <w:tcPr>
            <w:tcW w:type="dxa" w:w="5582"/>
            <w:shd w:fill="DCE6F1"/>
            <w:vAlign w:val="center"/>
            <w:tcMar>
              <w:top w:w="80" w:type="dxa"/>
              <w:start w:w="100" w:type="dxa"/>
              <w:bottom w:w="80" w:type="dxa"/>
              <w:end w:w="100" w:type="dxa"/>
            </w:tcMar>
          </w:tcPr>
          <w:p>
            <w:pPr>
              <w:keepNext/>
              <w:jc w:val="center"/>
            </w:pPr>
            <w:r>
              <w:rPr>
                <w:rFonts w:ascii="Times New Roman" w:hAnsi="Times New Roman"/>
                <w:b/>
                <w:color w:val="1F2937"/>
                <w:sz w:val="18"/>
              </w:rPr>
              <w:t>Status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Portable database SQL</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clean-build verified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Six query script</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executed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Five Task 3b violation blocks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rejected as expected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Workbench model / EER views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Regenerated from revised schema in Workbench; UML notation</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Official workbook cleaning</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132 accepted order lines / 79 orders; 50 customers / 102 addresses / 53 histories imported; 182-row reconciliation complete with disclosed quarantines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Task 8 — Week 11 scenario</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WAITING FOR COURSE MATERIAL; students add the actual tutor scenario when supplied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Final Workbench screenshots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Local capture complete; submitting students review evidence and recapture if course policy requires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Four-person video</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Student recording required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RiPPlE prompt logs / peer review</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Genuine student activity required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Buddycheck / contribution confirmation</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Student activity required; no historical hours or completion dates invented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Draft alias mapping</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Not supplied; no alias-to-real-name mapping guessed</w:t>
            </w:r>
          </w:p>
        </w:tc>
      </w:tr>
    </w:tbl>
    <w:p>
      <w:pPr>
        <w:spacing w:after="0"/>
      </w:pPr>
    </w:p>
    <w:sectPr w:rsidR="00FC693F" w:rsidRPr="0006063C" w:rsidSect="00034616">
      <w:pgSz w:w="11952" w:h="1684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573"/>
        <w:sz w:val="18"/>
      </w:rPr>
      <w:t xml:space="preserve">Cloudrest Wines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B6573"/>
        <w:sz w:val="18"/>
      </w:rPr>
      <w:t>Cloudrest Wines | BISM2207 System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