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b/>
          <w:color w:val="1F4E79"/>
          <w:sz w:val="50"/>
        </w:rPr>
        <w:t>Cloudrest Wines</w:t>
      </w:r>
    </w:p>
    <w:p>
      <w:pPr>
        <w:jc w:val="center"/>
      </w:pPr>
      <w:r>
        <w:rPr>
          <w:rFonts w:ascii="Times New Roman" w:hAnsi="Times New Roman"/>
          <w:b/>
          <w:sz w:val="36"/>
        </w:rPr>
        <w:t>Independent Verification Report</w:t>
      </w:r>
    </w:p>
    <w:p>
      <w:pPr>
        <w:jc w:val="center"/>
      </w:pPr>
      <w:r>
        <w:rPr>
          <w:rFonts w:ascii="Times New Roman" w:hAnsi="Times New Roman"/>
          <w:b/>
          <w:color w:val="1B5E20"/>
          <w:sz w:val="26"/>
        </w:rPr>
        <w:t>PASS — 73/73 checks passed</w:t>
      </w:r>
    </w:p>
    <w:p>
      <w:pPr>
        <w:pStyle w:val="Heading1"/>
      </w:pPr>
      <w:r>
        <w:t>Verification scope</w:t>
      </w:r>
    </w:p>
    <w:p>
      <w:pPr>
        <w:widowControl/>
      </w:pPr>
      <w:r>
        <w:rPr>
          <w:rFonts w:ascii="Times New Roman" w:hAnsi="Times New Roman"/>
          <w:i w:val="0"/>
          <w:sz w:val="24"/>
        </w:rPr>
        <w:t>This report is designed for independent human or AI review. It records reproducible checks against the portable SQL, live MySQL metadata, data invariants, six query scripts and isolated positive/negative integrity tests. It does not claim completion of course-dependent inputs that were not supplied.</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cantSplit/>
        </w:trPr>
        <w:tc>
          <w:tcPr>
            <w:tcW w:type="dxa" w:w="2400"/>
            <w:shd w:fill="DCE6F1"/>
            <w:vAlign w:val="center"/>
            <w:tcMar>
              <w:top w:w="80" w:type="dxa"/>
              <w:start w:w="100" w:type="dxa"/>
              <w:bottom w:w="80" w:type="dxa"/>
              <w:end w:w="100" w:type="dxa"/>
            </w:tcMar>
          </w:tcPr>
          <w:p>
            <w:pPr>
              <w:keepNext/>
              <w:jc w:val="center"/>
            </w:pPr>
            <w:r>
              <w:rPr>
                <w:rFonts w:ascii="Times New Roman" w:hAnsi="Times New Roman"/>
                <w:b/>
                <w:color w:val="1F2937"/>
                <w:sz w:val="20"/>
              </w:rPr>
              <w:t>Field</w:t>
            </w:r>
          </w:p>
        </w:tc>
        <w:tc>
          <w:tcPr>
            <w:tcW w:type="dxa" w:w="6960"/>
            <w:shd w:fill="DCE6F1"/>
            <w:vAlign w:val="center"/>
            <w:tcMar>
              <w:top w:w="80" w:type="dxa"/>
              <w:start w:w="100" w:type="dxa"/>
              <w:bottom w:w="80" w:type="dxa"/>
              <w:end w:w="100" w:type="dxa"/>
            </w:tcMar>
          </w:tcPr>
          <w:p>
            <w:pPr>
              <w:keepNext/>
              <w:jc w:val="center"/>
            </w:pPr>
            <w:r>
              <w:rPr>
                <w:rFonts w:ascii="Times New Roman" w:hAnsi="Times New Roman"/>
                <w:b/>
                <w:color w:val="1F2937"/>
                <w:sz w:val="20"/>
              </w:rPr>
              <w:t>Value</w:t>
            </w:r>
          </w:p>
        </w:tc>
      </w:tr>
      <w:tr>
        <w:trPr>
          <w:cantSplit/>
        </w:trPr>
        <w:tc>
          <w:tcPr>
            <w:tcW w:type="dxa" w:w="2400"/>
            <w:vAlign w:val="center"/>
            <w:tcMar>
              <w:top w:w="80" w:type="dxa"/>
              <w:start w:w="100" w:type="dxa"/>
              <w:bottom w:w="80" w:type="dxa"/>
              <w:end w:w="100" w:type="dxa"/>
            </w:tcMar>
          </w:tcPr>
          <w:p>
            <w:pPr>
              <w:keepNext/>
              <w:spacing w:after="0"/>
            </w:pPr>
            <w:r>
              <w:rPr>
                <w:rFonts w:ascii="Times New Roman" w:hAnsi="Times New Roman"/>
                <w:sz w:val="20"/>
              </w:rPr>
              <w:t>Generated</w:t>
            </w:r>
          </w:p>
        </w:tc>
        <w:tc>
          <w:tcPr>
            <w:tcW w:type="dxa" w:w="6960"/>
            <w:vAlign w:val="center"/>
            <w:tcMar>
              <w:top w:w="80" w:type="dxa"/>
              <w:start w:w="100" w:type="dxa"/>
              <w:bottom w:w="80" w:type="dxa"/>
              <w:end w:w="100" w:type="dxa"/>
            </w:tcMar>
          </w:tcPr>
          <w:p>
            <w:pPr>
              <w:keepNext/>
              <w:spacing w:after="0"/>
            </w:pPr>
            <w:r>
              <w:rPr>
                <w:rFonts w:ascii="Times New Roman" w:hAnsi="Times New Roman"/>
                <w:sz w:val="20"/>
              </w:rPr>
              <w:t>2026-10-12T07:16:33</w:t>
            </w:r>
          </w:p>
        </w:tc>
      </w:tr>
      <w:tr>
        <w:trPr>
          <w:cantSplit/>
        </w:trPr>
        <w:tc>
          <w:tcPr>
            <w:tcW w:type="dxa" w:w="2400"/>
            <w:vAlign w:val="center"/>
            <w:tcMar>
              <w:top w:w="80" w:type="dxa"/>
              <w:start w:w="100" w:type="dxa"/>
              <w:bottom w:w="80" w:type="dxa"/>
              <w:end w:w="100" w:type="dxa"/>
            </w:tcMar>
          </w:tcPr>
          <w:p>
            <w:pPr>
              <w:keepNext/>
              <w:spacing w:after="0"/>
            </w:pPr>
            <w:r>
              <w:rPr>
                <w:rFonts w:ascii="Times New Roman" w:hAnsi="Times New Roman"/>
                <w:sz w:val="20"/>
              </w:rPr>
              <w:t>MySQL version</w:t>
            </w:r>
          </w:p>
        </w:tc>
        <w:tc>
          <w:tcPr>
            <w:tcW w:type="dxa" w:w="6960"/>
            <w:vAlign w:val="center"/>
            <w:tcMar>
              <w:top w:w="80" w:type="dxa"/>
              <w:start w:w="100" w:type="dxa"/>
              <w:bottom w:w="80" w:type="dxa"/>
              <w:end w:w="100" w:type="dxa"/>
            </w:tcMar>
          </w:tcPr>
          <w:p>
            <w:pPr>
              <w:keepNext/>
              <w:spacing w:after="0"/>
            </w:pPr>
            <w:r>
              <w:rPr>
                <w:rFonts w:ascii="Times New Roman" w:hAnsi="Times New Roman"/>
                <w:sz w:val="20"/>
              </w:rPr>
              <w:t>8.4.11</w:t>
            </w:r>
          </w:p>
        </w:tc>
      </w:tr>
      <w:tr>
        <w:trPr>
          <w:cantSplit/>
        </w:trPr>
        <w:tc>
          <w:tcPr>
            <w:tcW w:type="dxa" w:w="2400"/>
            <w:vAlign w:val="center"/>
            <w:tcMar>
              <w:top w:w="80" w:type="dxa"/>
              <w:start w:w="100" w:type="dxa"/>
              <w:bottom w:w="80" w:type="dxa"/>
              <w:end w:w="100" w:type="dxa"/>
            </w:tcMar>
          </w:tcPr>
          <w:p>
            <w:pPr>
              <w:keepNext/>
              <w:spacing w:after="0"/>
            </w:pPr>
            <w:r>
              <w:rPr>
                <w:rFonts w:ascii="Times New Roman" w:hAnsi="Times New Roman"/>
                <w:sz w:val="20"/>
              </w:rPr>
              <w:t>Status</w:t>
            </w:r>
          </w:p>
        </w:tc>
        <w:tc>
          <w:tcPr>
            <w:tcW w:type="dxa" w:w="6960"/>
            <w:vAlign w:val="center"/>
            <w:tcMar>
              <w:top w:w="80" w:type="dxa"/>
              <w:start w:w="100" w:type="dxa"/>
              <w:bottom w:w="80" w:type="dxa"/>
              <w:end w:w="100" w:type="dxa"/>
            </w:tcMar>
          </w:tcPr>
          <w:p>
            <w:pPr>
              <w:keepNext/>
              <w:spacing w:after="0"/>
            </w:pPr>
            <w:r>
              <w:rPr>
                <w:rFonts w:ascii="Times New Roman" w:hAnsi="Times New Roman"/>
                <w:sz w:val="20"/>
              </w:rPr>
              <w:t>PASS</w:t>
            </w:r>
          </w:p>
        </w:tc>
      </w:tr>
      <w:tr>
        <w:trPr>
          <w:cantSplit/>
        </w:trPr>
        <w:tc>
          <w:tcPr>
            <w:tcW w:type="dxa" w:w="2400"/>
            <w:vAlign w:val="center"/>
            <w:tcMar>
              <w:top w:w="80" w:type="dxa"/>
              <w:start w:w="100" w:type="dxa"/>
              <w:bottom w:w="80" w:type="dxa"/>
              <w:end w:w="100" w:type="dxa"/>
            </w:tcMar>
          </w:tcPr>
          <w:p>
            <w:pPr>
              <w:keepNext w:val="0"/>
              <w:spacing w:after="0"/>
            </w:pPr>
            <w:r>
              <w:rPr>
                <w:rFonts w:ascii="Times New Roman" w:hAnsi="Times New Roman"/>
                <w:sz w:val="20"/>
              </w:rPr>
              <w:t>Required failures</w:t>
            </w:r>
          </w:p>
        </w:tc>
        <w:tc>
          <w:tcPr>
            <w:tcW w:type="dxa" w:w="6960"/>
            <w:vAlign w:val="center"/>
            <w:tcMar>
              <w:top w:w="80" w:type="dxa"/>
              <w:start w:w="100" w:type="dxa"/>
              <w:bottom w:w="80" w:type="dxa"/>
              <w:end w:w="100" w:type="dxa"/>
            </w:tcMar>
          </w:tcPr>
          <w:p>
            <w:pPr>
              <w:keepNext w:val="0"/>
              <w:spacing w:after="0"/>
            </w:pPr>
            <w:r>
              <w:rPr>
                <w:rFonts w:ascii="Times New Roman" w:hAnsi="Times New Roman"/>
                <w:sz w:val="20"/>
              </w:rPr>
              <w:t>0</w:t>
            </w:r>
          </w:p>
        </w:tc>
      </w:tr>
    </w:tbl>
    <w:p>
      <w:pPr>
        <w:spacing w:after="0"/>
      </w:pPr>
    </w:p>
    <w:p>
      <w:pPr>
        <w:pStyle w:val="Heading1"/>
      </w:pPr>
      <w:r>
        <w:t>Check results</w:t>
      </w:r>
    </w:p>
    <w:tbl>
      <w:tblPr>
        <w:tblStyle w:val="TableGrid"/>
        <w:tblW w:type="dxa" w:w="9360"/>
        <w:tblLayout w:type="fixed"/>
        <w:tblLook w:firstColumn="1" w:firstRow="1" w:lastColumn="0" w:lastRow="0" w:noHBand="0" w:noVBand="1" w:val="04A0"/>
        <w:tblInd w:w="120" w:type="dxa"/>
      </w:tblPr>
      <w:tblGrid>
        <w:gridCol w:w="900"/>
        <w:gridCol w:w="3400"/>
        <w:gridCol w:w="5060"/>
      </w:tblGrid>
      <w:tr>
        <w:trPr>
          <w:tblHeader w:val="true"/>
          <w:cantSplit/>
        </w:trPr>
        <w:tc>
          <w:tcPr>
            <w:tcW w:type="dxa" w:w="900"/>
            <w:shd w:fill="DCE6F1"/>
            <w:vAlign w:val="center"/>
            <w:tcMar>
              <w:top w:w="80" w:type="dxa"/>
              <w:start w:w="100" w:type="dxa"/>
              <w:bottom w:w="80" w:type="dxa"/>
              <w:end w:w="100" w:type="dxa"/>
            </w:tcMar>
          </w:tcPr>
          <w:p>
            <w:pPr>
              <w:keepNext/>
              <w:jc w:val="center"/>
            </w:pPr>
            <w:r>
              <w:rPr>
                <w:rFonts w:ascii="Times New Roman" w:hAnsi="Times New Roman"/>
                <w:b/>
                <w:color w:val="1F2937"/>
                <w:sz w:val="17"/>
              </w:rPr>
              <w:t>Result</w:t>
            </w:r>
          </w:p>
        </w:tc>
        <w:tc>
          <w:tcPr>
            <w:tcW w:type="dxa" w:w="3400"/>
            <w:shd w:fill="DCE6F1"/>
            <w:vAlign w:val="center"/>
            <w:tcMar>
              <w:top w:w="80" w:type="dxa"/>
              <w:start w:w="100" w:type="dxa"/>
              <w:bottom w:w="80" w:type="dxa"/>
              <w:end w:w="100" w:type="dxa"/>
            </w:tcMar>
          </w:tcPr>
          <w:p>
            <w:pPr>
              <w:keepNext/>
              <w:jc w:val="center"/>
            </w:pPr>
            <w:r>
              <w:rPr>
                <w:rFonts w:ascii="Times New Roman" w:hAnsi="Times New Roman"/>
                <w:b/>
                <w:color w:val="1F2937"/>
                <w:sz w:val="17"/>
              </w:rPr>
              <w:t>Check</w:t>
            </w:r>
          </w:p>
        </w:tc>
        <w:tc>
          <w:tcPr>
            <w:tcW w:type="dxa" w:w="5060"/>
            <w:shd w:fill="DCE6F1"/>
            <w:vAlign w:val="center"/>
            <w:tcMar>
              <w:top w:w="80" w:type="dxa"/>
              <w:start w:w="100" w:type="dxa"/>
              <w:bottom w:w="80" w:type="dxa"/>
              <w:end w:w="100" w:type="dxa"/>
            </w:tcMar>
          </w:tcPr>
          <w:p>
            <w:pPr>
              <w:keepNext/>
              <w:jc w:val="center"/>
            </w:pPr>
            <w:r>
              <w:rPr>
                <w:rFonts w:ascii="Times New Roman" w:hAnsi="Times New Roman"/>
                <w:b/>
                <w:color w:val="1F2937"/>
                <w:sz w:val="17"/>
              </w:rPr>
              <w:t>Evidence</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Portable SQL rebuilds from empty database</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exitCode=0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Schema statistics collected dynamically</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{'baseTables': 55, 'views': 1, 'columns': 292, 'foreignKeys': 72, 'checkConstraints': 51, 'triggers': 30, 'routines': 3}</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supplieraddress exists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['address', 'bottletype', 'businesscustomer', 'checkintopic', 'correctiveaction', 'customer', 'customeraddress', 'customerorder', 'customerphone', 'employee', 'employeeaddress', 'employeephone', 'employeequalification', 'employeerole', 'grapevariety', 'harvest', 'incident', 'incidentemployee', 'individualcustomer', 'medal', 'operationalarea', 'orderline', 'packmember', 'phone', 'pickerpack', 'productprice', 'purchaseorder', 'purchaseorderline', '</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supplierphone exists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['address', 'bottletype', 'businesscustomer', 'checkintopic', 'correctiveaction', 'customer', 'customeraddress', 'customerorder', 'customerphone', 'employee', 'employeeaddress', 'employeephone', 'employeequalification', 'employeerole', 'grapevariety', 'harvest', 'incident', 'incidentemployee', 'individualcustomer', 'medal', 'operationalarea', 'orderline', 'packmember', 'phone', 'pickerpack', 'productprice', 'purchaseorder', 'purchaseorderline', '</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Supplier direct redundant contact columns removed</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supplier.addressId/phoneNumber absent</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Employment classification separates type and pattern</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enum('PERMANENT','CASUAL'); enum('ONGOING','SEASONAL')</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Seasonal pickers are CASUAL + SEASONAL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Vineyard constraint is positive-only</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positive-only</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Severity does not require positive lost hours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unsupported constraint absent</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Every employee has one current physical address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Every employee has exactly one current primary phone</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Supplier address history exists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Supplier phone history exists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Employee role history example exists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Supervisor history example exists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Employee address history example exists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Employee phone history example exists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No multiple current roles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No multiple current supervisors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No invalid shipment address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No shipped unpaid order</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Vineyard supports multiple varieties in one vintage</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All test-data wine compositions total 100</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No duplicate current customer address purpose</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violations=0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executes: 01_trainingcoverage.sql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 xml:space="preserve">exit=0, chars=114, </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executes: 02_incidentrate.sql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 xml:space="preserve">exit=0, chars=122, </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executes: 03_trainingimpact.sql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 xml:space="preserve">exit=0, chars=273, </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executes: 04_overtimerisk.sql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 xml:space="preserve">exit=0, chars=1117, </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executes: 05_expiringqualification.sql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 xml:space="preserve">exit=0, chars=347, </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executes: 06_openactions.sql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 xml:space="preserve">exit=0, chars=971, </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t01_validtraining.sql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exit=0; expected=PASS; testResult</w:t>
              <w:br/>
              <w:t>PASS: valid completed training was accepted</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t02_invalidroledate.sql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exit=1; expected=chk_employeerole_dates; ERROR 3819 (HY000) at line 3: Check constraint 'chk_employeerole_dates' is violated.</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t03_missingreordercomment.sql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exit=1; expected=chk_bottletype_reorder; ERROR 3819 (HY000) at line 2: Check constraint 'chk_bottletype_reorder' is violated.</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t04_unpaidshipment.sql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exit=1; expected=Order must be paid before shipment; ERROR 1644 (45000) at line 6: Order must be paid before shipment</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t05_overlappingsupervision.sql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exit=1; expected=already has a supervisor; ERROR 1644 (45000) at line 3: Employee already has a supervisor during this period</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t06_pack_rejoin.sql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exit=0; expected=PASS: picker can rejoin; testResult</w:t>
              <w:br/>
              <w:t>PASS: picker can rejoin the same pack after leaving</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t07_employee_current_address_overlap.sql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exit=1; expected=Employee address period overlaps; ERROR 1644 (45000) at line 3: Employee address period overlaps an existing address of the same kind</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t08_customer_primary_phone_overlap.sql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exit=1; expected=Customer may have only one current primary phone; ERROR 1644 (45000) at line 3: Customer may have only one current primary phone</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t09_incomplete_wine_composition.sql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exit=1; expected=Wine composition must contain at least one variety and total exactly 100 percent; ERROR 1644 (45000) at line 8: Wine composition must contain at least one variety and total exactly 100 percent</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t10_harvest_requires_variety_planting.sql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exit=1; expected=foreign key constraint fails; ERROR 1452 (23000) at line 3: Cannot add or update a child row: a foreign key constraint fails (`cloudrestwines`.`harvest`, CONSTRAINT `fk_harvest_planting` FOREIGN KEY (`vineyardId`, `vintageYear`, `grapeVarietyId`) REFERENCES `vineyardplanting` (`vineyardId`, `vintageYear`, `grapeVar</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integrity test: t11_refund_requires_order_product.sql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exit=1; expected=foreign key constraint fails; ERROR 1452 (23000) at line 3: Cannot add or update a child row: a foreign key constraint fails (`cloudrestwines`.`refund`, CONSTRAINT `fk_refund_orderline` FOREIGN KEY (`customerOrderId`, `productId`) REFERENCES `orderline` (`customerOrderId`, `productId`) ON DELETE RESTRICT ON UPDATE</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business rule: Rule 1 role dates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t02_invalidroledate.sql; ERROR 3819 (HY000) at line 3: Check constraint 'chk_employeerole_dates' is violated.</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business rule: Rule 2 reorder comment</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t03_missingreordercomment.sql; ERROR 3819 (HY000) at line 2: Check constraint 'chk_bottletype_reorder' is violated.</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business rule: Rule 3 physical shipment destination</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additional_postalshipment.sql; ERROR 1644 (45000) at line 3: Shipment address must be a physical address, not PO Box or Private Bag</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business rule: Rule 4 paid before shipment</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t04_unpaidshipment.sql; ERROR 1644 (45000) at line 6: Order must be paid before shipment</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Assessed business rule: Rule 5 one supervisor</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t05_overlappingsupervision.sql; ERROR 1644 (45000) at line 3: Employee already has a supervisor during this period</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Project Plan requires Actual Completion Date</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plan columns</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Task 2 has four decisions and page citations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four decisions/citations</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Task 2 within 1,200 words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words=696</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Task 3 stakeholder table exists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required stakeholder columns/rows</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Five assessed Task 3b rules exist</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rules=5</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Each assessed rule has violation SQL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test files present</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submission contains CREATE VIEW</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CREATE VIEW openincidentaction</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submission contains CREATE PROCEDURE</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CREATE PROCEDURE getExpiringQualifications</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submission contains 30-day call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CALL getExpiringQualifications(30)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submission contains 90-day call</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CALL getExpiringQualifications(90)</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submission contains EXPLAIN</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EXPLAIN</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submission contains six queries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six query markers</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Database export contains six queries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embedded query section</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Query 3 filters AFFECTED involvement</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filter present</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Data Dictionary has explicit domains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generic domain absent</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Data Dictionary has semantic descriptions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generic description absent</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Full ER image meets resolution requirement</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resolution=(3327, 2245)</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Final report contains Task 1</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Task 1</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Final report contains Task 2</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Task 2</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Final report contains Task 3</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Task 3</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Final report contains Task 4</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Task 4</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Final report contains Task 5</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Task 5</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Final report contains Task 6</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Task 6</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Final report contains Task 7</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Task 7</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Final report contains AI use declaration</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AI use declaration</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Development report retains honest dependencies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dependency notices</w:t>
            </w:r>
          </w:p>
        </w:tc>
      </w:tr>
      <w:tr>
        <w:trPr>
          <w:cantSplit/>
        </w:trPr>
        <w:tc>
          <w:tcPr>
            <w:tcW w:type="dxa" w:w="900"/>
            <w:vAlign w:val="center"/>
            <w:tcMar>
              <w:top w:w="80" w:type="dxa"/>
              <w:start w:w="100" w:type="dxa"/>
              <w:bottom w:w="80" w:type="dxa"/>
              <w:end w:w="100" w:type="dxa"/>
            </w:tcMar>
          </w:tcPr>
          <w:p>
            <w:pPr>
              <w:keepNext w:val="0"/>
              <w:spacing w:after="0"/>
            </w:pPr>
            <w:r>
              <w:rPr>
                <w:rFonts w:ascii="Times New Roman" w:hAnsi="Times New Roman"/>
                <w:sz w:val="17"/>
              </w:rPr>
              <w:t>PASS</w:t>
            </w:r>
          </w:p>
        </w:tc>
        <w:tc>
          <w:tcPr>
            <w:tcW w:type="dxa" w:w="3400"/>
            <w:vAlign w:val="center"/>
            <w:tcMar>
              <w:top w:w="80" w:type="dxa"/>
              <w:start w:w="100" w:type="dxa"/>
              <w:bottom w:w="80" w:type="dxa"/>
              <w:end w:w="100" w:type="dxa"/>
            </w:tcMar>
          </w:tcPr>
          <w:p>
            <w:pPr>
              <w:keepNext w:val="0"/>
              <w:spacing w:after="0"/>
            </w:pPr>
            <w:r>
              <w:rPr>
                <w:rFonts w:ascii="Times New Roman" w:hAnsi="Times New Roman"/>
                <w:sz w:val="17"/>
              </w:rPr>
              <w:t>Development mode discloses remaining human inputs</w:t>
            </w:r>
          </w:p>
        </w:tc>
        <w:tc>
          <w:tcPr>
            <w:tcW w:type="dxa" w:w="5060"/>
            <w:vAlign w:val="center"/>
            <w:tcMar>
              <w:top w:w="80" w:type="dxa"/>
              <w:start w:w="100" w:type="dxa"/>
              <w:bottom w:w="80" w:type="dxa"/>
              <w:end w:w="100" w:type="dxa"/>
            </w:tcMar>
          </w:tcPr>
          <w:p>
            <w:pPr>
              <w:keepNext w:val="0"/>
              <w:spacing w:after="0"/>
            </w:pPr>
            <w:r>
              <w:rPr>
                <w:rFonts w:ascii="Times New Roman" w:hAnsi="Times New Roman"/>
                <w:sz w:val="17"/>
              </w:rPr>
              <w:t>FINAL_MODE=0; unresolved human inputs disclosed</w:t>
            </w:r>
          </w:p>
        </w:tc>
      </w:tr>
    </w:tbl>
    <w:p>
      <w:pPr>
        <w:spacing w:after="0"/>
      </w:pPr>
    </w:p>
    <w:p>
      <w:pPr>
        <w:pStyle w:val="Heading1"/>
      </w:pPr>
      <w:r>
        <w:t>Known limitations and pending external inputs</w:t>
      </w:r>
    </w:p>
    <w:p>
      <w:pPr>
        <w:widowControl/>
      </w:pPr>
      <w:r>
        <w:rPr>
          <w:rFonts w:ascii="Times New Roman" w:hAnsi="Times New Roman"/>
          <w:i w:val="0"/>
          <w:sz w:val="24"/>
        </w:rPr>
        <w:t>Final resolution of ambiguous repeated Order Id + Product Id rows in the official A2 v4 workbook.</w:t>
      </w:r>
    </w:p>
    <w:p>
      <w:pPr>
        <w:widowControl/>
      </w:pPr>
      <w:r>
        <w:rPr>
          <w:rFonts w:ascii="Times New Roman" w:hAnsi="Times New Roman"/>
          <w:i w:val="0"/>
          <w:sz w:val="24"/>
        </w:rPr>
        <w:t>Submitting students review genuine local Workbench staging/cleaning and integrity screenshots; recapture if course policy requires their own account.</w:t>
      </w:r>
    </w:p>
    <w:p>
      <w:pPr>
        <w:widowControl/>
      </w:pPr>
      <w:r>
        <w:rPr>
          <w:rFonts w:ascii="Times New Roman" w:hAnsi="Times New Roman"/>
          <w:i w:val="0"/>
          <w:sz w:val="24"/>
        </w:rPr>
        <w:t>Week 11 assigned business scenario if not yet supplied.</w:t>
      </w:r>
    </w:p>
    <w:p>
      <w:pPr>
        <w:widowControl/>
      </w:pPr>
      <w:r>
        <w:rPr>
          <w:rFonts w:ascii="Times New Roman" w:hAnsi="Times New Roman"/>
          <w:i w:val="0"/>
          <w:sz w:val="24"/>
        </w:rPr>
        <w:t>Four-person video, genuine contribution data, RiPPlE prompt history and peer reviews.</w:t>
      </w:r>
    </w:p>
    <w:p>
      <w:pPr>
        <w:widowControl/>
      </w:pPr>
      <w:r>
        <w:rPr>
          <w:rFonts w:ascii="Times New Roman" w:hAnsi="Times New Roman"/>
          <w:i w:val="0"/>
          <w:sz w:val="24"/>
        </w:rPr>
        <w:t>Mapping of the Mia/Zora/Rianna/Jason draft aliases to the four signed Team Charter members, plus final submission date.</w:t>
      </w:r>
    </w:p>
    <w:p>
      <w:pPr>
        <w:pStyle w:val="Heading1"/>
      </w:pPr>
      <w:r>
        <w:t>Independent reviewer instructions</w:t>
      </w:r>
    </w:p>
    <w:p>
      <w:pPr>
        <w:widowControl/>
      </w:pPr>
      <w:r>
        <w:rPr>
          <w:rFonts w:ascii="Times New Roman" w:hAnsi="Times New Roman"/>
          <w:i w:val="0"/>
          <w:sz w:val="24"/>
        </w:rPr>
        <w:t>Run tools/verify_project.py after installing MySQL 8.4 and starting the local server. A valid run must report PASS with no required failures. Inspect the SQL and Word report separately for business interpretation, assignment compliance and any assumptions that should be confirmed with the tutor. Do not treat synthetic query values as real winery findings.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B6573"/>
        <w:sz w:val="18"/>
      </w:rPr>
      <w:t xml:space="preserve">Cloudrest Wines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B6573"/>
        <w:sz w:val="18"/>
      </w:rPr>
      <w:t>Cloudrest Wines | BISM2207 System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