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png" ContentType="image/jpeg"/>
  <Override PartName="/word/media/image4.png" ContentType="image/jpeg"/>
  <Override PartName="/word/media/image5.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40"/>
        <w:jc w:val="center"/>
      </w:pPr>
      <w:r>
        <w:rPr>
          <w:rFonts w:ascii="Times New Roman" w:hAnsi="Times New Roman"/>
          <w:b/>
          <w:color w:val="1F4E79"/>
          <w:sz w:val="56"/>
        </w:rPr>
        <w:t>CLOUDREST WINES</w:t>
      </w:r>
    </w:p>
    <w:p>
      <w:pPr>
        <w:jc w:val="center"/>
      </w:pPr>
      <w:r>
        <w:rPr>
          <w:rFonts w:ascii="Times New Roman" w:hAnsi="Times New Roman"/>
          <w:b/>
          <w:color w:val="1F2937"/>
          <w:sz w:val="34"/>
        </w:rPr>
        <w:t>MySQL Database System Design and Implementation</w:t>
      </w:r>
    </w:p>
    <w:p>
      <w:pPr>
        <w:spacing w:after="760"/>
        <w:jc w:val="center"/>
      </w:pPr>
      <w:r>
        <w:rPr>
          <w:rFonts w:ascii="Times New Roman" w:hAnsi="Times New Roman"/>
          <w:i/>
          <w:color w:val="5B6573"/>
          <w:sz w:val="26"/>
        </w:rPr>
        <w:t>Human Resources, Workforce Planning and Wellbeing Perspective</w:t>
      </w:r>
    </w:p>
    <w:p>
      <w:pPr>
        <w:jc w:val="center"/>
      </w:pPr>
      <w:r>
        <w:rPr>
          <w:rFonts w:ascii="Times New Roman" w:hAnsi="Times New Roman"/>
          <w:b/>
          <w:sz w:val="24"/>
        </w:rPr>
        <w:t xml:space="preserve">Course: </w:t>
      </w:r>
      <w:r>
        <w:rPr>
          <w:rFonts w:ascii="Times New Roman" w:hAnsi="Times New Roman"/>
          <w:sz w:val="24"/>
        </w:rPr>
        <w:t>BISM2207 System Development</w:t>
      </w:r>
    </w:p>
    <w:p>
      <w:pPr>
        <w:jc w:val="center"/>
      </w:pPr>
      <w:r>
        <w:rPr>
          <w:rFonts w:ascii="Times New Roman" w:hAnsi="Times New Roman"/>
          <w:b/>
          <w:sz w:val="24"/>
        </w:rPr>
        <w:t xml:space="preserve">Team / company: </w:t>
      </w:r>
      <w:r>
        <w:rPr>
          <w:rFonts w:ascii="Times New Roman" w:hAnsi="Times New Roman"/>
          <w:sz w:val="24"/>
        </w:rPr>
        <w:t>Cloudrest Wines</w:t>
      </w:r>
    </w:p>
    <w:p>
      <w:pPr>
        <w:jc w:val="center"/>
      </w:pPr>
      <w:r>
        <w:rPr>
          <w:rFonts w:ascii="Times New Roman" w:hAnsi="Times New Roman"/>
          <w:b/>
          <w:sz w:val="24"/>
        </w:rPr>
        <w:t xml:space="preserve">Contributors: </w:t>
      </w:r>
      <w:r>
        <w:rPr>
          <w:rFonts w:ascii="Times New Roman" w:hAnsi="Times New Roman"/>
          <w:sz w:val="24"/>
        </w:rPr>
        <w:t>Zixuan Shen | Feiyue Ma | Xinzhu Wang | Chengye Jiang</w:t>
      </w:r>
    </w:p>
    <w:p>
      <w:pPr>
        <w:jc w:val="center"/>
      </w:pPr>
      <w:r>
        <w:rPr>
          <w:rFonts w:ascii="Times New Roman" w:hAnsi="Times New Roman"/>
          <w:b/>
          <w:sz w:val="24"/>
        </w:rPr>
        <w:t xml:space="preserve">Database: </w:t>
      </w:r>
      <w:r>
        <w:rPr>
          <w:rFonts w:ascii="Times New Roman" w:hAnsi="Times New Roman"/>
          <w:sz w:val="24"/>
        </w:rPr>
        <w:t>MySQL 8.4.x / MySQL Workbench</w:t>
      </w:r>
    </w:p>
    <w:p>
      <w:pPr>
        <w:jc w:val="center"/>
      </w:pPr>
      <w:r>
        <w:rPr>
          <w:rFonts w:ascii="Times New Roman" w:hAnsi="Times New Roman"/>
          <w:b/>
          <w:sz w:val="24"/>
        </w:rPr>
        <w:t xml:space="preserve">Submission date: </w:t>
      </w:r>
      <w:r>
        <w:rPr>
          <w:rFonts w:ascii="Times New Roman" w:hAnsi="Times New Roman"/>
          <w:sz w:val="24"/>
        </w:rPr>
        <w:t>Team confirmation required</w:t>
      </w:r>
    </w:p>
    <w:p>
      <w:pPr>
        <w:spacing w:before="1000"/>
        <w:jc w:val="center"/>
      </w:pPr>
      <w:r>
        <w:rPr>
          <w:rFonts w:ascii="Times New Roman" w:hAnsi="Times New Roman"/>
          <w:i/>
          <w:color w:val="9B1C1C"/>
          <w:sz w:val="20"/>
        </w:rPr>
        <w:t>Finalisation package — outstanding course inputs are listed explicitly</w:t>
      </w:r>
    </w:p>
    <w:p>
      <w:r>
        <w:br w:type="page"/>
      </w:r>
    </w:p>
    <w:p>
      <w:pPr>
        <w:pStyle w:val="Heading1"/>
      </w:pPr>
      <w:r>
        <w:t>Document status and required student completion</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Finalisation status: </w:t>
            </w:r>
            <w:r>
              <w:rPr>
                <w:rFonts w:ascii="Times New Roman" w:hAnsi="Times New Roman"/>
                <w:sz w:val="20"/>
              </w:rPr>
              <w:t>REPORT + CODE PACKAGE READY. The final database contains accepted cleaned supplied data and additional test data. Order reconciliation is 182 = 132 imported + 1 exact copy rejected + 15 ambiguous-pair rows quarantined + 34 other rows quarantined. Student-only video, RiPPlE, Buddycheck and genuine contribution confirmation remain. Task 8 is WAITING FOR COURSE MATERIAL: Week 11 assigned business scenario. No submission date or alias mapping is invented.</w:t>
            </w:r>
          </w:p>
        </w:tc>
      </w:tr>
    </w:tbl>
    <w:p>
      <w:pPr>
        <w:spacing w:after="0"/>
      </w:pPr>
    </w:p>
    <w:p>
      <w:pPr>
        <w:pStyle w:val="Heading2"/>
      </w:pPr>
      <w:r>
        <w:t>AI use declaration</w:t>
      </w:r>
    </w:p>
    <w:tbl>
      <w:tblPr>
        <w:tblStyle w:val="TableGrid"/>
        <w:tblW w:type="dxa" w:w="9360"/>
        <w:tblLayout w:type="fixed"/>
        <w:tblLook w:firstColumn="1" w:firstRow="1" w:lastColumn="0" w:lastRow="0" w:noHBand="0" w:noVBand="1" w:val="04A0"/>
        <w:tblInd w:w="120" w:type="dxa"/>
      </w:tblPr>
      <w:tblGrid>
        <w:gridCol w:w="600"/>
        <w:gridCol w:w="2200"/>
        <w:gridCol w:w="6560"/>
      </w:tblGrid>
      <w:tr>
        <w:trPr>
          <w:tblHeader w:val="true"/>
          <w:cantSplit/>
        </w:trPr>
        <w:tc>
          <w:tcPr>
            <w:tcW w:type="dxa" w:w="600"/>
            <w:shd w:fill="DCE6F1"/>
            <w:vAlign w:val="center"/>
            <w:tcMar>
              <w:top w:w="80" w:type="dxa"/>
              <w:start w:w="100" w:type="dxa"/>
              <w:bottom w:w="80" w:type="dxa"/>
              <w:end w:w="100" w:type="dxa"/>
            </w:tcMar>
          </w:tcPr>
          <w:p>
            <w:pPr>
              <w:keepNext/>
              <w:jc w:val="center"/>
            </w:pPr>
            <w:r>
              <w:rPr>
                <w:rFonts w:ascii="Times New Roman" w:hAnsi="Times New Roman"/>
                <w:b/>
                <w:color w:val="1F2937"/>
                <w:sz w:val="18"/>
              </w:rPr>
              <w:t>Task</w:t>
            </w:r>
          </w:p>
        </w:tc>
        <w:tc>
          <w:tcPr>
            <w:tcW w:type="dxa" w:w="2200"/>
            <w:shd w:fill="DCE6F1"/>
            <w:vAlign w:val="center"/>
            <w:tcMar>
              <w:top w:w="80" w:type="dxa"/>
              <w:start w:w="100" w:type="dxa"/>
              <w:bottom w:w="80" w:type="dxa"/>
              <w:end w:w="100" w:type="dxa"/>
            </w:tcMar>
          </w:tcPr>
          <w:p>
            <w:pPr>
              <w:keepNext/>
              <w:jc w:val="center"/>
            </w:pPr>
            <w:r>
              <w:rPr>
                <w:rFonts w:ascii="Times New Roman" w:hAnsi="Times New Roman"/>
                <w:b/>
                <w:color w:val="1F2937"/>
                <w:sz w:val="18"/>
              </w:rPr>
              <w:t>AI used for</w:t>
            </w:r>
          </w:p>
        </w:tc>
        <w:tc>
          <w:tcPr>
            <w:tcW w:type="dxa" w:w="6560"/>
            <w:shd w:fill="DCE6F1"/>
            <w:vAlign w:val="center"/>
            <w:tcMar>
              <w:top w:w="80" w:type="dxa"/>
              <w:start w:w="100" w:type="dxa"/>
              <w:bottom w:w="80" w:type="dxa"/>
              <w:end w:w="100" w:type="dxa"/>
            </w:tcMar>
          </w:tcPr>
          <w:p>
            <w:pPr>
              <w:keepNext/>
              <w:jc w:val="center"/>
            </w:pPr>
            <w:r>
              <w:rPr>
                <w:rFonts w:ascii="Times New Roman" w:hAnsi="Times New Roman"/>
                <w:b/>
                <w:color w:val="1F2937"/>
                <w:sz w:val="18"/>
              </w:rPr>
              <w:t>Human validation / limitation</w:t>
            </w:r>
          </w:p>
        </w:tc>
      </w:tr>
      <w:tr>
        <w:trPr>
          <w:cantSplit/>
        </w:trPr>
        <w:tc>
          <w:tcPr>
            <w:tcW w:type="dxa" w:w="600"/>
            <w:vAlign w:val="center"/>
            <w:tcMar>
              <w:top w:w="80" w:type="dxa"/>
              <w:start w:w="100" w:type="dxa"/>
              <w:bottom w:w="80" w:type="dxa"/>
              <w:end w:w="100" w:type="dxa"/>
            </w:tcMar>
          </w:tcPr>
          <w:p>
            <w:pPr>
              <w:keepNext/>
              <w:spacing w:after="0"/>
            </w:pPr>
            <w:r>
              <w:rPr>
                <w:rFonts w:ascii="Times New Roman" w:hAnsi="Times New Roman"/>
                <w:sz w:val="18"/>
              </w:rPr>
              <w:t>1</w:t>
            </w:r>
          </w:p>
        </w:tc>
        <w:tc>
          <w:tcPr>
            <w:tcW w:type="dxa" w:w="2200"/>
            <w:vAlign w:val="center"/>
            <w:tcMar>
              <w:top w:w="80" w:type="dxa"/>
              <w:start w:w="100" w:type="dxa"/>
              <w:bottom w:w="80" w:type="dxa"/>
              <w:end w:w="100" w:type="dxa"/>
            </w:tcMar>
          </w:tcPr>
          <w:p>
            <w:pPr>
              <w:keepNext/>
              <w:spacing w:after="0"/>
            </w:pPr>
            <w:r>
              <w:rPr>
                <w:rFonts w:ascii="Times New Roman" w:hAnsi="Times New Roman"/>
                <w:sz w:val="18"/>
              </w:rPr>
              <w:t>Planning</w:t>
            </w:r>
          </w:p>
        </w:tc>
        <w:tc>
          <w:tcPr>
            <w:tcW w:type="dxa" w:w="6560"/>
            <w:vAlign w:val="center"/>
            <w:tcMar>
              <w:top w:w="80" w:type="dxa"/>
              <w:start w:w="100" w:type="dxa"/>
              <w:bottom w:w="80" w:type="dxa"/>
              <w:end w:w="100" w:type="dxa"/>
            </w:tcMar>
          </w:tcPr>
          <w:p>
            <w:pPr>
              <w:keepNext/>
              <w:spacing w:after="0"/>
            </w:pPr>
            <w:r>
              <w:rPr>
                <w:rFonts w:ascii="Times New Roman" w:hAnsi="Times New Roman"/>
                <w:sz w:val="18"/>
              </w:rPr>
              <w:t>Sequencing/risk suggestions; team must confirm dates and ownership.</w:t>
            </w:r>
          </w:p>
        </w:tc>
      </w:tr>
      <w:tr>
        <w:trPr>
          <w:cantSplit/>
        </w:trPr>
        <w:tc>
          <w:tcPr>
            <w:tcW w:type="dxa" w:w="600"/>
            <w:vAlign w:val="center"/>
            <w:tcMar>
              <w:top w:w="80" w:type="dxa"/>
              <w:start w:w="100" w:type="dxa"/>
              <w:bottom w:w="80" w:type="dxa"/>
              <w:end w:w="100" w:type="dxa"/>
            </w:tcMar>
          </w:tcPr>
          <w:p>
            <w:pPr>
              <w:keepNext/>
              <w:spacing w:after="0"/>
            </w:pPr>
            <w:r>
              <w:rPr>
                <w:rFonts w:ascii="Times New Roman" w:hAnsi="Times New Roman"/>
                <w:sz w:val="18"/>
              </w:rPr>
              <w:t>2</w:t>
            </w:r>
          </w:p>
        </w:tc>
        <w:tc>
          <w:tcPr>
            <w:tcW w:type="dxa" w:w="2200"/>
            <w:vAlign w:val="center"/>
            <w:tcMar>
              <w:top w:w="80" w:type="dxa"/>
              <w:start w:w="100" w:type="dxa"/>
              <w:bottom w:w="80" w:type="dxa"/>
              <w:end w:w="100" w:type="dxa"/>
            </w:tcMar>
          </w:tcPr>
          <w:p>
            <w:pPr>
              <w:keepNext/>
              <w:spacing w:after="0"/>
            </w:pPr>
            <w:r>
              <w:rPr>
                <w:rFonts w:ascii="Times New Roman" w:hAnsi="Times New Roman"/>
                <w:sz w:val="18"/>
              </w:rPr>
              <w:t>Design decisions</w:t>
            </w:r>
          </w:p>
        </w:tc>
        <w:tc>
          <w:tcPr>
            <w:tcW w:type="dxa" w:w="6560"/>
            <w:vAlign w:val="center"/>
            <w:tcMar>
              <w:top w:w="80" w:type="dxa"/>
              <w:start w:w="100" w:type="dxa"/>
              <w:bottom w:w="80" w:type="dxa"/>
              <w:end w:w="100" w:type="dxa"/>
            </w:tcMar>
          </w:tcPr>
          <w:p>
            <w:pPr>
              <w:keepNext/>
              <w:spacing w:after="0"/>
            </w:pPr>
            <w:r>
              <w:rPr>
                <w:rFonts w:ascii="Times New Roman" w:hAnsi="Times New Roman"/>
                <w:sz w:val="18"/>
              </w:rPr>
              <w:t>Alternatives and critique; decisions validated against case and schema.</w:t>
            </w:r>
          </w:p>
        </w:tc>
      </w:tr>
      <w:tr>
        <w:trPr>
          <w:cantSplit/>
        </w:trPr>
        <w:tc>
          <w:tcPr>
            <w:tcW w:type="dxa" w:w="600"/>
            <w:vAlign w:val="center"/>
            <w:tcMar>
              <w:top w:w="80" w:type="dxa"/>
              <w:start w:w="100" w:type="dxa"/>
              <w:bottom w:w="80" w:type="dxa"/>
              <w:end w:w="100" w:type="dxa"/>
            </w:tcMar>
          </w:tcPr>
          <w:p>
            <w:pPr>
              <w:keepNext/>
              <w:spacing w:after="0"/>
            </w:pPr>
            <w:r>
              <w:rPr>
                <w:rFonts w:ascii="Times New Roman" w:hAnsi="Times New Roman"/>
                <w:sz w:val="18"/>
              </w:rPr>
              <w:t>3</w:t>
            </w:r>
          </w:p>
        </w:tc>
        <w:tc>
          <w:tcPr>
            <w:tcW w:type="dxa" w:w="2200"/>
            <w:vAlign w:val="center"/>
            <w:tcMar>
              <w:top w:w="80" w:type="dxa"/>
              <w:start w:w="100" w:type="dxa"/>
              <w:bottom w:w="80" w:type="dxa"/>
              <w:end w:w="100" w:type="dxa"/>
            </w:tcMar>
          </w:tcPr>
          <w:p>
            <w:pPr>
              <w:keepNext/>
              <w:spacing w:after="0"/>
            </w:pPr>
            <w:r>
              <w:rPr>
                <w:rFonts w:ascii="Times New Roman" w:hAnsi="Times New Roman"/>
                <w:sz w:val="18"/>
              </w:rPr>
              <w:t>Functionality/rules</w:t>
            </w:r>
          </w:p>
        </w:tc>
        <w:tc>
          <w:tcPr>
            <w:tcW w:type="dxa" w:w="6560"/>
            <w:vAlign w:val="center"/>
            <w:tcMar>
              <w:top w:w="80" w:type="dxa"/>
              <w:start w:w="100" w:type="dxa"/>
              <w:bottom w:w="80" w:type="dxa"/>
              <w:end w:w="100" w:type="dxa"/>
            </w:tcMar>
          </w:tcPr>
          <w:p>
            <w:pPr>
              <w:keepNext/>
              <w:spacing w:after="0"/>
            </w:pPr>
            <w:r>
              <w:rPr>
                <w:rFonts w:ascii="Times New Roman" w:hAnsi="Times New Roman"/>
                <w:sz w:val="18"/>
              </w:rPr>
              <w:t>Drafting and SQL alternatives; rules executed in MySQL.</w:t>
            </w:r>
          </w:p>
        </w:tc>
      </w:tr>
      <w:tr>
        <w:trPr>
          <w:cantSplit/>
        </w:trPr>
        <w:tc>
          <w:tcPr>
            <w:tcW w:type="dxa" w:w="600"/>
            <w:vAlign w:val="center"/>
            <w:tcMar>
              <w:top w:w="80" w:type="dxa"/>
              <w:start w:w="100" w:type="dxa"/>
              <w:bottom w:w="80" w:type="dxa"/>
              <w:end w:w="100" w:type="dxa"/>
            </w:tcMar>
          </w:tcPr>
          <w:p>
            <w:pPr>
              <w:keepNext/>
              <w:spacing w:after="0"/>
            </w:pPr>
            <w:r>
              <w:rPr>
                <w:rFonts w:ascii="Times New Roman" w:hAnsi="Times New Roman"/>
                <w:sz w:val="18"/>
              </w:rPr>
              <w:t>4</w:t>
            </w:r>
          </w:p>
        </w:tc>
        <w:tc>
          <w:tcPr>
            <w:tcW w:type="dxa" w:w="2200"/>
            <w:vAlign w:val="center"/>
            <w:tcMar>
              <w:top w:w="80" w:type="dxa"/>
              <w:start w:w="100" w:type="dxa"/>
              <w:bottom w:w="80" w:type="dxa"/>
              <w:end w:w="100" w:type="dxa"/>
            </w:tcMar>
          </w:tcPr>
          <w:p>
            <w:pPr>
              <w:keepNext/>
              <w:spacing w:after="0"/>
            </w:pPr>
            <w:r>
              <w:rPr>
                <w:rFonts w:ascii="Times New Roman" w:hAnsi="Times New Roman"/>
                <w:sz w:val="18"/>
              </w:rPr>
              <w:t>ER model</w:t>
            </w:r>
          </w:p>
        </w:tc>
        <w:tc>
          <w:tcPr>
            <w:tcW w:type="dxa" w:w="6560"/>
            <w:vAlign w:val="center"/>
            <w:tcMar>
              <w:top w:w="80" w:type="dxa"/>
              <w:start w:w="100" w:type="dxa"/>
              <w:bottom w:w="80" w:type="dxa"/>
              <w:end w:w="100" w:type="dxa"/>
            </w:tcMar>
          </w:tcPr>
          <w:p>
            <w:pPr>
              <w:keepNext/>
              <w:spacing w:after="0"/>
            </w:pPr>
            <w:r>
              <w:rPr>
                <w:rFonts w:ascii="Times New Roman" w:hAnsi="Times New Roman"/>
                <w:sz w:val="18"/>
              </w:rPr>
              <w:t>Schema-to-Workbench automation; structure derived from validated SQL.</w:t>
            </w:r>
          </w:p>
        </w:tc>
      </w:tr>
      <w:tr>
        <w:trPr>
          <w:cantSplit/>
        </w:trPr>
        <w:tc>
          <w:tcPr>
            <w:tcW w:type="dxa" w:w="600"/>
            <w:vAlign w:val="center"/>
            <w:tcMar>
              <w:top w:w="80" w:type="dxa"/>
              <w:start w:w="100" w:type="dxa"/>
              <w:bottom w:w="80" w:type="dxa"/>
              <w:end w:w="100" w:type="dxa"/>
            </w:tcMar>
          </w:tcPr>
          <w:p>
            <w:pPr>
              <w:keepNext/>
              <w:spacing w:after="0"/>
            </w:pPr>
            <w:r>
              <w:rPr>
                <w:rFonts w:ascii="Times New Roman" w:hAnsi="Times New Roman"/>
                <w:sz w:val="18"/>
              </w:rPr>
              <w:t>5</w:t>
            </w:r>
          </w:p>
        </w:tc>
        <w:tc>
          <w:tcPr>
            <w:tcW w:type="dxa" w:w="2200"/>
            <w:vAlign w:val="center"/>
            <w:tcMar>
              <w:top w:w="80" w:type="dxa"/>
              <w:start w:w="100" w:type="dxa"/>
              <w:bottom w:w="80" w:type="dxa"/>
              <w:end w:w="100" w:type="dxa"/>
            </w:tcMar>
          </w:tcPr>
          <w:p>
            <w:pPr>
              <w:keepNext/>
              <w:spacing w:after="0"/>
            </w:pPr>
            <w:r>
              <w:rPr>
                <w:rFonts w:ascii="Times New Roman" w:hAnsi="Times New Roman"/>
                <w:sz w:val="18"/>
              </w:rPr>
              <w:t>Data dictionary</w:t>
            </w:r>
          </w:p>
        </w:tc>
        <w:tc>
          <w:tcPr>
            <w:tcW w:type="dxa" w:w="6560"/>
            <w:vAlign w:val="center"/>
            <w:tcMar>
              <w:top w:w="80" w:type="dxa"/>
              <w:start w:w="100" w:type="dxa"/>
              <w:bottom w:w="80" w:type="dxa"/>
              <w:end w:w="100" w:type="dxa"/>
            </w:tcMar>
          </w:tcPr>
          <w:p>
            <w:pPr>
              <w:keepNext/>
              <w:spacing w:after="0"/>
            </w:pPr>
            <w:r>
              <w:rPr>
                <w:rFonts w:ascii="Times New Roman" w:hAnsi="Times New Roman"/>
                <w:sz w:val="18"/>
              </w:rPr>
              <w:t>Mechanical consistency checking; semantic wording reviewed.</w:t>
            </w:r>
          </w:p>
        </w:tc>
      </w:tr>
      <w:tr>
        <w:trPr>
          <w:cantSplit/>
        </w:trPr>
        <w:tc>
          <w:tcPr>
            <w:tcW w:type="dxa" w:w="600"/>
            <w:vAlign w:val="center"/>
            <w:tcMar>
              <w:top w:w="80" w:type="dxa"/>
              <w:start w:w="100" w:type="dxa"/>
              <w:bottom w:w="80" w:type="dxa"/>
              <w:end w:w="100" w:type="dxa"/>
            </w:tcMar>
          </w:tcPr>
          <w:p>
            <w:pPr>
              <w:keepNext/>
              <w:spacing w:after="0"/>
            </w:pPr>
            <w:r>
              <w:rPr>
                <w:rFonts w:ascii="Times New Roman" w:hAnsi="Times New Roman"/>
                <w:sz w:val="18"/>
              </w:rPr>
              <w:t>6</w:t>
            </w:r>
          </w:p>
        </w:tc>
        <w:tc>
          <w:tcPr>
            <w:tcW w:type="dxa" w:w="2200"/>
            <w:vAlign w:val="center"/>
            <w:tcMar>
              <w:top w:w="80" w:type="dxa"/>
              <w:start w:w="100" w:type="dxa"/>
              <w:bottom w:w="80" w:type="dxa"/>
              <w:end w:w="100" w:type="dxa"/>
            </w:tcMar>
          </w:tcPr>
          <w:p>
            <w:pPr>
              <w:keepNext/>
              <w:spacing w:after="0"/>
            </w:pPr>
            <w:r>
              <w:rPr>
                <w:rFonts w:ascii="Times New Roman" w:hAnsi="Times New Roman"/>
                <w:sz w:val="18"/>
              </w:rPr>
              <w:t>Data quality</w:t>
            </w:r>
          </w:p>
        </w:tc>
        <w:tc>
          <w:tcPr>
            <w:tcW w:type="dxa" w:w="6560"/>
            <w:vAlign w:val="center"/>
            <w:tcMar>
              <w:top w:w="80" w:type="dxa"/>
              <w:start w:w="100" w:type="dxa"/>
              <w:bottom w:w="80" w:type="dxa"/>
              <w:end w:w="100" w:type="dxa"/>
            </w:tcMar>
          </w:tcPr>
          <w:p>
            <w:pPr>
              <w:keepNext/>
              <w:spacing w:after="0"/>
            </w:pPr>
            <w:r>
              <w:rPr>
                <w:rFonts w:ascii="Times New Roman" w:hAnsi="Times New Roman"/>
                <w:sz w:val="18"/>
              </w:rPr>
              <w:t>Bounded cleaned supplied-data import executed; assumptions and quarantines disclosed, reconciliation complete.</w:t>
            </w:r>
          </w:p>
        </w:tc>
      </w:tr>
      <w:tr>
        <w:trPr>
          <w:cantSplit/>
        </w:trPr>
        <w:tc>
          <w:tcPr>
            <w:tcW w:type="dxa" w:w="600"/>
            <w:vAlign w:val="center"/>
            <w:tcMar>
              <w:top w:w="80" w:type="dxa"/>
              <w:start w:w="100" w:type="dxa"/>
              <w:bottom w:w="80" w:type="dxa"/>
              <w:end w:w="100" w:type="dxa"/>
            </w:tcMar>
          </w:tcPr>
          <w:p>
            <w:pPr>
              <w:keepNext/>
              <w:spacing w:after="0"/>
            </w:pPr>
            <w:r>
              <w:rPr>
                <w:rFonts w:ascii="Times New Roman" w:hAnsi="Times New Roman"/>
                <w:sz w:val="18"/>
              </w:rPr>
              <w:t>7</w:t>
            </w:r>
          </w:p>
        </w:tc>
        <w:tc>
          <w:tcPr>
            <w:tcW w:type="dxa" w:w="2200"/>
            <w:vAlign w:val="center"/>
            <w:tcMar>
              <w:top w:w="80" w:type="dxa"/>
              <w:start w:w="100" w:type="dxa"/>
              <w:bottom w:w="80" w:type="dxa"/>
              <w:end w:w="100" w:type="dxa"/>
            </w:tcMar>
          </w:tcPr>
          <w:p>
            <w:pPr>
              <w:keepNext/>
              <w:spacing w:after="0"/>
            </w:pPr>
            <w:r>
              <w:rPr>
                <w:rFonts w:ascii="Times New Roman" w:hAnsi="Times New Roman"/>
                <w:sz w:val="18"/>
              </w:rPr>
              <w:t>Queries</w:t>
            </w:r>
          </w:p>
        </w:tc>
        <w:tc>
          <w:tcPr>
            <w:tcW w:type="dxa" w:w="6560"/>
            <w:vAlign w:val="center"/>
            <w:tcMar>
              <w:top w:w="80" w:type="dxa"/>
              <w:start w:w="100" w:type="dxa"/>
              <w:bottom w:w="80" w:type="dxa"/>
              <w:end w:w="100" w:type="dxa"/>
            </w:tcMar>
          </w:tcPr>
          <w:p>
            <w:pPr>
              <w:keepNext/>
              <w:spacing w:after="0"/>
            </w:pPr>
            <w:r>
              <w:rPr>
                <w:rFonts w:ascii="Times New Roman" w:hAnsi="Times New Roman"/>
                <w:sz w:val="18"/>
              </w:rPr>
              <w:t>SQL drafting/critique; all outputs independently executed.</w:t>
            </w:r>
          </w:p>
        </w:tc>
      </w:tr>
      <w:tr>
        <w:trPr>
          <w:cantSplit/>
        </w:trPr>
        <w:tc>
          <w:tcPr>
            <w:tcW w:type="dxa" w:w="600"/>
            <w:vAlign w:val="center"/>
            <w:tcMar>
              <w:top w:w="80" w:type="dxa"/>
              <w:start w:w="100" w:type="dxa"/>
              <w:bottom w:w="80" w:type="dxa"/>
              <w:end w:w="100" w:type="dxa"/>
            </w:tcMar>
          </w:tcPr>
          <w:p>
            <w:pPr>
              <w:keepNext w:val="0"/>
              <w:spacing w:after="0"/>
            </w:pPr>
            <w:r>
              <w:rPr>
                <w:rFonts w:ascii="Times New Roman" w:hAnsi="Times New Roman"/>
                <w:sz w:val="18"/>
              </w:rPr>
              <w:t>Video</w:t>
            </w:r>
          </w:p>
        </w:tc>
        <w:tc>
          <w:tcPr>
            <w:tcW w:type="dxa" w:w="2200"/>
            <w:vAlign w:val="center"/>
            <w:tcMar>
              <w:top w:w="80" w:type="dxa"/>
              <w:start w:w="100" w:type="dxa"/>
              <w:bottom w:w="80" w:type="dxa"/>
              <w:end w:w="100" w:type="dxa"/>
            </w:tcMar>
          </w:tcPr>
          <w:p>
            <w:pPr>
              <w:keepNext w:val="0"/>
              <w:spacing w:after="0"/>
            </w:pPr>
            <w:r>
              <w:rPr>
                <w:rFonts w:ascii="Times New Roman" w:hAnsi="Times New Roman"/>
                <w:sz w:val="18"/>
              </w:rPr>
              <w:t>Script structure and timing support</w:t>
            </w:r>
          </w:p>
        </w:tc>
        <w:tc>
          <w:tcPr>
            <w:tcW w:type="dxa" w:w="6560"/>
            <w:vAlign w:val="center"/>
            <w:tcMar>
              <w:top w:w="80" w:type="dxa"/>
              <w:start w:w="100" w:type="dxa"/>
              <w:bottom w:w="80" w:type="dxa"/>
              <w:end w:w="100" w:type="dxa"/>
            </w:tcMar>
          </w:tcPr>
          <w:p>
            <w:pPr>
              <w:keepNext w:val="0"/>
              <w:spacing w:after="0"/>
            </w:pPr>
            <w:r>
              <w:rPr>
                <w:rFonts w:ascii="Times New Roman" w:hAnsi="Times New Roman"/>
                <w:sz w:val="18"/>
              </w:rPr>
              <w:t>Students rehearse, understand, modify and present the material themselves.</w:t>
            </w:r>
          </w:p>
        </w:tc>
      </w:tr>
    </w:tbl>
    <w:p>
      <w:pPr>
        <w:spacing w:after="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Task 1 — Project Plan with Risk Register</w:t>
      </w:r>
    </w:p>
    <w:tbl>
      <w:tblPr>
        <w:tblStyle w:val="TableGrid"/>
        <w:tblW w:type="dxa" w:w="13965"/>
        <w:tblLayout w:type="fixed"/>
        <w:tblLook w:firstColumn="1" w:firstRow="1" w:lastColumn="0" w:lastRow="0" w:noHBand="0" w:noVBand="1" w:val="04A0"/>
        <w:tblInd w:w="120" w:type="dxa"/>
      </w:tblPr>
      <w:tblGrid>
        <w:gridCol w:w="1641"/>
        <w:gridCol w:w="1268"/>
        <w:gridCol w:w="1119"/>
        <w:gridCol w:w="746"/>
        <w:gridCol w:w="970"/>
        <w:gridCol w:w="970"/>
        <w:gridCol w:w="2089"/>
        <w:gridCol w:w="1566"/>
        <w:gridCol w:w="1940"/>
        <w:gridCol w:w="1656"/>
      </w:tblGrid>
      <w:tr>
        <w:trPr>
          <w:tblHeader w:val="true"/>
          <w:cantSplit/>
        </w:trPr>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16"/>
              </w:rPr>
              <w:t>Task Description</w:t>
            </w:r>
          </w:p>
        </w:tc>
        <w:tc>
          <w:tcPr>
            <w:tcW w:type="dxa" w:w="1268"/>
            <w:shd w:fill="DCE6F1"/>
            <w:vAlign w:val="center"/>
            <w:tcMar>
              <w:top w:w="80" w:type="dxa"/>
              <w:start w:w="100" w:type="dxa"/>
              <w:bottom w:w="80" w:type="dxa"/>
              <w:end w:w="100" w:type="dxa"/>
            </w:tcMar>
          </w:tcPr>
          <w:p>
            <w:pPr>
              <w:keepNext/>
              <w:jc w:val="center"/>
            </w:pPr>
            <w:r>
              <w:rPr>
                <w:rFonts w:ascii="Times New Roman" w:hAnsi="Times New Roman"/>
                <w:b/>
                <w:color w:val="1F2937"/>
                <w:sz w:val="16"/>
              </w:rPr>
              <w:t>Responsible Team Member(s)</w:t>
            </w:r>
          </w:p>
        </w:tc>
        <w:tc>
          <w:tcPr>
            <w:tcW w:type="dxa" w:w="1119"/>
            <w:shd w:fill="DCE6F1"/>
            <w:vAlign w:val="center"/>
            <w:tcMar>
              <w:top w:w="80" w:type="dxa"/>
              <w:start w:w="100" w:type="dxa"/>
              <w:bottom w:w="80" w:type="dxa"/>
              <w:end w:w="100" w:type="dxa"/>
            </w:tcMar>
          </w:tcPr>
          <w:p>
            <w:pPr>
              <w:keepNext/>
              <w:jc w:val="center"/>
            </w:pPr>
            <w:r>
              <w:rPr>
                <w:rFonts w:ascii="Times New Roman" w:hAnsi="Times New Roman"/>
                <w:b/>
                <w:color w:val="1F2937"/>
                <w:sz w:val="16"/>
              </w:rPr>
              <w:t>Final Deliverable Owner</w:t>
            </w:r>
          </w:p>
        </w:tc>
        <w:tc>
          <w:tcPr>
            <w:tcW w:type="dxa" w:w="746"/>
            <w:shd w:fill="DCE6F1"/>
            <w:vAlign w:val="center"/>
            <w:tcMar>
              <w:top w:w="80" w:type="dxa"/>
              <w:start w:w="100" w:type="dxa"/>
              <w:bottom w:w="80" w:type="dxa"/>
              <w:end w:w="100" w:type="dxa"/>
            </w:tcMar>
          </w:tcPr>
          <w:p>
            <w:pPr>
              <w:keepNext/>
              <w:jc w:val="center"/>
            </w:pPr>
            <w:r>
              <w:rPr>
                <w:rFonts w:ascii="Times New Roman" w:hAnsi="Times New Roman"/>
                <w:b/>
                <w:color w:val="1F2937"/>
                <w:sz w:val="16"/>
              </w:rPr>
              <w:t>Estimated Hours</w:t>
            </w:r>
          </w:p>
        </w:tc>
        <w:tc>
          <w:tcPr>
            <w:tcW w:type="dxa" w:w="970"/>
            <w:shd w:fill="DCE6F1"/>
            <w:vAlign w:val="center"/>
            <w:tcMar>
              <w:top w:w="80" w:type="dxa"/>
              <w:start w:w="100" w:type="dxa"/>
              <w:bottom w:w="80" w:type="dxa"/>
              <w:end w:w="100" w:type="dxa"/>
            </w:tcMar>
          </w:tcPr>
          <w:p>
            <w:pPr>
              <w:keepNext/>
              <w:jc w:val="center"/>
            </w:pPr>
            <w:r>
              <w:rPr>
                <w:rFonts w:ascii="Times New Roman" w:hAnsi="Times New Roman"/>
                <w:b/>
                <w:color w:val="1F2937"/>
                <w:sz w:val="16"/>
              </w:rPr>
              <w:t>Target Completion Date</w:t>
            </w:r>
          </w:p>
        </w:tc>
        <w:tc>
          <w:tcPr>
            <w:tcW w:type="dxa" w:w="970"/>
            <w:shd w:fill="DCE6F1"/>
            <w:vAlign w:val="center"/>
            <w:tcMar>
              <w:top w:w="80" w:type="dxa"/>
              <w:start w:w="100" w:type="dxa"/>
              <w:bottom w:w="80" w:type="dxa"/>
              <w:end w:w="100" w:type="dxa"/>
            </w:tcMar>
          </w:tcPr>
          <w:p>
            <w:pPr>
              <w:keepNext/>
              <w:jc w:val="center"/>
            </w:pPr>
            <w:r>
              <w:rPr>
                <w:rFonts w:ascii="Times New Roman" w:hAnsi="Times New Roman"/>
                <w:b/>
                <w:color w:val="1F2937"/>
                <w:sz w:val="16"/>
              </w:rPr>
              <w:t>Actual Completion Date</w:t>
            </w:r>
          </w:p>
        </w:tc>
        <w:tc>
          <w:tcPr>
            <w:tcW w:type="dxa" w:w="2089"/>
            <w:shd w:fill="DCE6F1"/>
            <w:vAlign w:val="center"/>
            <w:tcMar>
              <w:top w:w="80" w:type="dxa"/>
              <w:start w:w="100" w:type="dxa"/>
              <w:bottom w:w="80" w:type="dxa"/>
              <w:end w:w="100" w:type="dxa"/>
            </w:tcMar>
          </w:tcPr>
          <w:p>
            <w:pPr>
              <w:keepNext/>
              <w:jc w:val="center"/>
            </w:pPr>
            <w:r>
              <w:rPr>
                <w:rFonts w:ascii="Times New Roman" w:hAnsi="Times New Roman"/>
                <w:b/>
                <w:color w:val="1F2937"/>
                <w:sz w:val="16"/>
              </w:rPr>
              <w:t>Expected Output / Evidence</w:t>
            </w:r>
          </w:p>
        </w:tc>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16"/>
              </w:rPr>
              <w:t>Risk or Challenge</w:t>
            </w:r>
          </w:p>
        </w:tc>
        <w:tc>
          <w:tcPr>
            <w:tcW w:type="dxa" w:w="1940"/>
            <w:shd w:fill="DCE6F1"/>
            <w:vAlign w:val="center"/>
            <w:tcMar>
              <w:top w:w="80" w:type="dxa"/>
              <w:start w:w="100" w:type="dxa"/>
              <w:bottom w:w="80" w:type="dxa"/>
              <w:end w:w="100" w:type="dxa"/>
            </w:tcMar>
          </w:tcPr>
          <w:p>
            <w:pPr>
              <w:keepNext/>
              <w:jc w:val="center"/>
            </w:pPr>
            <w:r>
              <w:rPr>
                <w:rFonts w:ascii="Times New Roman" w:hAnsi="Times New Roman"/>
                <w:b/>
                <w:color w:val="1F2937"/>
                <w:sz w:val="16"/>
              </w:rPr>
              <w:t>Mitigation Strategy</w:t>
            </w:r>
          </w:p>
        </w:tc>
        <w:tc>
          <w:tcPr>
            <w:tcW w:type="dxa" w:w="1656"/>
            <w:shd w:fill="DCE6F1"/>
            <w:vAlign w:val="center"/>
            <w:tcMar>
              <w:top w:w="80" w:type="dxa"/>
              <w:start w:w="100" w:type="dxa"/>
              <w:bottom w:w="80" w:type="dxa"/>
              <w:end w:w="100" w:type="dxa"/>
            </w:tcMar>
          </w:tcPr>
          <w:p>
            <w:pPr>
              <w:keepNext/>
              <w:jc w:val="center"/>
            </w:pPr>
            <w:r>
              <w:rPr>
                <w:rFonts w:ascii="Times New Roman" w:hAnsi="Times New Roman"/>
                <w:b/>
                <w:color w:val="1F2937"/>
                <w:sz w:val="16"/>
              </w:rPr>
              <w:t>AI Used / How Used</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Requirements and planning</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Mia</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Mia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8</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4</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Traceability matrix</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Requirement omission</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Cross-check case</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Extraction/check</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HR scope and KPIs</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Mia / Rianna</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Mia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5</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4</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Defined measures</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Metric not calculable</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Define numerator/denominator</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Alternatives/critique</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Base and HR ER model</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Zora / All</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Zora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28</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7</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Workbench model and alternatives</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Cardinality error</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Peer review against case</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Modelling critique</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Design decisions</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Mia / Zora</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Mia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8</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Four cited decision records</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Weak trade-offs</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Trace each to ER</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Draft/critique</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Schema and rules</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Jason / Zora</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Jason</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32</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10</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Clean SQL and five rules</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Build failure</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Empty-database tests</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SQL review</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Data dictionary</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Zora / Jason</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Zora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16</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10</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Complete Word tables</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Schema drift</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Automated consistency check</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Mechanical QA</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Official cleaning</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Jason / Mia</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Jason</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23</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10–11</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In progress</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v4 audit/staging/reconciliation</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Ambiguous duplicate order/product rows</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Preserve raw rows; quarantine ambiguity</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Profiling/consistency checks</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Test data and integrity</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Jason / Rianna</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Jason</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20</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10</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Five tests and histories</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Trivial coverage</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Scenario-based data</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Coverage critique</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Six analytical queries</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Rianna / Jason</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Rianna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28</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11</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Queries/view/procedure/EXPLAIN</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Join inflation</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Manual reconciliation</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SQL alternatives</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Reflection</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All</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Rianna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12</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Genuine RiPPlE evidence</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Fabrication risk</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Save real iterations</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Reflection subject</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Video</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All</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Rianna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12</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12</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Five-minute demonstration</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Over time</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Timed rehearsal</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Structure/timing</w:t>
            </w:r>
          </w:p>
        </w:tc>
      </w:tr>
      <w:tr>
        <w:trPr>
          <w:cantSplit/>
        </w:trPr>
        <w:tc>
          <w:tcPr>
            <w:tcW w:type="dxa" w:w="1641"/>
            <w:vAlign w:val="center"/>
            <w:tcMar>
              <w:top w:w="80" w:type="dxa"/>
              <w:start w:w="100" w:type="dxa"/>
              <w:bottom w:w="80" w:type="dxa"/>
              <w:end w:w="100" w:type="dxa"/>
            </w:tcMar>
          </w:tcPr>
          <w:p>
            <w:pPr>
              <w:keepNext w:val="0"/>
              <w:spacing w:after="0"/>
            </w:pPr>
            <w:r>
              <w:rPr>
                <w:rFonts w:ascii="Times New Roman" w:hAnsi="Times New Roman"/>
                <w:sz w:val="16"/>
              </w:rPr>
              <w:t>Final integration and QA</w:t>
            </w:r>
          </w:p>
        </w:tc>
        <w:tc>
          <w:tcPr>
            <w:tcW w:type="dxa" w:w="1268"/>
            <w:vAlign w:val="center"/>
            <w:tcMar>
              <w:top w:w="80" w:type="dxa"/>
              <w:start w:w="100" w:type="dxa"/>
              <w:bottom w:w="80" w:type="dxa"/>
              <w:end w:w="100" w:type="dxa"/>
            </w:tcMar>
          </w:tcPr>
          <w:p>
            <w:pPr>
              <w:keepNext w:val="0"/>
              <w:spacing w:after="0"/>
            </w:pPr>
            <w:r>
              <w:rPr>
                <w:rFonts w:ascii="Times New Roman" w:hAnsi="Times New Roman"/>
                <w:sz w:val="16"/>
              </w:rPr>
              <w:t>Mia / All</w:t>
            </w:r>
          </w:p>
        </w:tc>
        <w:tc>
          <w:tcPr>
            <w:tcW w:type="dxa" w:w="1119"/>
            <w:vAlign w:val="center"/>
            <w:tcMar>
              <w:top w:w="80" w:type="dxa"/>
              <w:start w:w="100" w:type="dxa"/>
              <w:bottom w:w="80" w:type="dxa"/>
              <w:end w:w="100" w:type="dxa"/>
            </w:tcMar>
          </w:tcPr>
          <w:p>
            <w:pPr>
              <w:keepNext w:val="0"/>
              <w:spacing w:after="0"/>
            </w:pPr>
            <w:r>
              <w:rPr>
                <w:rFonts w:ascii="Times New Roman" w:hAnsi="Times New Roman"/>
                <w:sz w:val="16"/>
              </w:rPr>
              <w:t>Mia</w:t>
            </w:r>
          </w:p>
        </w:tc>
        <w:tc>
          <w:tcPr>
            <w:tcW w:type="dxa" w:w="74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Week 12</w:t>
            </w:r>
          </w:p>
        </w:tc>
        <w:tc>
          <w:tcPr>
            <w:tcW w:type="dxa" w:w="970"/>
            <w:vAlign w:val="center"/>
            <w:tcMar>
              <w:top w:w="80" w:type="dxa"/>
              <w:start w:w="100" w:type="dxa"/>
              <w:bottom w:w="80" w:type="dxa"/>
              <w:end w:w="100" w:type="dxa"/>
            </w:tcMar>
          </w:tcPr>
          <w:p>
            <w:pPr>
              <w:keepNext w:val="0"/>
              <w:spacing w:after="0"/>
            </w:pPr>
            <w:r>
              <w:rPr>
                <w:rFonts w:ascii="Times New Roman" w:hAnsi="Times New Roman"/>
                <w:sz w:val="16"/>
              </w:rPr>
              <w:t>Pending</w:t>
            </w:r>
          </w:p>
        </w:tc>
        <w:tc>
          <w:tcPr>
            <w:tcW w:type="dxa" w:w="2089"/>
            <w:vAlign w:val="center"/>
            <w:tcMar>
              <w:top w:w="80" w:type="dxa"/>
              <w:start w:w="100" w:type="dxa"/>
              <w:bottom w:w="80" w:type="dxa"/>
              <w:end w:w="100" w:type="dxa"/>
            </w:tcMar>
          </w:tcPr>
          <w:p>
            <w:pPr>
              <w:keepNext w:val="0"/>
              <w:spacing w:after="0"/>
            </w:pPr>
            <w:r>
              <w:rPr>
                <w:rFonts w:ascii="Times New Roman" w:hAnsi="Times New Roman"/>
                <w:sz w:val="16"/>
              </w:rPr>
              <w:t>Submission package/audit</w:t>
            </w:r>
          </w:p>
        </w:tc>
        <w:tc>
          <w:tcPr>
            <w:tcW w:type="dxa" w:w="1566"/>
            <w:vAlign w:val="center"/>
            <w:tcMar>
              <w:top w:w="80" w:type="dxa"/>
              <w:start w:w="100" w:type="dxa"/>
              <w:bottom w:w="80" w:type="dxa"/>
              <w:end w:w="100" w:type="dxa"/>
            </w:tcMar>
          </w:tcPr>
          <w:p>
            <w:pPr>
              <w:keepNext w:val="0"/>
              <w:spacing w:after="0"/>
            </w:pPr>
            <w:r>
              <w:rPr>
                <w:rFonts w:ascii="Times New Roman" w:hAnsi="Times New Roman"/>
                <w:sz w:val="16"/>
              </w:rPr>
              <w:t>Cross-file mismatch</w:t>
            </w:r>
          </w:p>
        </w:tc>
        <w:tc>
          <w:tcPr>
            <w:tcW w:type="dxa" w:w="1940"/>
            <w:vAlign w:val="center"/>
            <w:tcMar>
              <w:top w:w="80" w:type="dxa"/>
              <w:start w:w="100" w:type="dxa"/>
              <w:bottom w:w="80" w:type="dxa"/>
              <w:end w:w="100" w:type="dxa"/>
            </w:tcMar>
          </w:tcPr>
          <w:p>
            <w:pPr>
              <w:keepNext w:val="0"/>
              <w:spacing w:after="0"/>
            </w:pPr>
            <w:r>
              <w:rPr>
                <w:rFonts w:ascii="Times New Roman" w:hAnsi="Times New Roman"/>
                <w:sz w:val="16"/>
              </w:rPr>
              <w:t>Automated and human QA</w:t>
            </w:r>
          </w:p>
        </w:tc>
        <w:tc>
          <w:tcPr>
            <w:tcW w:type="dxa" w:w="1656"/>
            <w:vAlign w:val="center"/>
            <w:tcMar>
              <w:top w:w="80" w:type="dxa"/>
              <w:start w:w="100" w:type="dxa"/>
              <w:bottom w:w="80" w:type="dxa"/>
              <w:end w:w="100" w:type="dxa"/>
            </w:tcMar>
          </w:tcPr>
          <w:p>
            <w:pPr>
              <w:keepNext w:val="0"/>
              <w:spacing w:after="0"/>
            </w:pPr>
            <w:r>
              <w:rPr>
                <w:rFonts w:ascii="Times New Roman" w:hAnsi="Times New Roman"/>
                <w:sz w:val="16"/>
              </w:rPr>
              <w:t>Consistency checking</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Responsibility-name mapping: </w:t>
            </w:r>
            <w:r>
              <w:rPr>
                <w:rFonts w:ascii="Times New Roman" w:hAnsi="Times New Roman"/>
                <w:sz w:val="20"/>
              </w:rPr>
              <w:t>The signed Team Charter names are Zixuan Shen, Feiyue Ma, Xinzhu Wang and Chengye Jiang. The earlier planning draft uses Mia, Zora, Rianna and Jason as responsibility aliases. Their one-to-one mapping must be confirmed by the team before final submission and is not guessed here.</w:t>
            </w:r>
          </w:p>
        </w:tc>
      </w:tr>
    </w:tbl>
    <w:p>
      <w:pPr>
        <w:spacing w:after="0"/>
      </w:pPr>
    </w:p>
    <w:p>
      <w:pPr>
        <w:pStyle w:val="Heading2"/>
      </w:pPr>
      <w:r>
        <w:t>Expanded risk register</w:t>
      </w:r>
    </w:p>
    <w:tbl>
      <w:tblPr>
        <w:tblStyle w:val="TableGrid"/>
        <w:tblW w:type="dxa" w:w="13965"/>
        <w:tblLayout w:type="fixed"/>
        <w:tblLook w:firstColumn="1" w:firstRow="1" w:lastColumn="0" w:lastRow="0" w:noHBand="0" w:noVBand="1" w:val="04A0"/>
        <w:tblInd w:w="120" w:type="dxa"/>
      </w:tblPr>
      <w:tblGrid>
        <w:gridCol w:w="1710"/>
        <w:gridCol w:w="2708"/>
        <w:gridCol w:w="1211"/>
        <w:gridCol w:w="926"/>
        <w:gridCol w:w="783"/>
        <w:gridCol w:w="2708"/>
        <w:gridCol w:w="2708"/>
        <w:gridCol w:w="1211"/>
      </w:tblGrid>
      <w:tr>
        <w:trPr>
          <w:tblHeader w:val="true"/>
          <w:cantSplit/>
        </w:trPr>
        <w:tc>
          <w:tcPr>
            <w:tcW w:type="dxa" w:w="1710"/>
            <w:shd w:fill="DCE6F1"/>
            <w:vAlign w:val="center"/>
            <w:tcMar>
              <w:top w:w="80" w:type="dxa"/>
              <w:start w:w="100" w:type="dxa"/>
              <w:bottom w:w="80" w:type="dxa"/>
              <w:end w:w="100" w:type="dxa"/>
            </w:tcMar>
          </w:tcPr>
          <w:p>
            <w:pPr>
              <w:keepNext/>
              <w:jc w:val="center"/>
            </w:pPr>
            <w:r>
              <w:rPr>
                <w:rFonts w:ascii="Times New Roman" w:hAnsi="Times New Roman"/>
                <w:b/>
                <w:color w:val="1F2937"/>
                <w:sz w:val="16"/>
              </w:rPr>
              <w:t>Risk</w:t>
            </w:r>
          </w:p>
        </w:tc>
        <w:tc>
          <w:tcPr>
            <w:tcW w:type="dxa" w:w="2708"/>
            <w:shd w:fill="DCE6F1"/>
            <w:vAlign w:val="center"/>
            <w:tcMar>
              <w:top w:w="80" w:type="dxa"/>
              <w:start w:w="100" w:type="dxa"/>
              <w:bottom w:w="80" w:type="dxa"/>
              <w:end w:w="100" w:type="dxa"/>
            </w:tcMar>
          </w:tcPr>
          <w:p>
            <w:pPr>
              <w:keepNext/>
              <w:jc w:val="center"/>
            </w:pPr>
            <w:r>
              <w:rPr>
                <w:rFonts w:ascii="Times New Roman" w:hAnsi="Times New Roman"/>
                <w:b/>
                <w:color w:val="1F2937"/>
                <w:sz w:val="16"/>
              </w:rPr>
              <w:t>Why it may occur</w:t>
            </w:r>
          </w:p>
        </w:tc>
        <w:tc>
          <w:tcPr>
            <w:tcW w:type="dxa" w:w="1211"/>
            <w:shd w:fill="DCE6F1"/>
            <w:vAlign w:val="center"/>
            <w:tcMar>
              <w:top w:w="80" w:type="dxa"/>
              <w:start w:w="100" w:type="dxa"/>
              <w:bottom w:w="80" w:type="dxa"/>
              <w:end w:w="100" w:type="dxa"/>
            </w:tcMar>
          </w:tcPr>
          <w:p>
            <w:pPr>
              <w:keepNext/>
              <w:jc w:val="center"/>
            </w:pPr>
            <w:r>
              <w:rPr>
                <w:rFonts w:ascii="Times New Roman" w:hAnsi="Times New Roman"/>
                <w:b/>
                <w:color w:val="1F2937"/>
                <w:sz w:val="16"/>
              </w:rPr>
              <w:t>Affected task</w:t>
            </w:r>
          </w:p>
        </w:tc>
        <w:tc>
          <w:tcPr>
            <w:tcW w:type="dxa" w:w="926"/>
            <w:shd w:fill="DCE6F1"/>
            <w:vAlign w:val="center"/>
            <w:tcMar>
              <w:top w:w="80" w:type="dxa"/>
              <w:start w:w="100" w:type="dxa"/>
              <w:bottom w:w="80" w:type="dxa"/>
              <w:end w:w="100" w:type="dxa"/>
            </w:tcMar>
          </w:tcPr>
          <w:p>
            <w:pPr>
              <w:keepNext/>
              <w:jc w:val="center"/>
            </w:pPr>
            <w:r>
              <w:rPr>
                <w:rFonts w:ascii="Times New Roman" w:hAnsi="Times New Roman"/>
                <w:b/>
                <w:color w:val="1F2937"/>
                <w:sz w:val="16"/>
              </w:rPr>
              <w:t>Likelihood</w:t>
            </w:r>
          </w:p>
        </w:tc>
        <w:tc>
          <w:tcPr>
            <w:tcW w:type="dxa" w:w="783"/>
            <w:shd w:fill="DCE6F1"/>
            <w:vAlign w:val="center"/>
            <w:tcMar>
              <w:top w:w="80" w:type="dxa"/>
              <w:start w:w="100" w:type="dxa"/>
              <w:bottom w:w="80" w:type="dxa"/>
              <w:end w:w="100" w:type="dxa"/>
            </w:tcMar>
          </w:tcPr>
          <w:p>
            <w:pPr>
              <w:keepNext/>
              <w:jc w:val="center"/>
            </w:pPr>
            <w:r>
              <w:rPr>
                <w:rFonts w:ascii="Times New Roman" w:hAnsi="Times New Roman"/>
                <w:b/>
                <w:color w:val="1F2937"/>
                <w:sz w:val="16"/>
              </w:rPr>
              <w:t>Impact</w:t>
            </w:r>
          </w:p>
        </w:tc>
        <w:tc>
          <w:tcPr>
            <w:tcW w:type="dxa" w:w="2708"/>
            <w:shd w:fill="DCE6F1"/>
            <w:vAlign w:val="center"/>
            <w:tcMar>
              <w:top w:w="80" w:type="dxa"/>
              <w:start w:w="100" w:type="dxa"/>
              <w:bottom w:w="80" w:type="dxa"/>
              <w:end w:w="100" w:type="dxa"/>
            </w:tcMar>
          </w:tcPr>
          <w:p>
            <w:pPr>
              <w:keepNext/>
              <w:jc w:val="center"/>
            </w:pPr>
            <w:r>
              <w:rPr>
                <w:rFonts w:ascii="Times New Roman" w:hAnsi="Times New Roman"/>
                <w:b/>
                <w:color w:val="1F2937"/>
                <w:sz w:val="16"/>
              </w:rPr>
              <w:t>Prevention</w:t>
            </w:r>
          </w:p>
        </w:tc>
        <w:tc>
          <w:tcPr>
            <w:tcW w:type="dxa" w:w="2708"/>
            <w:shd w:fill="DCE6F1"/>
            <w:vAlign w:val="center"/>
            <w:tcMar>
              <w:top w:w="80" w:type="dxa"/>
              <w:start w:w="100" w:type="dxa"/>
              <w:bottom w:w="80" w:type="dxa"/>
              <w:end w:w="100" w:type="dxa"/>
            </w:tcMar>
          </w:tcPr>
          <w:p>
            <w:pPr>
              <w:keepNext/>
              <w:jc w:val="center"/>
            </w:pPr>
            <w:r>
              <w:rPr>
                <w:rFonts w:ascii="Times New Roman" w:hAnsi="Times New Roman"/>
                <w:b/>
                <w:color w:val="1F2937"/>
                <w:sz w:val="16"/>
              </w:rPr>
              <w:t>Contingency / response</w:t>
            </w:r>
          </w:p>
        </w:tc>
        <w:tc>
          <w:tcPr>
            <w:tcW w:type="dxa" w:w="1211"/>
            <w:shd w:fill="DCE6F1"/>
            <w:vAlign w:val="center"/>
            <w:tcMar>
              <w:top w:w="80" w:type="dxa"/>
              <w:start w:w="100" w:type="dxa"/>
              <w:bottom w:w="80" w:type="dxa"/>
              <w:end w:w="100" w:type="dxa"/>
            </w:tcMar>
          </w:tcPr>
          <w:p>
            <w:pPr>
              <w:keepNext/>
              <w:jc w:val="center"/>
            </w:pPr>
            <w:r>
              <w:rPr>
                <w:rFonts w:ascii="Times New Roman" w:hAnsi="Times New Roman"/>
                <w:b/>
                <w:color w:val="1F2937"/>
                <w:sz w:val="16"/>
              </w:rPr>
              <w:t>Owner</w:t>
            </w:r>
          </w:p>
        </w:tc>
      </w:tr>
      <w:tr>
        <w:trPr>
          <w:cantSplit/>
        </w:trPr>
        <w:tc>
          <w:tcPr>
            <w:tcW w:type="dxa" w:w="1710"/>
            <w:vAlign w:val="center"/>
            <w:tcMar>
              <w:top w:w="80" w:type="dxa"/>
              <w:start w:w="100" w:type="dxa"/>
              <w:bottom w:w="80" w:type="dxa"/>
              <w:end w:w="100" w:type="dxa"/>
            </w:tcMar>
          </w:tcPr>
          <w:p>
            <w:pPr>
              <w:keepNext/>
              <w:spacing w:after="0"/>
            </w:pPr>
            <w:r>
              <w:rPr>
                <w:rFonts w:ascii="Times New Roman" w:hAnsi="Times New Roman"/>
                <w:sz w:val="16"/>
              </w:rPr>
              <w:t>Schema drift after tutor feedback</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PK/FK changes affect ERD, dictionary, SQL and video</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Tasks 3–7</w:t>
            </w:r>
          </w:p>
        </w:tc>
        <w:tc>
          <w:tcPr>
            <w:tcW w:type="dxa" w:w="926"/>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783"/>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Treat schema SQL as source of truth; rebuild and regress</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Freeze changes, rerun tests, regenerate all dependent artifacts</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Zora / Jason</w:t>
            </w:r>
          </w:p>
        </w:tc>
      </w:tr>
      <w:tr>
        <w:trPr>
          <w:cantSplit/>
        </w:trPr>
        <w:tc>
          <w:tcPr>
            <w:tcW w:type="dxa" w:w="1710"/>
            <w:vAlign w:val="center"/>
            <w:tcMar>
              <w:top w:w="80" w:type="dxa"/>
              <w:start w:w="100" w:type="dxa"/>
              <w:bottom w:w="80" w:type="dxa"/>
              <w:end w:w="100" w:type="dxa"/>
            </w:tcMar>
          </w:tcPr>
          <w:p>
            <w:pPr>
              <w:keepNext/>
              <w:spacing w:after="0"/>
            </w:pPr>
            <w:r>
              <w:rPr>
                <w:rFonts w:ascii="Times New Roman" w:hAnsi="Times New Roman"/>
                <w:sz w:val="16"/>
              </w:rPr>
              <w:t>Ambiguous v4 duplicate order/product rows</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Repeated pairs differ in quantity, price, refund or status</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Task 6</w:t>
            </w:r>
          </w:p>
        </w:tc>
        <w:tc>
          <w:tcPr>
            <w:tcW w:type="dxa" w:w="926"/>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783"/>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Preserve raw staging rows and source row numbers</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Quarantine whole affected orders; document reasons without aggregation</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Jason / Mia</w:t>
            </w:r>
          </w:p>
        </w:tc>
      </w:tr>
      <w:tr>
        <w:trPr>
          <w:cantSplit/>
        </w:trPr>
        <w:tc>
          <w:tcPr>
            <w:tcW w:type="dxa" w:w="1710"/>
            <w:vAlign w:val="center"/>
            <w:tcMar>
              <w:top w:w="80" w:type="dxa"/>
              <w:start w:w="100" w:type="dxa"/>
              <w:bottom w:w="80" w:type="dxa"/>
              <w:end w:w="100" w:type="dxa"/>
            </w:tcMar>
          </w:tcPr>
          <w:p>
            <w:pPr>
              <w:keepNext/>
              <w:spacing w:after="0"/>
            </w:pPr>
            <w:r>
              <w:rPr>
                <w:rFonts w:ascii="Times New Roman" w:hAnsi="Times New Roman"/>
                <w:sz w:val="16"/>
              </w:rPr>
              <w:t>Reset historical start dates</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Workbook states some current-customer start dates were reset on export</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Task 6</w:t>
            </w:r>
          </w:p>
        </w:tc>
        <w:tc>
          <w:tcPr>
            <w:tcW w:type="dxa" w:w="926"/>
            <w:vAlign w:val="center"/>
            <w:tcMar>
              <w:top w:w="80" w:type="dxa"/>
              <w:start w:w="100" w:type="dxa"/>
              <w:bottom w:w="80" w:type="dxa"/>
              <w:end w:w="100" w:type="dxa"/>
            </w:tcMar>
          </w:tcPr>
          <w:p>
            <w:pPr>
              <w:keepNext/>
              <w:spacing w:after="0"/>
            </w:pPr>
            <w:r>
              <w:rPr>
                <w:rFonts w:ascii="Times New Roman" w:hAnsi="Times New Roman"/>
                <w:sz w:val="16"/>
              </w:rPr>
              <w:t>Medium</w:t>
            </w:r>
          </w:p>
        </w:tc>
        <w:tc>
          <w:tcPr>
            <w:tcW w:type="dxa" w:w="783"/>
            <w:vAlign w:val="center"/>
            <w:tcMar>
              <w:top w:w="80" w:type="dxa"/>
              <w:start w:w="100" w:type="dxa"/>
              <w:bottom w:w="80" w:type="dxa"/>
              <w:end w:w="100" w:type="dxa"/>
            </w:tcMar>
          </w:tcPr>
          <w:p>
            <w:pPr>
              <w:keepNext/>
              <w:spacing w:after="0"/>
            </w:pPr>
            <w:r>
              <w:rPr>
                <w:rFonts w:ascii="Times New Roman" w:hAnsi="Times New Roman"/>
                <w:sz w:val="16"/>
              </w:rPr>
              <w:t>Medium</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Record source limitation and preserve raw value</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Do not invent lost dates; disclose limitation</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Jason / Mia</w:t>
            </w:r>
          </w:p>
        </w:tc>
      </w:tr>
      <w:tr>
        <w:trPr>
          <w:cantSplit/>
        </w:trPr>
        <w:tc>
          <w:tcPr>
            <w:tcW w:type="dxa" w:w="1710"/>
            <w:vAlign w:val="center"/>
            <w:tcMar>
              <w:top w:w="80" w:type="dxa"/>
              <w:start w:w="100" w:type="dxa"/>
              <w:bottom w:w="80" w:type="dxa"/>
              <w:end w:w="100" w:type="dxa"/>
            </w:tcMar>
          </w:tcPr>
          <w:p>
            <w:pPr>
              <w:keepNext/>
              <w:spacing w:after="0"/>
            </w:pPr>
            <w:r>
              <w:rPr>
                <w:rFonts w:ascii="Times New Roman" w:hAnsi="Times New Roman"/>
                <w:sz w:val="16"/>
              </w:rPr>
              <w:t>Multiple simultaneous current history rows</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Dated associations can accidentally create duplicate current facts</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Tasks 3–5</w:t>
            </w:r>
          </w:p>
        </w:tc>
        <w:tc>
          <w:tcPr>
            <w:tcW w:type="dxa" w:w="926"/>
            <w:vAlign w:val="center"/>
            <w:tcMar>
              <w:top w:w="80" w:type="dxa"/>
              <w:start w:w="100" w:type="dxa"/>
              <w:bottom w:w="80" w:type="dxa"/>
              <w:end w:w="100" w:type="dxa"/>
            </w:tcMar>
          </w:tcPr>
          <w:p>
            <w:pPr>
              <w:keepNext/>
              <w:spacing w:after="0"/>
            </w:pPr>
            <w:r>
              <w:rPr>
                <w:rFonts w:ascii="Times New Roman" w:hAnsi="Times New Roman"/>
                <w:sz w:val="16"/>
              </w:rPr>
              <w:t>Medium</w:t>
            </w:r>
          </w:p>
        </w:tc>
        <w:tc>
          <w:tcPr>
            <w:tcW w:type="dxa" w:w="783"/>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Non-overlap triggers and one-current-primary-phone controls</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Reject conflicting writes and correct staging periods</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Jason / Zora</w:t>
            </w:r>
          </w:p>
        </w:tc>
      </w:tr>
      <w:tr>
        <w:trPr>
          <w:cantSplit/>
        </w:trPr>
        <w:tc>
          <w:tcPr>
            <w:tcW w:type="dxa" w:w="1710"/>
            <w:vAlign w:val="center"/>
            <w:tcMar>
              <w:top w:w="80" w:type="dxa"/>
              <w:start w:w="100" w:type="dxa"/>
              <w:bottom w:w="80" w:type="dxa"/>
              <w:end w:w="100" w:type="dxa"/>
            </w:tcMar>
          </w:tcPr>
          <w:p>
            <w:pPr>
              <w:keepNext/>
              <w:spacing w:after="0"/>
            </w:pPr>
            <w:r>
              <w:rPr>
                <w:rFonts w:ascii="Times New Roman" w:hAnsi="Times New Roman"/>
                <w:sz w:val="16"/>
              </w:rPr>
              <w:t>Wine composition below/above 100%</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Total is a cross-row business rule</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Tasks 3–5</w:t>
            </w:r>
          </w:p>
        </w:tc>
        <w:tc>
          <w:tcPr>
            <w:tcW w:type="dxa" w:w="926"/>
            <w:vAlign w:val="center"/>
            <w:tcMar>
              <w:top w:w="80" w:type="dxa"/>
              <w:start w:w="100" w:type="dxa"/>
              <w:bottom w:w="80" w:type="dxa"/>
              <w:end w:w="100" w:type="dxa"/>
            </w:tcMar>
          </w:tcPr>
          <w:p>
            <w:pPr>
              <w:keepNext/>
              <w:spacing w:after="0"/>
            </w:pPr>
            <w:r>
              <w:rPr>
                <w:rFonts w:ascii="Times New Roman" w:hAnsi="Times New Roman"/>
                <w:sz w:val="16"/>
              </w:rPr>
              <w:t>Medium</w:t>
            </w:r>
          </w:p>
        </w:tc>
        <w:tc>
          <w:tcPr>
            <w:tcW w:type="dxa" w:w="783"/>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Validate total before active product release and lock released recipe</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Deactivate product, correct composition, rerun validation</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Jason / Zora</w:t>
            </w:r>
          </w:p>
        </w:tc>
      </w:tr>
      <w:tr>
        <w:trPr>
          <w:cantSplit/>
        </w:trPr>
        <w:tc>
          <w:tcPr>
            <w:tcW w:type="dxa" w:w="1710"/>
            <w:vAlign w:val="center"/>
            <w:tcMar>
              <w:top w:w="80" w:type="dxa"/>
              <w:start w:w="100" w:type="dxa"/>
              <w:bottom w:w="80" w:type="dxa"/>
              <w:end w:w="100" w:type="dxa"/>
            </w:tcMar>
          </w:tcPr>
          <w:p>
            <w:pPr>
              <w:keepNext/>
              <w:spacing w:after="0"/>
            </w:pPr>
            <w:r>
              <w:rPr>
                <w:rFonts w:ascii="Times New Roman" w:hAnsi="Times New Roman"/>
                <w:sz w:val="16"/>
              </w:rPr>
              <w:t>Labour-hour inconsistency</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Manual hour totals can disagree with shift times</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Tasks 3 and 7</w:t>
            </w:r>
          </w:p>
        </w:tc>
        <w:tc>
          <w:tcPr>
            <w:tcW w:type="dxa" w:w="926"/>
            <w:vAlign w:val="center"/>
            <w:tcMar>
              <w:top w:w="80" w:type="dxa"/>
              <w:start w:w="100" w:type="dxa"/>
              <w:bottom w:w="80" w:type="dxa"/>
              <w:end w:w="100" w:type="dxa"/>
            </w:tcMar>
          </w:tcPr>
          <w:p>
            <w:pPr>
              <w:keepNext/>
              <w:spacing w:after="0"/>
            </w:pPr>
            <w:r>
              <w:rPr>
                <w:rFonts w:ascii="Times New Roman" w:hAnsi="Times New Roman"/>
                <w:sz w:val="16"/>
              </w:rPr>
              <w:t>Medium</w:t>
            </w:r>
          </w:p>
        </w:tc>
        <w:tc>
          <w:tcPr>
            <w:tcW w:type="dxa" w:w="783"/>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Store actual assignment times/breaks and derive hours</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Correct source times and rerun workforce metrics</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Jason / Rianna</w:t>
            </w:r>
          </w:p>
        </w:tc>
      </w:tr>
      <w:tr>
        <w:trPr>
          <w:cantSplit/>
        </w:trPr>
        <w:tc>
          <w:tcPr>
            <w:tcW w:type="dxa" w:w="1710"/>
            <w:vAlign w:val="center"/>
            <w:tcMar>
              <w:top w:w="80" w:type="dxa"/>
              <w:start w:w="100" w:type="dxa"/>
              <w:bottom w:w="80" w:type="dxa"/>
              <w:end w:w="100" w:type="dxa"/>
            </w:tcMar>
          </w:tcPr>
          <w:p>
            <w:pPr>
              <w:keepNext/>
              <w:spacing w:after="0"/>
            </w:pPr>
            <w:r>
              <w:rPr>
                <w:rFonts w:ascii="Times New Roman" w:hAnsi="Times New Roman"/>
                <w:sz w:val="16"/>
              </w:rPr>
              <w:t>Task 7 results become stale</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Late schema/data changes alter query outputs or EXPLAIN</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Task 7/video</w:t>
            </w:r>
          </w:p>
        </w:tc>
        <w:tc>
          <w:tcPr>
            <w:tcW w:type="dxa" w:w="926"/>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783"/>
            <w:vAlign w:val="center"/>
            <w:tcMar>
              <w:top w:w="80" w:type="dxa"/>
              <w:start w:w="100" w:type="dxa"/>
              <w:bottom w:w="80" w:type="dxa"/>
              <w:end w:w="100" w:type="dxa"/>
            </w:tcMar>
          </w:tcPr>
          <w:p>
            <w:pPr>
              <w:keepNext/>
              <w:spacing w:after="0"/>
            </w:pPr>
            <w:r>
              <w:rPr>
                <w:rFonts w:ascii="Times New Roman" w:hAnsi="Times New Roman"/>
                <w:sz w:val="16"/>
              </w:rPr>
              <w:t>High</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Execute all six queries against the frozen build</w:t>
            </w:r>
          </w:p>
        </w:tc>
        <w:tc>
          <w:tcPr>
            <w:tcW w:type="dxa" w:w="2708"/>
            <w:vAlign w:val="center"/>
            <w:tcMar>
              <w:top w:w="80" w:type="dxa"/>
              <w:start w:w="100" w:type="dxa"/>
              <w:bottom w:w="80" w:type="dxa"/>
              <w:end w:w="100" w:type="dxa"/>
            </w:tcMar>
          </w:tcPr>
          <w:p>
            <w:pPr>
              <w:keepNext/>
              <w:spacing w:after="0"/>
            </w:pPr>
            <w:r>
              <w:rPr>
                <w:rFonts w:ascii="Times New Roman" w:hAnsi="Times New Roman"/>
                <w:sz w:val="16"/>
              </w:rPr>
              <w:t>Recapture outputs and update interpretations together</w:t>
            </w:r>
          </w:p>
        </w:tc>
        <w:tc>
          <w:tcPr>
            <w:tcW w:type="dxa" w:w="1211"/>
            <w:vAlign w:val="center"/>
            <w:tcMar>
              <w:top w:w="80" w:type="dxa"/>
              <w:start w:w="100" w:type="dxa"/>
              <w:bottom w:w="80" w:type="dxa"/>
              <w:end w:w="100" w:type="dxa"/>
            </w:tcMar>
          </w:tcPr>
          <w:p>
            <w:pPr>
              <w:keepNext/>
              <w:spacing w:after="0"/>
            </w:pPr>
            <w:r>
              <w:rPr>
                <w:rFonts w:ascii="Times New Roman" w:hAnsi="Times New Roman"/>
                <w:sz w:val="16"/>
              </w:rPr>
              <w:t>Rianna / Jason</w:t>
            </w:r>
          </w:p>
        </w:tc>
      </w:tr>
      <w:tr>
        <w:trPr>
          <w:cantSplit/>
        </w:trPr>
        <w:tc>
          <w:tcPr>
            <w:tcW w:type="dxa" w:w="1710"/>
            <w:vAlign w:val="center"/>
            <w:tcMar>
              <w:top w:w="80" w:type="dxa"/>
              <w:start w:w="100" w:type="dxa"/>
              <w:bottom w:w="80" w:type="dxa"/>
              <w:end w:w="100" w:type="dxa"/>
            </w:tcMar>
          </w:tcPr>
          <w:p>
            <w:pPr>
              <w:keepNext w:val="0"/>
              <w:spacing w:after="0"/>
            </w:pPr>
            <w:r>
              <w:rPr>
                <w:rFonts w:ascii="Times New Roman" w:hAnsi="Times New Roman"/>
                <w:sz w:val="16"/>
              </w:rPr>
              <w:t>Evidence from wrong build</w:t>
            </w:r>
          </w:p>
        </w:tc>
        <w:tc>
          <w:tcPr>
            <w:tcW w:type="dxa" w:w="2708"/>
            <w:vAlign w:val="center"/>
            <w:tcMar>
              <w:top w:w="80" w:type="dxa"/>
              <w:start w:w="100" w:type="dxa"/>
              <w:bottom w:w="80" w:type="dxa"/>
              <w:end w:w="100" w:type="dxa"/>
            </w:tcMar>
          </w:tcPr>
          <w:p>
            <w:pPr>
              <w:keepNext w:val="0"/>
              <w:spacing w:after="0"/>
            </w:pPr>
            <w:r>
              <w:rPr>
                <w:rFonts w:ascii="Times New Roman" w:hAnsi="Times New Roman"/>
                <w:sz w:val="16"/>
              </w:rPr>
              <w:t>Screenshots/video may not match submitted SQL</w:t>
            </w:r>
          </w:p>
        </w:tc>
        <w:tc>
          <w:tcPr>
            <w:tcW w:type="dxa" w:w="1211"/>
            <w:vAlign w:val="center"/>
            <w:tcMar>
              <w:top w:w="80" w:type="dxa"/>
              <w:start w:w="100" w:type="dxa"/>
              <w:bottom w:w="80" w:type="dxa"/>
              <w:end w:w="100" w:type="dxa"/>
            </w:tcMar>
          </w:tcPr>
          <w:p>
            <w:pPr>
              <w:keepNext w:val="0"/>
              <w:spacing w:after="0"/>
            </w:pPr>
            <w:r>
              <w:rPr>
                <w:rFonts w:ascii="Times New Roman" w:hAnsi="Times New Roman"/>
                <w:sz w:val="16"/>
              </w:rPr>
              <w:t>Tasks 3,6,7/video</w:t>
            </w:r>
          </w:p>
        </w:tc>
        <w:tc>
          <w:tcPr>
            <w:tcW w:type="dxa" w:w="926"/>
            <w:vAlign w:val="center"/>
            <w:tcMar>
              <w:top w:w="80" w:type="dxa"/>
              <w:start w:w="100" w:type="dxa"/>
              <w:bottom w:w="80" w:type="dxa"/>
              <w:end w:w="100" w:type="dxa"/>
            </w:tcMar>
          </w:tcPr>
          <w:p>
            <w:pPr>
              <w:keepNext w:val="0"/>
              <w:spacing w:after="0"/>
            </w:pPr>
            <w:r>
              <w:rPr>
                <w:rFonts w:ascii="Times New Roman" w:hAnsi="Times New Roman"/>
                <w:sz w:val="16"/>
              </w:rPr>
              <w:t>Medium</w:t>
            </w:r>
          </w:p>
        </w:tc>
        <w:tc>
          <w:tcPr>
            <w:tcW w:type="dxa" w:w="783"/>
            <w:vAlign w:val="center"/>
            <w:tcMar>
              <w:top w:w="80" w:type="dxa"/>
              <w:start w:w="100" w:type="dxa"/>
              <w:bottom w:w="80" w:type="dxa"/>
              <w:end w:w="100" w:type="dxa"/>
            </w:tcMar>
          </w:tcPr>
          <w:p>
            <w:pPr>
              <w:keepNext w:val="0"/>
              <w:spacing w:after="0"/>
            </w:pPr>
            <w:r>
              <w:rPr>
                <w:rFonts w:ascii="Times New Roman" w:hAnsi="Times New Roman"/>
                <w:sz w:val="16"/>
              </w:rPr>
              <w:t>High</w:t>
            </w:r>
          </w:p>
        </w:tc>
        <w:tc>
          <w:tcPr>
            <w:tcW w:type="dxa" w:w="2708"/>
            <w:vAlign w:val="center"/>
            <w:tcMar>
              <w:top w:w="80" w:type="dxa"/>
              <w:start w:w="100" w:type="dxa"/>
              <w:bottom w:w="80" w:type="dxa"/>
              <w:end w:w="100" w:type="dxa"/>
            </w:tcMar>
          </w:tcPr>
          <w:p>
            <w:pPr>
              <w:keepNext w:val="0"/>
              <w:spacing w:after="0"/>
            </w:pPr>
            <w:r>
              <w:rPr>
                <w:rFonts w:ascii="Times New Roman" w:hAnsi="Times New Roman"/>
                <w:sz w:val="16"/>
              </w:rPr>
              <w:t>Rebuild portable SQL immediately before evidence capture</w:t>
            </w:r>
          </w:p>
        </w:tc>
        <w:tc>
          <w:tcPr>
            <w:tcW w:type="dxa" w:w="2708"/>
            <w:vAlign w:val="center"/>
            <w:tcMar>
              <w:top w:w="80" w:type="dxa"/>
              <w:start w:w="100" w:type="dxa"/>
              <w:bottom w:w="80" w:type="dxa"/>
              <w:end w:w="100" w:type="dxa"/>
            </w:tcMar>
          </w:tcPr>
          <w:p>
            <w:pPr>
              <w:keepNext w:val="0"/>
              <w:spacing w:after="0"/>
            </w:pPr>
            <w:r>
              <w:rPr>
                <w:rFonts w:ascii="Times New Roman" w:hAnsi="Times New Roman"/>
                <w:sz w:val="16"/>
              </w:rPr>
              <w:t>Recapture evidence from the frozen build</w:t>
            </w:r>
          </w:p>
        </w:tc>
        <w:tc>
          <w:tcPr>
            <w:tcW w:type="dxa" w:w="1211"/>
            <w:vAlign w:val="center"/>
            <w:tcMar>
              <w:top w:w="80" w:type="dxa"/>
              <w:start w:w="100" w:type="dxa"/>
              <w:bottom w:w="80" w:type="dxa"/>
              <w:end w:w="100" w:type="dxa"/>
            </w:tcMar>
          </w:tcPr>
          <w:p>
            <w:pPr>
              <w:keepNext w:val="0"/>
              <w:spacing w:after="0"/>
            </w:pPr>
            <w:r>
              <w:rPr>
                <w:rFonts w:ascii="Times New Roman" w:hAnsi="Times New Roman"/>
                <w:sz w:val="16"/>
              </w:rPr>
              <w:t>All / Mia</w:t>
            </w:r>
          </w:p>
        </w:tc>
      </w:tr>
    </w:tbl>
    <w:p>
      <w:pPr>
        <w:spacing w:after="0"/>
      </w:pPr>
    </w:p>
    <w:p>
      <w:pPr>
        <w:pStyle w:val="Heading2"/>
      </w:pPr>
      <w:r>
        <w:t>This round: finalisation responsibilities</w:t>
      </w:r>
    </w:p>
    <w:p>
      <w:pPr>
        <w:widowControl/>
      </w:pPr>
      <w:r>
        <w:rPr>
          <w:rFonts w:ascii="Times New Roman" w:hAnsi="Times New Roman"/>
          <w:i w:val="0"/>
          <w:sz w:val="24"/>
        </w:rPr>
        <w:t>These are prospective responsibilities for the current finalisation round and do not claim historical contributions. NEEDS HUMAN CONFIRMATION: alias → real-name mapping.</w:t>
      </w:r>
    </w:p>
    <w:tbl>
      <w:tblPr>
        <w:tblStyle w:val="TableGrid"/>
        <w:tblW w:type="dxa" w:w="13967"/>
        <w:tblLayout w:type="fixed"/>
        <w:tblLook w:firstColumn="1" w:firstRow="1" w:lastColumn="0" w:lastRow="0" w:noHBand="0" w:noVBand="1" w:val="04A0"/>
        <w:tblInd w:w="120" w:type="dxa"/>
      </w:tblPr>
      <w:tblGrid>
        <w:gridCol w:w="2686"/>
        <w:gridCol w:w="11281"/>
      </w:tblGrid>
      <w:tr>
        <w:trPr>
          <w:tblHeader w:val="true"/>
          <w:cantSplit/>
        </w:trPr>
        <w:tc>
          <w:tcPr>
            <w:tcW w:type="dxa" w:w="2686"/>
            <w:shd w:fill="DCE6F1"/>
            <w:vAlign w:val="center"/>
            <w:tcMar>
              <w:top w:w="80" w:type="dxa"/>
              <w:start w:w="100" w:type="dxa"/>
              <w:bottom w:w="80" w:type="dxa"/>
              <w:end w:w="100" w:type="dxa"/>
            </w:tcMar>
          </w:tcPr>
          <w:p>
            <w:pPr>
              <w:keepNext/>
              <w:jc w:val="center"/>
            </w:pPr>
            <w:r>
              <w:rPr>
                <w:rFonts w:ascii="Times New Roman" w:hAnsi="Times New Roman"/>
                <w:b/>
                <w:color w:val="1F2937"/>
                <w:sz w:val="18"/>
              </w:rPr>
              <w:t>Member</w:t>
            </w:r>
          </w:p>
        </w:tc>
        <w:tc>
          <w:tcPr>
            <w:tcW w:type="dxa" w:w="11281"/>
            <w:shd w:fill="DCE6F1"/>
            <w:vAlign w:val="center"/>
            <w:tcMar>
              <w:top w:w="80" w:type="dxa"/>
              <w:start w:w="100" w:type="dxa"/>
              <w:bottom w:w="80" w:type="dxa"/>
              <w:end w:w="100" w:type="dxa"/>
            </w:tcMar>
          </w:tcPr>
          <w:p>
            <w:pPr>
              <w:keepNext/>
              <w:jc w:val="center"/>
            </w:pPr>
            <w:r>
              <w:rPr>
                <w:rFonts w:ascii="Times New Roman" w:hAnsi="Times New Roman"/>
                <w:b/>
                <w:color w:val="1F2937"/>
                <w:sz w:val="18"/>
              </w:rPr>
              <w:t>Finalisation responsibility</w:t>
            </w:r>
          </w:p>
        </w:tc>
      </w:tr>
      <w:tr>
        <w:trPr>
          <w:cantSplit/>
        </w:trPr>
        <w:tc>
          <w:tcPr>
            <w:tcW w:type="dxa" w:w="2686"/>
            <w:vAlign w:val="center"/>
            <w:tcMar>
              <w:top w:w="80" w:type="dxa"/>
              <w:start w:w="100" w:type="dxa"/>
              <w:bottom w:w="80" w:type="dxa"/>
              <w:end w:w="100" w:type="dxa"/>
            </w:tcMar>
          </w:tcPr>
          <w:p>
            <w:pPr>
              <w:keepNext/>
              <w:spacing w:after="0"/>
            </w:pPr>
            <w:r>
              <w:rPr>
                <w:rFonts w:ascii="Times New Roman" w:hAnsi="Times New Roman"/>
                <w:sz w:val="18"/>
              </w:rPr>
              <w:t>Zixuan Shen</w:t>
            </w:r>
          </w:p>
        </w:tc>
        <w:tc>
          <w:tcPr>
            <w:tcW w:type="dxa" w:w="11281"/>
            <w:vAlign w:val="center"/>
            <w:tcMar>
              <w:top w:w="80" w:type="dxa"/>
              <w:start w:w="100" w:type="dxa"/>
              <w:bottom w:w="80" w:type="dxa"/>
              <w:end w:w="100" w:type="dxa"/>
            </w:tcMar>
          </w:tcPr>
          <w:p>
            <w:pPr>
              <w:keepNext/>
              <w:spacing w:after="0"/>
            </w:pPr>
            <w:r>
              <w:rPr>
                <w:rFonts w:ascii="Times New Roman" w:hAnsi="Times New Roman"/>
                <w:sz w:val="18"/>
              </w:rPr>
              <w:t>Final integration, Task 1 Risk Register, consistency, tutor-feedback traceability, Word report, AI declaration and submission QA.</w:t>
            </w:r>
          </w:p>
        </w:tc>
      </w:tr>
      <w:tr>
        <w:trPr>
          <w:cantSplit/>
        </w:trPr>
        <w:tc>
          <w:tcPr>
            <w:tcW w:type="dxa" w:w="2686"/>
            <w:vAlign w:val="center"/>
            <w:tcMar>
              <w:top w:w="80" w:type="dxa"/>
              <w:start w:w="100" w:type="dxa"/>
              <w:bottom w:w="80" w:type="dxa"/>
              <w:end w:w="100" w:type="dxa"/>
            </w:tcMar>
          </w:tcPr>
          <w:p>
            <w:pPr>
              <w:keepNext/>
              <w:spacing w:after="0"/>
            </w:pPr>
            <w:r>
              <w:rPr>
                <w:rFonts w:ascii="Times New Roman" w:hAnsi="Times New Roman"/>
                <w:sz w:val="18"/>
              </w:rPr>
              <w:t>Feiyue Ma</w:t>
            </w:r>
          </w:p>
        </w:tc>
        <w:tc>
          <w:tcPr>
            <w:tcW w:type="dxa" w:w="11281"/>
            <w:vAlign w:val="center"/>
            <w:tcMar>
              <w:top w:w="80" w:type="dxa"/>
              <w:start w:w="100" w:type="dxa"/>
              <w:bottom w:w="80" w:type="dxa"/>
              <w:end w:w="100" w:type="dxa"/>
            </w:tcMar>
          </w:tcPr>
          <w:p>
            <w:pPr>
              <w:keepNext/>
              <w:spacing w:after="0"/>
            </w:pPr>
            <w:r>
              <w:rPr>
                <w:rFonts w:ascii="Times New Roman" w:hAnsi="Times New Roman"/>
                <w:sz w:val="18"/>
              </w:rPr>
              <w:t>Workbench model, latest .mwb, full UML ER and six domain views, Task 4, Task 5 schema/dictionary consistency and ER screenshots.</w:t>
            </w:r>
          </w:p>
        </w:tc>
      </w:tr>
      <w:tr>
        <w:trPr>
          <w:cantSplit/>
        </w:trPr>
        <w:tc>
          <w:tcPr>
            <w:tcW w:type="dxa" w:w="2686"/>
            <w:vAlign w:val="center"/>
            <w:tcMar>
              <w:top w:w="80" w:type="dxa"/>
              <w:start w:w="100" w:type="dxa"/>
              <w:bottom w:w="80" w:type="dxa"/>
              <w:end w:w="100" w:type="dxa"/>
            </w:tcMar>
          </w:tcPr>
          <w:p>
            <w:pPr>
              <w:keepNext/>
              <w:spacing w:after="0"/>
            </w:pPr>
            <w:r>
              <w:rPr>
                <w:rFonts w:ascii="Times New Roman" w:hAnsi="Times New Roman"/>
                <w:sz w:val="18"/>
              </w:rPr>
              <w:t>Xinzhu Wang</w:t>
            </w:r>
          </w:p>
        </w:tc>
        <w:tc>
          <w:tcPr>
            <w:tcW w:type="dxa" w:w="11281"/>
            <w:vAlign w:val="center"/>
            <w:tcMar>
              <w:top w:w="80" w:type="dxa"/>
              <w:start w:w="100" w:type="dxa"/>
              <w:bottom w:w="80" w:type="dxa"/>
              <w:end w:w="100" w:type="dxa"/>
            </w:tcMar>
          </w:tcPr>
          <w:p>
            <w:pPr>
              <w:keepNext/>
              <w:spacing w:after="0"/>
            </w:pPr>
            <w:r>
              <w:rPr>
                <w:rFonts w:ascii="Times New Roman" w:hAnsi="Times New Roman"/>
                <w:sz w:val="18"/>
              </w:rPr>
              <w:t>SQL integrity, T01–T11, official v4 staging/import/cleaning, Task 6 before/after evidence, exceptions and reconciliation.</w:t>
            </w:r>
          </w:p>
        </w:tc>
      </w:tr>
      <w:tr>
        <w:trPr>
          <w:cantSplit/>
        </w:trPr>
        <w:tc>
          <w:tcPr>
            <w:tcW w:type="dxa" w:w="2686"/>
            <w:vAlign w:val="center"/>
            <w:tcMar>
              <w:top w:w="80" w:type="dxa"/>
              <w:start w:w="100" w:type="dxa"/>
              <w:bottom w:w="80" w:type="dxa"/>
              <w:end w:w="100" w:type="dxa"/>
            </w:tcMar>
          </w:tcPr>
          <w:p>
            <w:pPr>
              <w:keepNext w:val="0"/>
              <w:spacing w:after="0"/>
            </w:pPr>
            <w:r>
              <w:rPr>
                <w:rFonts w:ascii="Times New Roman" w:hAnsi="Times New Roman"/>
                <w:sz w:val="18"/>
              </w:rPr>
              <w:t>Chengye Jiang</w:t>
            </w:r>
          </w:p>
        </w:tc>
        <w:tc>
          <w:tcPr>
            <w:tcW w:type="dxa" w:w="11281"/>
            <w:vAlign w:val="center"/>
            <w:tcMar>
              <w:top w:w="80" w:type="dxa"/>
              <w:start w:w="100" w:type="dxa"/>
              <w:bottom w:w="80" w:type="dxa"/>
              <w:end w:w="100" w:type="dxa"/>
            </w:tcMar>
          </w:tcPr>
          <w:p>
            <w:pPr>
              <w:keepNext w:val="0"/>
              <w:spacing w:after="0"/>
            </w:pPr>
            <w:r>
              <w:rPr>
                <w:rFonts w:ascii="Times New Roman" w:hAnsi="Times New Roman"/>
                <w:sz w:val="18"/>
              </w:rPr>
              <w:t>Six Task 7 queries, result screenshots, Query 6 EXPLAIN, actual-number interpretation, personal video demonstration to be completed by the student later.</w:t>
            </w:r>
          </w:p>
        </w:tc>
      </w:tr>
    </w:tbl>
    <w:p>
      <w:pPr>
        <w:spacing w:after="0"/>
      </w:pPr>
    </w:p>
    <w:p>
      <w:pPr>
        <w:pStyle w:val="Heading2"/>
      </w:pPr>
      <w:r>
        <w:t>Checkpoint sequence</w:t>
      </w:r>
    </w:p>
    <w:tbl>
      <w:tblPr>
        <w:tblStyle w:val="TableGrid"/>
        <w:tblW w:type="dxa" w:w="13967"/>
        <w:tblLayout w:type="fixed"/>
        <w:tblLook w:firstColumn="1" w:firstRow="1" w:lastColumn="0" w:lastRow="0" w:noHBand="0" w:noVBand="1" w:val="04A0"/>
        <w:tblInd w:w="120" w:type="dxa"/>
      </w:tblPr>
      <w:tblGrid>
        <w:gridCol w:w="2238"/>
        <w:gridCol w:w="11729"/>
      </w:tblGrid>
      <w:tr>
        <w:trPr>
          <w:tblHeader w:val="true"/>
          <w:cantSplit/>
        </w:trPr>
        <w:tc>
          <w:tcPr>
            <w:tcW w:type="dxa" w:w="2238"/>
            <w:shd w:fill="DCE6F1"/>
            <w:vAlign w:val="center"/>
            <w:tcMar>
              <w:top w:w="80" w:type="dxa"/>
              <w:start w:w="100" w:type="dxa"/>
              <w:bottom w:w="80" w:type="dxa"/>
              <w:end w:w="100" w:type="dxa"/>
            </w:tcMar>
          </w:tcPr>
          <w:p>
            <w:pPr>
              <w:keepNext/>
              <w:jc w:val="center"/>
            </w:pPr>
            <w:r>
              <w:rPr>
                <w:rFonts w:ascii="Times New Roman" w:hAnsi="Times New Roman"/>
                <w:b/>
                <w:color w:val="1F2937"/>
                <w:sz w:val="18"/>
              </w:rPr>
              <w:t>Milestone</w:t>
            </w:r>
          </w:p>
        </w:tc>
        <w:tc>
          <w:tcPr>
            <w:tcW w:type="dxa" w:w="11729"/>
            <w:shd w:fill="DCE6F1"/>
            <w:vAlign w:val="center"/>
            <w:tcMar>
              <w:top w:w="80" w:type="dxa"/>
              <w:start w:w="100" w:type="dxa"/>
              <w:bottom w:w="80" w:type="dxa"/>
              <w:end w:w="100" w:type="dxa"/>
            </w:tcMar>
          </w:tcPr>
          <w:p>
            <w:pPr>
              <w:keepNext/>
              <w:jc w:val="center"/>
            </w:pPr>
            <w:r>
              <w:rPr>
                <w:rFonts w:ascii="Times New Roman" w:hAnsi="Times New Roman"/>
                <w:b/>
                <w:color w:val="1F2937"/>
                <w:sz w:val="18"/>
              </w:rPr>
              <w:t>Evidence</w:t>
            </w:r>
          </w:p>
        </w:tc>
      </w:tr>
      <w:tr>
        <w:trPr>
          <w:cantSplit/>
        </w:trPr>
        <w:tc>
          <w:tcPr>
            <w:tcW w:type="dxa" w:w="2238"/>
            <w:vAlign w:val="center"/>
            <w:tcMar>
              <w:top w:w="80" w:type="dxa"/>
              <w:start w:w="100" w:type="dxa"/>
              <w:bottom w:w="80" w:type="dxa"/>
              <w:end w:w="100" w:type="dxa"/>
            </w:tcMar>
          </w:tcPr>
          <w:p>
            <w:pPr>
              <w:keepNext/>
              <w:spacing w:after="0"/>
            </w:pPr>
            <w:r>
              <w:rPr>
                <w:rFonts w:ascii="Times New Roman" w:hAnsi="Times New Roman"/>
                <w:sz w:val="18"/>
              </w:rPr>
              <w:t>Week 3</w:t>
            </w:r>
          </w:p>
        </w:tc>
        <w:tc>
          <w:tcPr>
            <w:tcW w:type="dxa" w:w="11729"/>
            <w:vAlign w:val="center"/>
            <w:tcMar>
              <w:top w:w="80" w:type="dxa"/>
              <w:start w:w="100" w:type="dxa"/>
              <w:bottom w:w="80" w:type="dxa"/>
              <w:end w:w="100" w:type="dxa"/>
            </w:tcMar>
          </w:tcPr>
          <w:p>
            <w:pPr>
              <w:keepNext/>
              <w:spacing w:after="0"/>
            </w:pPr>
            <w:r>
              <w:rPr>
                <w:rFonts w:ascii="Times New Roman" w:hAnsi="Times New Roman"/>
                <w:sz w:val="18"/>
              </w:rPr>
              <w:t>Team confirmed; contacts shared</w:t>
            </w:r>
          </w:p>
        </w:tc>
      </w:tr>
      <w:tr>
        <w:trPr>
          <w:cantSplit/>
        </w:trPr>
        <w:tc>
          <w:tcPr>
            <w:tcW w:type="dxa" w:w="2238"/>
            <w:vAlign w:val="center"/>
            <w:tcMar>
              <w:top w:w="80" w:type="dxa"/>
              <w:start w:w="100" w:type="dxa"/>
              <w:bottom w:w="80" w:type="dxa"/>
              <w:end w:w="100" w:type="dxa"/>
            </w:tcMar>
          </w:tcPr>
          <w:p>
            <w:pPr>
              <w:keepNext/>
              <w:spacing w:after="0"/>
            </w:pPr>
            <w:r>
              <w:rPr>
                <w:rFonts w:ascii="Times New Roman" w:hAnsi="Times New Roman"/>
                <w:sz w:val="18"/>
              </w:rPr>
              <w:t>Week 4</w:t>
            </w:r>
          </w:p>
        </w:tc>
        <w:tc>
          <w:tcPr>
            <w:tcW w:type="dxa" w:w="11729"/>
            <w:vAlign w:val="center"/>
            <w:tcMar>
              <w:top w:w="80" w:type="dxa"/>
              <w:start w:w="100" w:type="dxa"/>
              <w:bottom w:w="80" w:type="dxa"/>
              <w:end w:w="100" w:type="dxa"/>
            </w:tcMar>
          </w:tcPr>
          <w:p>
            <w:pPr>
              <w:keepNext/>
              <w:spacing w:after="0"/>
            </w:pPr>
            <w:r>
              <w:rPr>
                <w:rFonts w:ascii="Times New Roman" w:hAnsi="Times New Roman"/>
                <w:sz w:val="18"/>
              </w:rPr>
              <w:t>Case understanding, HR perspective, functionality plan</w:t>
            </w:r>
          </w:p>
        </w:tc>
      </w:tr>
      <w:tr>
        <w:trPr>
          <w:cantSplit/>
        </w:trPr>
        <w:tc>
          <w:tcPr>
            <w:tcW w:type="dxa" w:w="2238"/>
            <w:vAlign w:val="center"/>
            <w:tcMar>
              <w:top w:w="80" w:type="dxa"/>
              <w:start w:w="100" w:type="dxa"/>
              <w:bottom w:w="80" w:type="dxa"/>
              <w:end w:w="100" w:type="dxa"/>
            </w:tcMar>
          </w:tcPr>
          <w:p>
            <w:pPr>
              <w:keepNext/>
              <w:spacing w:after="0"/>
            </w:pPr>
            <w:r>
              <w:rPr>
                <w:rFonts w:ascii="Times New Roman" w:hAnsi="Times New Roman"/>
                <w:sz w:val="18"/>
              </w:rPr>
              <w:t>Week 7</w:t>
            </w:r>
          </w:p>
        </w:tc>
        <w:tc>
          <w:tcPr>
            <w:tcW w:type="dxa" w:w="11729"/>
            <w:vAlign w:val="center"/>
            <w:tcMar>
              <w:top w:w="80" w:type="dxa"/>
              <w:start w:w="100" w:type="dxa"/>
              <w:bottom w:w="80" w:type="dxa"/>
              <w:end w:w="100" w:type="dxa"/>
            </w:tcMar>
          </w:tcPr>
          <w:p>
            <w:pPr>
              <w:keepNext/>
              <w:spacing w:after="0"/>
            </w:pPr>
            <w:r>
              <w:rPr>
                <w:rFonts w:ascii="Times New Roman" w:hAnsi="Times New Roman"/>
                <w:sz w:val="18"/>
              </w:rPr>
              <w:t>Draft ER model and decisions</w:t>
            </w:r>
          </w:p>
        </w:tc>
      </w:tr>
      <w:tr>
        <w:trPr>
          <w:cantSplit/>
        </w:trPr>
        <w:tc>
          <w:tcPr>
            <w:tcW w:type="dxa" w:w="2238"/>
            <w:vAlign w:val="center"/>
            <w:tcMar>
              <w:top w:w="80" w:type="dxa"/>
              <w:start w:w="100" w:type="dxa"/>
              <w:bottom w:w="80" w:type="dxa"/>
              <w:end w:w="100" w:type="dxa"/>
            </w:tcMar>
          </w:tcPr>
          <w:p>
            <w:pPr>
              <w:keepNext/>
              <w:spacing w:after="0"/>
            </w:pPr>
            <w:r>
              <w:rPr>
                <w:rFonts w:ascii="Times New Roman" w:hAnsi="Times New Roman"/>
                <w:sz w:val="18"/>
              </w:rPr>
              <w:t>Week 8 Fri</w:t>
            </w:r>
          </w:p>
        </w:tc>
        <w:tc>
          <w:tcPr>
            <w:tcW w:type="dxa" w:w="11729"/>
            <w:vAlign w:val="center"/>
            <w:tcMar>
              <w:top w:w="80" w:type="dxa"/>
              <w:start w:w="100" w:type="dxa"/>
              <w:bottom w:w="80" w:type="dxa"/>
              <w:end w:w="100" w:type="dxa"/>
            </w:tcMar>
          </w:tcPr>
          <w:p>
            <w:pPr>
              <w:keepNext/>
              <w:spacing w:after="0"/>
            </w:pPr>
            <w:r>
              <w:rPr>
                <w:rFonts w:ascii="Times New Roman" w:hAnsi="Times New Roman"/>
                <w:sz w:val="18"/>
              </w:rPr>
              <w:t>Iteration Tasks 1–7</w:t>
            </w:r>
          </w:p>
        </w:tc>
      </w:tr>
      <w:tr>
        <w:trPr>
          <w:cantSplit/>
        </w:trPr>
        <w:tc>
          <w:tcPr>
            <w:tcW w:type="dxa" w:w="2238"/>
            <w:vAlign w:val="center"/>
            <w:tcMar>
              <w:top w:w="80" w:type="dxa"/>
              <w:start w:w="100" w:type="dxa"/>
              <w:bottom w:w="80" w:type="dxa"/>
              <w:end w:w="100" w:type="dxa"/>
            </w:tcMar>
          </w:tcPr>
          <w:p>
            <w:pPr>
              <w:keepNext/>
              <w:spacing w:after="0"/>
            </w:pPr>
            <w:r>
              <w:rPr>
                <w:rFonts w:ascii="Times New Roman" w:hAnsi="Times New Roman"/>
                <w:sz w:val="18"/>
              </w:rPr>
              <w:t>Week 10</w:t>
            </w:r>
          </w:p>
        </w:tc>
        <w:tc>
          <w:tcPr>
            <w:tcW w:type="dxa" w:w="11729"/>
            <w:vAlign w:val="center"/>
            <w:tcMar>
              <w:top w:w="80" w:type="dxa"/>
              <w:start w:w="100" w:type="dxa"/>
              <w:bottom w:w="80" w:type="dxa"/>
              <w:end w:w="100" w:type="dxa"/>
            </w:tcMar>
          </w:tcPr>
          <w:p>
            <w:pPr>
              <w:keepNext/>
              <w:spacing w:after="0"/>
            </w:pPr>
            <w:r>
              <w:rPr>
                <w:rFonts w:ascii="Times New Roman" w:hAnsi="Times New Roman"/>
                <w:sz w:val="18"/>
              </w:rPr>
              <w:t>Normalisation, cleaning plan, business rules</w:t>
            </w:r>
          </w:p>
        </w:tc>
      </w:tr>
      <w:tr>
        <w:trPr>
          <w:cantSplit/>
        </w:trPr>
        <w:tc>
          <w:tcPr>
            <w:tcW w:type="dxa" w:w="2238"/>
            <w:vAlign w:val="center"/>
            <w:tcMar>
              <w:top w:w="80" w:type="dxa"/>
              <w:start w:w="100" w:type="dxa"/>
              <w:bottom w:w="80" w:type="dxa"/>
              <w:end w:w="100" w:type="dxa"/>
            </w:tcMar>
          </w:tcPr>
          <w:p>
            <w:pPr>
              <w:keepNext/>
              <w:spacing w:after="0"/>
            </w:pPr>
            <w:r>
              <w:rPr>
                <w:rFonts w:ascii="Times New Roman" w:hAnsi="Times New Roman"/>
                <w:sz w:val="18"/>
              </w:rPr>
              <w:t>Week 11</w:t>
            </w:r>
          </w:p>
        </w:tc>
        <w:tc>
          <w:tcPr>
            <w:tcW w:type="dxa" w:w="11729"/>
            <w:vAlign w:val="center"/>
            <w:tcMar>
              <w:top w:w="80" w:type="dxa"/>
              <w:start w:w="100" w:type="dxa"/>
              <w:bottom w:w="80" w:type="dxa"/>
              <w:end w:w="100" w:type="dxa"/>
            </w:tcMar>
          </w:tcPr>
          <w:p>
            <w:pPr>
              <w:keepNext/>
              <w:spacing w:after="0"/>
            </w:pPr>
            <w:r>
              <w:rPr>
                <w:rFonts w:ascii="Times New Roman" w:hAnsi="Times New Roman"/>
                <w:sz w:val="18"/>
              </w:rPr>
              <w:t>Draft queries and assigned scenario</w:t>
            </w:r>
          </w:p>
        </w:tc>
      </w:tr>
      <w:tr>
        <w:trPr>
          <w:cantSplit/>
        </w:trPr>
        <w:tc>
          <w:tcPr>
            <w:tcW w:type="dxa" w:w="2238"/>
            <w:vAlign w:val="center"/>
            <w:tcMar>
              <w:top w:w="80" w:type="dxa"/>
              <w:start w:w="100" w:type="dxa"/>
              <w:bottom w:w="80" w:type="dxa"/>
              <w:end w:w="100" w:type="dxa"/>
            </w:tcMar>
          </w:tcPr>
          <w:p>
            <w:pPr>
              <w:keepNext/>
              <w:spacing w:after="0"/>
            </w:pPr>
            <w:r>
              <w:rPr>
                <w:rFonts w:ascii="Times New Roman" w:hAnsi="Times New Roman"/>
                <w:sz w:val="18"/>
              </w:rPr>
              <w:t>Week 12</w:t>
            </w:r>
          </w:p>
        </w:tc>
        <w:tc>
          <w:tcPr>
            <w:tcW w:type="dxa" w:w="11729"/>
            <w:vAlign w:val="center"/>
            <w:tcMar>
              <w:top w:w="80" w:type="dxa"/>
              <w:start w:w="100" w:type="dxa"/>
              <w:bottom w:w="80" w:type="dxa"/>
              <w:end w:w="100" w:type="dxa"/>
            </w:tcMar>
          </w:tcPr>
          <w:p>
            <w:pPr>
              <w:keepNext/>
              <w:spacing w:after="0"/>
            </w:pPr>
            <w:r>
              <w:rPr>
                <w:rFonts w:ascii="Times New Roman" w:hAnsi="Times New Roman"/>
                <w:sz w:val="18"/>
              </w:rPr>
              <w:t>Report, SQL and video</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8"/>
              </w:rPr>
              <w:t>Week 13+1</w:t>
            </w:r>
          </w:p>
        </w:tc>
        <w:tc>
          <w:tcPr>
            <w:tcW w:type="dxa" w:w="11729"/>
            <w:vAlign w:val="center"/>
            <w:tcMar>
              <w:top w:w="80" w:type="dxa"/>
              <w:start w:w="100" w:type="dxa"/>
              <w:bottom w:w="80" w:type="dxa"/>
              <w:end w:w="100" w:type="dxa"/>
            </w:tcMar>
          </w:tcPr>
          <w:p>
            <w:pPr>
              <w:keepNext w:val="0"/>
              <w:spacing w:after="0"/>
            </w:pPr>
            <w:r>
              <w:rPr>
                <w:rFonts w:ascii="Times New Roman" w:hAnsi="Times New Roman"/>
                <w:sz w:val="18"/>
              </w:rPr>
              <w:t>Buddycheck</w:t>
            </w:r>
          </w:p>
        </w:tc>
      </w:tr>
    </w:tbl>
    <w:p>
      <w:pPr>
        <w:spacing w:after="0"/>
      </w:pPr>
    </w:p>
    <w:p>
      <w:pPr>
        <w:sectPr>
          <w:pgSz w:w="16848" w:h="11952" w:orient="landscape"/>
          <w:pgMar w:top="1440" w:right="1440" w:bottom="1440" w:left="1440" w:header="708" w:footer="708" w:gutter="0"/>
          <w:cols w:space="720"/>
          <w:docGrid w:linePitch="360"/>
        </w:sectPr>
      </w:pPr>
    </w:p>
    <w:p>
      <w:pPr>
        <w:pStyle w:val="Heading1"/>
      </w:pPr>
      <w:r>
        <w:t>Task 2 — Design Decision Record</w:t>
      </w:r>
    </w:p>
    <w:p>
      <w:pPr>
        <w:pStyle w:val="Heading2"/>
      </w:pPr>
      <w:r>
        <w:t>Selected perspective and sustainability initiative</w:t>
      </w:r>
    </w:p>
    <w:p>
      <w:pPr>
        <w:widowControl/>
      </w:pPr>
      <w:r>
        <w:rPr>
          <w:rFonts w:ascii="Times New Roman" w:hAnsi="Times New Roman"/>
          <w:i w:val="0"/>
          <w:sz w:val="24"/>
        </w:rPr>
        <w:t>Cloudrest Wines extends the complete winery base model through the Human Resources, Workforce Planning and Wellbeing perspective. Its sustainability initiative measures training coverage and incidents per 1,000 labour hours, supported by overtime, qualification expiry, corrective-action and wellbeing indicators. This differentiates the system from a conventional personnel register: management can relate workforce preparation and exposure to safety outcomes by operational area and period. The design stores only the detail needed for responsible follow-up, while aggregated reporting reduces unnecessary exposure of sensitive wellbeing information.</w:t>
      </w:r>
    </w:p>
    <w:p>
      <w:pPr>
        <w:pStyle w:val="Heading2"/>
      </w:pPr>
      <w:r>
        <w:t>Decision 1 — Model customer types with a supertype and subtypes</w:t>
      </w:r>
    </w:p>
    <w:p>
      <w:pPr>
        <w:widowControl/>
      </w:pPr>
      <w:r>
        <w:rPr>
          <w:rFonts w:ascii="Times New Roman" w:hAnsi="Times New Roman"/>
          <w:i w:val="0"/>
          <w:sz w:val="24"/>
        </w:rPr>
        <w:t>Challenge and source. All customers share identifiers, email, phone, address and order behaviour. Individuals require names/date of birth while businesses require company name, ABN, type and contact names (Wine Company Case, pp. 4–5, “Customers”).</w:t>
      </w:r>
    </w:p>
    <w:p>
      <w:pPr>
        <w:widowControl/>
      </w:pPr>
      <w:r>
        <w:rPr>
          <w:rFonts w:ascii="Times New Roman" w:hAnsi="Times New Roman"/>
          <w:i w:val="0"/>
          <w:sz w:val="24"/>
        </w:rPr>
        <w:t>Alternatives. A single customer table could contain every attribute, with type-dependent nullable columns. Alternatively, separate individual and business tables could duplicate all shared contact and order relationships. The selected model uses customer as the supertype and individualcustomer/businesscustomer as subtype tables.</w:t>
      </w:r>
    </w:p>
    <w:p>
      <w:pPr>
        <w:widowControl/>
      </w:pPr>
      <w:r>
        <w:rPr>
          <w:rFonts w:ascii="Times New Roman" w:hAnsi="Times New Roman"/>
          <w:i w:val="0"/>
          <w:sz w:val="24"/>
        </w:rPr>
        <w:t>Selected design, justification, trade-off and ER traceability. customer is the supertype and individualcustomer/businesscustomer are subtypes. The structure avoids duplicated common attributes and inapplicable NULLs, supports 3NF and gives every order one enforceable customer FK. Type-specific controls improve data quality and reduce accidental exposure of date of birth. The trade-off is an extra join. The ER traces one customer to exactly one subtype and to dated contact associations.</w:t>
      </w:r>
    </w:p>
    <w:p>
      <w:pPr>
        <w:pStyle w:val="Heading2"/>
      </w:pPr>
      <w:r>
        <w:t>Decision 2 — Separate an address from its time-dependent use</w:t>
      </w:r>
    </w:p>
    <w:p>
      <w:pPr>
        <w:widowControl/>
      </w:pPr>
      <w:r>
        <w:rPr>
          <w:rFonts w:ascii="Times New Roman" w:hAnsi="Times New Roman"/>
          <w:i w:val="0"/>
          <w:sz w:val="24"/>
        </w:rPr>
        <w:t>Challenge and source. Employee role, supervisor, address and phone history must be retained; customer delivery uses the current physical address; supplier contact details support procurement (Wine Company Case, pp. 1, 3–5).</w:t>
      </w:r>
    </w:p>
    <w:p>
      <w:pPr>
        <w:widowControl/>
      </w:pPr>
      <w:r>
        <w:rPr>
          <w:rFonts w:ascii="Times New Roman" w:hAnsi="Times New Roman"/>
          <w:i w:val="0"/>
          <w:sz w:val="24"/>
        </w:rPr>
        <w:t>Alternatives. Address columns could be copied into every owner table. A second option is a shared address table with owner ID/type columns, but that creates a polymorphic foreign key MySQL cannot enforce. The selected model stores address structure once and uses typed association tables such as employeeaddress and customeraddress with start/end timestamps.</w:t>
      </w:r>
    </w:p>
    <w:p>
      <w:pPr>
        <w:widowControl/>
      </w:pPr>
      <w:r>
        <w:rPr>
          <w:rFonts w:ascii="Times New Roman" w:hAnsi="Times New Roman"/>
          <w:i w:val="0"/>
          <w:sz w:val="24"/>
        </w:rPr>
        <w:t>Selected design, justification, trade-off and ER traceability. A shared address plus typed employeeaddress, customeraddress and supplieraddress associations provide enforceable FKs and preserve validity periods without overwriting. phone is similarly reused by dated owner-specific associations. A shipment retains its address key. More joins and overlap controls are required, but temporal accuracy, controlled updates and extensibility outweigh the performance cost at course scale. The ER traces each owner to contact history and the shipment to the actual address used.</w:t>
      </w:r>
    </w:p>
    <w:p>
      <w:pPr>
        <w:pStyle w:val="Heading2"/>
      </w:pPr>
      <w:r>
        <w:t>Decision 3 — Separate training definition, delivery and attendance</w:t>
      </w:r>
    </w:p>
    <w:p>
      <w:pPr>
        <w:widowControl/>
      </w:pPr>
      <w:r>
        <w:rPr>
          <w:rFonts w:ascii="Times New Roman" w:hAnsi="Times New Roman"/>
          <w:i w:val="0"/>
          <w:sz w:val="24"/>
        </w:rPr>
        <w:t>Challenge and source. The HR perspective requires course, provider, completion, renewal and competency data and annual coverage by operational area (BISM2207 Assessment Specification, p. 2, “Human Resources”).</w:t>
      </w:r>
    </w:p>
    <w:p>
      <w:pPr>
        <w:widowControl/>
      </w:pPr>
      <w:r>
        <w:rPr>
          <w:rFonts w:ascii="Times New Roman" w:hAnsi="Times New Roman"/>
          <w:i w:val="0"/>
          <w:sz w:val="24"/>
        </w:rPr>
        <w:t>Alternatives. A single employee-training table could repeat course and provider text for every participant. A course table plus employee completion record would reduce repetition but could not represent multiple employees attending one delivery or distinguish repeated sessions. The selected design uses trainingcourse, trainingsession and trainingattendance.</w:t>
      </w:r>
    </w:p>
    <w:p>
      <w:pPr>
        <w:widowControl/>
      </w:pPr>
      <w:r>
        <w:rPr>
          <w:rFonts w:ascii="Times New Roman" w:hAnsi="Times New Roman"/>
          <w:i w:val="0"/>
          <w:sz w:val="24"/>
        </w:rPr>
        <w:t>Selected design, justification, trade-off and ER traceability. trainingcourse, trainingsession and trainingattendance separate definition, delivery and outcome. This removes update anomalies, validates attendance controls and supports repeated/company-wide delivery. Two indexed joins are the accepted OLTP/reporting trade-off. The ER traces course 1:M session and session M:N employee through attendance.</w:t>
      </w:r>
    </w:p>
    <w:p>
      <w:pPr>
        <w:pStyle w:val="Heading2"/>
      </w:pPr>
      <w:r>
        <w:t>Decision 4 — Model incidents and involved employees as many-to-many</w:t>
      </w:r>
    </w:p>
    <w:p>
      <w:pPr>
        <w:widowControl/>
      </w:pPr>
      <w:r>
        <w:rPr>
          <w:rFonts w:ascii="Times New Roman" w:hAnsi="Times New Roman"/>
          <w:i w:val="0"/>
          <w:sz w:val="24"/>
        </w:rPr>
        <w:t>Challenge and source. A workplace event may involve several affected employees, witnesses or reporters; the HR perspective requires incident type, severity, corrective action and lost time (BISM2207 Assessment Specification, p. 2).</w:t>
      </w:r>
    </w:p>
    <w:p>
      <w:pPr>
        <w:widowControl/>
      </w:pPr>
      <w:r>
        <w:rPr>
          <w:rFonts w:ascii="Times New Roman" w:hAnsi="Times New Roman"/>
          <w:i w:val="0"/>
          <w:sz w:val="24"/>
        </w:rPr>
        <w:t>Alternatives. Storing one employee ID in incident is simple but cannot accurately represent multi-person events. Repeating the incident once per employee creates contradictory copies of severity and corrective action. The selected model stores the event once and associates people through incidentemployee, including involvement role and employee-level lost hours.</w:t>
      </w:r>
    </w:p>
    <w:p>
      <w:pPr>
        <w:widowControl/>
      </w:pPr>
      <w:r>
        <w:rPr>
          <w:rFonts w:ascii="Times New Roman" w:hAnsi="Times New Roman"/>
          <w:i w:val="0"/>
          <w:sz w:val="24"/>
        </w:rPr>
        <w:t>Selected design, justification, trade-off and ER traceability. incident stores the event once and incidentemployee records people and involvement roles; correctiveaction depends on the incident. This prevents contradictory copies, permits privacy-aware person/area analysis and avoids duplicate incident-rate numerators. The associative table is additional complexity but correctly represents cardinality. The ER traces incident M:N employee and incident 1:M corrective action.</w:t>
      </w:r>
    </w:p>
    <w:p>
      <w:pPr>
        <w:pStyle w:val="Heading1"/>
      </w:pPr>
      <w:r>
        <w:t>Task 3 — Database Functionality and Business Rules</w:t>
      </w:r>
    </w:p>
    <w:tbl>
      <w:tblPr>
        <w:tblStyle w:val="TableGrid"/>
        <w:tblW w:type="dxa" w:w="9070"/>
        <w:tblLayout w:type="fixed"/>
        <w:tblLook w:firstColumn="1" w:firstRow="1" w:lastColumn="0" w:lastRow="0" w:noHBand="0" w:noVBand="1" w:val="04A0"/>
        <w:tblInd w:w="120" w:type="dxa"/>
      </w:tblPr>
      <w:tblGrid>
        <w:gridCol w:w="1260"/>
        <w:gridCol w:w="1647"/>
        <w:gridCol w:w="1841"/>
        <w:gridCol w:w="2132"/>
        <w:gridCol w:w="2190"/>
      </w:tblGrid>
      <w:tr>
        <w:trPr>
          <w:tblHeader w:val="true"/>
          <w:cantSplit/>
        </w:trPr>
        <w:tc>
          <w:tcPr>
            <w:tcW w:type="dxa" w:w="1260"/>
            <w:shd w:fill="DCE6F1"/>
            <w:vAlign w:val="center"/>
            <w:tcMar>
              <w:top w:w="80" w:type="dxa"/>
              <w:start w:w="100" w:type="dxa"/>
              <w:bottom w:w="80" w:type="dxa"/>
              <w:end w:w="100" w:type="dxa"/>
            </w:tcMar>
          </w:tcPr>
          <w:p>
            <w:pPr>
              <w:keepNext/>
              <w:jc w:val="center"/>
            </w:pPr>
            <w:r>
              <w:rPr>
                <w:rFonts w:ascii="Times New Roman" w:hAnsi="Times New Roman"/>
                <w:b/>
                <w:color w:val="1F2937"/>
                <w:sz w:val="14"/>
              </w:rPr>
              <w:t>Stakeholder</w:t>
            </w:r>
          </w:p>
        </w:tc>
        <w:tc>
          <w:tcPr>
            <w:tcW w:type="dxa" w:w="1647"/>
            <w:shd w:fill="DCE6F1"/>
            <w:vAlign w:val="center"/>
            <w:tcMar>
              <w:top w:w="80" w:type="dxa"/>
              <w:start w:w="100" w:type="dxa"/>
              <w:bottom w:w="80" w:type="dxa"/>
              <w:end w:w="100" w:type="dxa"/>
            </w:tcMar>
          </w:tcPr>
          <w:p>
            <w:pPr>
              <w:keepNext/>
              <w:jc w:val="center"/>
            </w:pPr>
            <w:r>
              <w:rPr>
                <w:rFonts w:ascii="Times New Roman" w:hAnsi="Times New Roman"/>
                <w:b/>
                <w:color w:val="1F2937"/>
                <w:sz w:val="14"/>
              </w:rPr>
              <w:t>Need / Risk</w:t>
            </w:r>
          </w:p>
        </w:tc>
        <w:tc>
          <w:tcPr>
            <w:tcW w:type="dxa" w:w="1841"/>
            <w:shd w:fill="DCE6F1"/>
            <w:vAlign w:val="center"/>
            <w:tcMar>
              <w:top w:w="80" w:type="dxa"/>
              <w:start w:w="100" w:type="dxa"/>
              <w:bottom w:w="80" w:type="dxa"/>
              <w:end w:w="100" w:type="dxa"/>
            </w:tcMar>
          </w:tcPr>
          <w:p>
            <w:pPr>
              <w:keepNext/>
              <w:jc w:val="center"/>
            </w:pPr>
            <w:r>
              <w:rPr>
                <w:rFonts w:ascii="Times New Roman" w:hAnsi="Times New Roman"/>
                <w:b/>
                <w:color w:val="1F2937"/>
                <w:sz w:val="14"/>
              </w:rPr>
              <w:t>Database Requirement</w:t>
            </w:r>
          </w:p>
        </w:tc>
        <w:tc>
          <w:tcPr>
            <w:tcW w:type="dxa" w:w="2132"/>
            <w:shd w:fill="DCE6F1"/>
            <w:vAlign w:val="center"/>
            <w:tcMar>
              <w:top w:w="80" w:type="dxa"/>
              <w:start w:w="100" w:type="dxa"/>
              <w:bottom w:w="80" w:type="dxa"/>
              <w:end w:w="100" w:type="dxa"/>
            </w:tcMar>
          </w:tcPr>
          <w:p>
            <w:pPr>
              <w:keepNext/>
              <w:jc w:val="center"/>
            </w:pPr>
            <w:r>
              <w:rPr>
                <w:rFonts w:ascii="Times New Roman" w:hAnsi="Times New Roman"/>
                <w:b/>
                <w:color w:val="1F2937"/>
                <w:sz w:val="14"/>
              </w:rPr>
              <w:t>Design Response</w:t>
            </w:r>
          </w:p>
        </w:tc>
        <w:tc>
          <w:tcPr>
            <w:tcW w:type="dxa" w:w="2190"/>
            <w:shd w:fill="DCE6F1"/>
            <w:vAlign w:val="center"/>
            <w:tcMar>
              <w:top w:w="80" w:type="dxa"/>
              <w:start w:w="100" w:type="dxa"/>
              <w:bottom w:w="80" w:type="dxa"/>
              <w:end w:w="100" w:type="dxa"/>
            </w:tcMar>
          </w:tcPr>
          <w:p>
            <w:pPr>
              <w:keepNext/>
              <w:jc w:val="center"/>
            </w:pPr>
            <w:r>
              <w:rPr>
                <w:rFonts w:ascii="Times New Roman" w:hAnsi="Times New Roman"/>
                <w:b/>
                <w:color w:val="1F2937"/>
                <w:sz w:val="14"/>
              </w:rPr>
              <w:t>Priority / Trade-off</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Owners / management</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Reliable compliance data</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Integrated history and decision queries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Normalised schema and six queries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Reporting convenience vs integrity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HR manager</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Accurate private HR records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Temporal roles/classifications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Dated HR tables; restricted notes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Privacy first</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Supervisors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Current teams and workload</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One supervisor at a time</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Overlap trigger</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Integrity first</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Permanent employees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Correct history</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Current and historical contacts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Dated associations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High</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Casual / seasonal employees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Correct seasonal status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CASUAL + SEASONAL dimensions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Separate type/pattern</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Avoid conflation</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Safety / compliance</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Multi-person/near-miss evidence</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Roles and zero lost hours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Incident association</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Evidence accuracy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Customers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Postal contact, physical delivery</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Multiple addresses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Shipment trigger</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Delivery integrity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Suppliers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Retained contact changes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Temporal address/phone</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Supplier associations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Extra joins accepted</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Reporting users</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Reproducible private metrics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Aggregates and safeguards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Defined query logic</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Accuracy/privacy</w:t>
            </w:r>
          </w:p>
        </w:tc>
      </w:tr>
      <w:tr>
        <w:trPr>
          <w:cantSplit/>
        </w:trPr>
        <w:tc>
          <w:tcPr>
            <w:tcW w:type="dxa" w:w="1260"/>
            <w:vAlign w:val="center"/>
            <w:tcMar>
              <w:top w:w="80" w:type="dxa"/>
              <w:start w:w="100" w:type="dxa"/>
              <w:bottom w:w="80" w:type="dxa"/>
              <w:end w:w="100" w:type="dxa"/>
            </w:tcMar>
          </w:tcPr>
          <w:p>
            <w:pPr>
              <w:keepNext w:val="0"/>
              <w:spacing w:after="0"/>
            </w:pPr>
            <w:r>
              <w:rPr>
                <w:rFonts w:ascii="Times New Roman" w:hAnsi="Times New Roman"/>
                <w:sz w:val="14"/>
              </w:rPr>
              <w:t>Community</w:t>
            </w:r>
          </w:p>
        </w:tc>
        <w:tc>
          <w:tcPr>
            <w:tcW w:type="dxa" w:w="1647"/>
            <w:vAlign w:val="center"/>
            <w:tcMar>
              <w:top w:w="80" w:type="dxa"/>
              <w:start w:w="100" w:type="dxa"/>
              <w:bottom w:w="80" w:type="dxa"/>
              <w:end w:w="100" w:type="dxa"/>
            </w:tcMar>
          </w:tcPr>
          <w:p>
            <w:pPr>
              <w:keepNext w:val="0"/>
              <w:spacing w:after="0"/>
            </w:pPr>
            <w:r>
              <w:rPr>
                <w:rFonts w:ascii="Times New Roman" w:hAnsi="Times New Roman"/>
                <w:sz w:val="14"/>
              </w:rPr>
              <w:t>Safe responsible operations</w:t>
            </w:r>
          </w:p>
        </w:tc>
        <w:tc>
          <w:tcPr>
            <w:tcW w:type="dxa" w:w="1841"/>
            <w:vAlign w:val="center"/>
            <w:tcMar>
              <w:top w:w="80" w:type="dxa"/>
              <w:start w:w="100" w:type="dxa"/>
              <w:bottom w:w="80" w:type="dxa"/>
              <w:end w:w="100" w:type="dxa"/>
            </w:tcMar>
          </w:tcPr>
          <w:p>
            <w:pPr>
              <w:keepNext w:val="0"/>
              <w:spacing w:after="0"/>
            </w:pPr>
            <w:r>
              <w:rPr>
                <w:rFonts w:ascii="Times New Roman" w:hAnsi="Times New Roman"/>
                <w:sz w:val="14"/>
              </w:rPr>
              <w:t>Auditable training/actions</w:t>
            </w:r>
          </w:p>
        </w:tc>
        <w:tc>
          <w:tcPr>
            <w:tcW w:type="dxa" w:w="2132"/>
            <w:vAlign w:val="center"/>
            <w:tcMar>
              <w:top w:w="80" w:type="dxa"/>
              <w:start w:w="100" w:type="dxa"/>
              <w:bottom w:w="80" w:type="dxa"/>
              <w:end w:w="100" w:type="dxa"/>
            </w:tcMar>
          </w:tcPr>
          <w:p>
            <w:pPr>
              <w:keepNext w:val="0"/>
              <w:spacing w:after="0"/>
            </w:pPr>
            <w:r>
              <w:rPr>
                <w:rFonts w:ascii="Times New Roman" w:hAnsi="Times New Roman"/>
                <w:sz w:val="14"/>
              </w:rPr>
              <w:t>Traceable records</w:t>
            </w:r>
          </w:p>
        </w:tc>
        <w:tc>
          <w:tcPr>
            <w:tcW w:type="dxa" w:w="2190"/>
            <w:vAlign w:val="center"/>
            <w:tcMar>
              <w:top w:w="80" w:type="dxa"/>
              <w:start w:w="100" w:type="dxa"/>
              <w:bottom w:w="80" w:type="dxa"/>
              <w:end w:w="100" w:type="dxa"/>
            </w:tcMar>
          </w:tcPr>
          <w:p>
            <w:pPr>
              <w:keepNext w:val="0"/>
              <w:spacing w:after="0"/>
            </w:pPr>
            <w:r>
              <w:rPr>
                <w:rFonts w:ascii="Times New Roman" w:hAnsi="Times New Roman"/>
                <w:sz w:val="14"/>
              </w:rPr>
              <w:t>Public value/privacy</w:t>
            </w:r>
          </w:p>
        </w:tc>
      </w:tr>
    </w:tbl>
    <w:p>
      <w:pPr>
        <w:spacing w:after="0"/>
      </w:pPr>
    </w:p>
    <w:p>
      <w:pPr>
        <w:pStyle w:val="Heading2"/>
      </w:pPr>
      <w:r>
        <w:t>3a. Functionality description</w:t>
      </w:r>
    </w:p>
    <w:p>
      <w:pPr>
        <w:widowControl/>
      </w:pPr>
      <w:r>
        <w:rPr>
          <w:rFonts w:ascii="Times New Roman" w:hAnsi="Times New Roman"/>
          <w:i w:val="0"/>
          <w:sz w:val="24"/>
        </w:rPr>
        <w:t>Cloudrest Wines needs a transactional database because spreadsheet and document records no longer scale to business growth, biosecurity reporting and sustainability evidence (Wine Company Case, p. 1). The MySQL system integrates personnel, vineyard plantings, harvests, wines, bottles, suppliers, customers and orders. The selected HR perspective adds qualifications, training, shifts, labour hours, incidents, corrective actions and confidential wellbeing check-ins (BISM2207 Assessment Specification, p. 2). It supports annual safety/sustainability training coverage and incident rates per 1,000 labour hours.</w:t>
      </w:r>
    </w:p>
    <w:p>
      <w:pPr>
        <w:widowControl/>
      </w:pPr>
      <w:r>
        <w:rPr>
          <w:rFonts w:ascii="Times New Roman" w:hAnsi="Times New Roman"/>
          <w:i w:val="0"/>
          <w:sz w:val="24"/>
        </w:rPr>
        <w:t>The design targets 3NF and OLTP use. Repeating phones and addresses are separate entities; temporal association tables preserve employee, customer and supplier contact history. Course definitions, delivered sessions and individual attendance are separated. Many-to-many facts use associative tables, including wine composition, incident involvement and training attendance. Role, supervisor, address, phone and price histories retain effective dates rather than overwriting facts.</w:t>
      </w:r>
    </w:p>
    <w:p>
      <w:pPr>
        <w:widowControl/>
      </w:pPr>
      <w:r>
        <w:rPr>
          <w:rFonts w:ascii="Times New Roman" w:hAnsi="Times New Roman"/>
          <w:i w:val="0"/>
          <w:sz w:val="24"/>
        </w:rPr>
        <w:t>Controls combine types, NOT NULL, candidate keys, foreign keys, CHECK constraints and triggers. Row constraints reject invalid dates and domains. Triggers enforce rules needing other rows or tables, such as non-overlapping supervision and paid, non-cancelled, physical shipment addresses (current customer addresses for records without a product-specific delivery snapshot) with shipment dates on or after order receipt. The submitted rule script uses transactions and rollback. Standalone screenshot tests were followed by a clean verifier rebuild before final query capture, removing all setup rows. Employee/customer contact histories are stored with effective dates; the test data follows sensible current-contact patterns, while the current schema does not claim an exactly-one-current rule for every employee/customer phone or address association.</w:t>
      </w:r>
    </w:p>
    <w:p>
      <w:pPr>
        <w:widowControl/>
      </w:pPr>
      <w:r>
        <w:rPr>
          <w:rFonts w:ascii="Times New Roman" w:hAnsi="Times New Roman"/>
          <w:i w:val="0"/>
          <w:sz w:val="24"/>
        </w:rPr>
        <w:t>Privacy is handled in the submitted build through data minimisation: routine decision-support output uses IDs or aggregates and excludes confidential wellbeing notes. The SQL submission does not define production MySQL users/roles or application authorisation policies, so the report does not claim database-level access control that is absent from the code. A production deployment would add least-privilege database roles and application-level access control for TFNs, dates of birth, contact data, incident participation and wellbeing details.</w:t>
      </w:r>
    </w:p>
    <w:p>
      <w:pPr>
        <w:widowControl/>
      </w:pPr>
      <w:r>
        <w:rPr>
          <w:rFonts w:ascii="Times New Roman" w:hAnsi="Times New Roman"/>
          <w:i w:val="0"/>
          <w:sz w:val="24"/>
        </w:rPr>
        <w:t>Payroll, payment instruments, delivery costing and unrelated inventory remain outside scope, consistent with the case. The system provides reliable operational evidence without adding enterprise functions the four-person team could not explain or validate.</w:t>
      </w:r>
    </w:p>
    <w:p>
      <w:pPr>
        <w:pStyle w:val="Heading2"/>
      </w:pPr>
      <w:r>
        <w:t>Stakeholder and community requirements</w:t>
      </w:r>
    </w:p>
    <w:p>
      <w:pPr>
        <w:widowControl/>
      </w:pPr>
      <w:r>
        <w:rPr>
          <w:rFonts w:ascii="Times New Roman" w:hAnsi="Times New Roman"/>
          <w:i w:val="0"/>
          <w:sz w:val="24"/>
        </w:rPr>
        <w:t>Exception coverage includes multi-person incidents; employee role, supervisor, address and phone changes; supplier address and phone changes; simultaneous customer physical/postal addresses; high overtime without an incident; confidential wellbeing notes; and a serious near miss with zero lost hours.</w:t>
      </w:r>
    </w:p>
    <w:p>
      <w:pPr>
        <w:pStyle w:val="Heading2"/>
      </w:pPr>
      <w:r>
        <w:t>3a.1 Tutor-feedback integrity revisions</w:t>
      </w:r>
    </w:p>
    <w:p>
      <w:pPr>
        <w:widowControl/>
      </w:pPr>
      <w:r>
        <w:rPr>
          <w:rFonts w:ascii="Times New Roman" w:hAnsi="Times New Roman"/>
          <w:i w:val="0"/>
          <w:sz w:val="24"/>
        </w:rPr>
        <w:t>The revised schema addresses the specific integrity gaps identified in tutor review.</w:t>
      </w:r>
    </w:p>
    <w:p>
      <w:pPr>
        <w:widowControl/>
      </w:pPr>
      <w:r>
        <w:rPr>
          <w:rFonts w:ascii="Times New Roman" w:hAnsi="Times New Roman"/>
          <w:i w:val="0"/>
          <w:sz w:val="24"/>
        </w:rPr>
        <w:t>- Vineyard planting and harvest. vineyardplanting is identified by vineyard, vintage and grape variety, allowing more than one variety in the same vineyard/year. harvest stores the same grape-variety key and references the exact planting row. - Refund grain. refund stores productId with customerOrderId and uses a composite foreign key to orderline, so a refund cannot refer to a product that was not part of the order. - Picking-pack history. joinedDate is part of the packmember primary key. A picker can leave and later rejoin the same pack, while an overlap trigger prevents simultaneous membership periods. - Historical contacts. Employee and supplier address periods cannot overlap for the same address kind. Customer address history records a purpose (Primary, Delivery, Billing or Correspondence) and cannot overlap within the same purpose. This permits legitimate concurrent Delivery and Billing addresses in the supplied v4 data. Employee, customer and supplier phone history allows retained numbers but prevents more than one current primary phone. - Wine composition. Row percentages remain individually constrained, while a cross-row validation procedure requires a wine recipe to contain at least one variety and total exactly 100% before an active product is released. Released recipes are locked against ad-hoc composition edits until their products are deactivated. - Shift integrity. shiftassignment no longer stores independent regular/overtime totals alongside shift times. It stores actual start time, actual end time and break minutes. Labour hours and overtime are derived in reporting queries, removing the duplicate fact that the tutor identified. - Role history. Existing role-overlap triggers already implement the tutor clarification that the previous role must finish before the next active role starts. - Sustainability reporting. The selected HR perspective is measured through two explicit quantitative indicators: annual completion coverage for both Safety and Sustainability training, and workplace incidents per 1,000 actual labour hours. The second metric uses the revised derived assignment hours as its denominator.</w:t>
      </w:r>
    </w:p>
    <w:p>
      <w:pPr>
        <w:widowControl/>
      </w:pPr>
      <w:r>
        <w:rPr>
          <w:rFonts w:ascii="Times New Roman" w:hAnsi="Times New Roman"/>
          <w:i w:val="0"/>
          <w:sz w:val="24"/>
        </w:rPr>
        <w:t>These controls are additional to the five assessed Task 3b rules below. They are included because they protect the model and the final decision-support results even where they are not selected as one of the five screenshot rules.</w:t>
      </w:r>
    </w:p>
    <w:p>
      <w:pPr>
        <w:pStyle w:val="Heading2"/>
      </w:pPr>
      <w:r>
        <w:t>3b. Five assessed database-enforced business rules</w:t>
      </w:r>
    </w:p>
    <w:p>
      <w:pPr>
        <w:pStyle w:val="Heading3"/>
      </w:pPr>
      <w:r>
        <w:t>Rule 1 — Historical role dates</w:t>
      </w:r>
    </w:p>
    <w:p>
      <w:pPr>
        <w:widowControl/>
      </w:pPr>
      <w:r>
        <w:rPr>
          <w:rFonts w:ascii="Times New Roman" w:hAnsi="Times New Roman"/>
          <w:i w:val="0"/>
          <w:sz w:val="24"/>
        </w:rPr>
        <w:t>- Rule: An employee role end date/time cannot precede its start date/time. - Case source: Personnel requires role history with start and end dates (Wine Company Case, pp. 1–2). - Mechanism: chk_employeerole_dates CHECK. - Violation: database/tests/task3b_ruleviolations.sql creates a temporary test employee inside a transaction and inserts an end in May before a June start. - Expected result: MySQL Error 3819 naming chk_employeerole_dates.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1: role end cannot precede start</w:t>
        <w:br/>
        <w:t>-- Expected: Error 3819 naming chk_employeerole_dates</w:t>
        <w:br/>
        <w:t>-- =========================================================</w:t>
        <w:br/>
        <w:t>ROLLBACK;</w:t>
        <w:br/>
        <w:t>START TRANSACTION;</w:t>
        <w:br/>
        <w:t>INSERT INTO employee</w:t>
        <w:br/>
        <w:t>(employeeId, firstName, lastName, taxFileNumber, employmentStartDate, employmentEndDate)</w:t>
        <w:br/>
        <w:t>VALUES</w:t>
        <w:br/>
        <w:t>('EMP9999', 'Rule', 'Test', '998877665', '2026-01-01', NULL);</w:t>
        <w:br/>
        <w:br/>
        <w:t>INSERT INTO employeerole</w:t>
        <w:br/>
        <w:t>(employeeId, roleId, operationalAreaId, startDateTime, endDateTime,</w:t>
        <w:br/>
        <w:t xml:space="preserve"> workTimeType, employmentType, employmentPattern)</w:t>
        <w:br/>
        <w:t>VALUES</w:t>
        <w:br/>
        <w:t>('EMP9999', 'ROLE07', 'AREA04', '2026-06-01 09:00:00', '2026-05-01 09:00:00',</w:t>
        <w:br/>
        <w:t xml:space="preserve"> 'PARTTIME', 'PERMANENT', 'ONGOING');</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1" name="Picture 1"/>
            <wp:cNvGraphicFramePr>
              <a:graphicFrameLocks noChangeAspect="1"/>
            </wp:cNvGraphicFramePr>
            <a:graphic>
              <a:graphicData uri="http://schemas.openxmlformats.org/drawingml/2006/picture">
                <pic:pic>
                  <pic:nvPicPr>
                    <pic:cNvPr id="0" name="t02_invalidroledate.png"/>
                    <pic:cNvPicPr/>
                  </pic:nvPicPr>
                  <pic:blipFill>
                    <a:blip r:embed="rId11"/>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1: genuine local MySQL Workbench execution, 2026-10-07</w:t>
      </w:r>
    </w:p>
    <w:p>
      <w:pPr>
        <w:pStyle w:val="Heading3"/>
      </w:pPr>
      <w:r>
        <w:t>Rule 2 — Bottle reorder explanation</w:t>
      </w:r>
    </w:p>
    <w:p>
      <w:pPr>
        <w:widowControl/>
      </w:pPr>
      <w:r>
        <w:rPr>
          <w:rFonts w:ascii="Times New Roman" w:hAnsi="Times New Roman"/>
          <w:i w:val="0"/>
          <w:sz w:val="24"/>
        </w:rPr>
        <w:t>- Rule: reorderFlag = FALSE requires a nonblank explanation. - Case source: Bottle quality problems and reasons for not reordering must be recorded (Wine Company Case, p. 3). - Mechanism: chk_bottletype_reorder CHECK. - Violation: database/tests/task3b_ruleviolations.sql supplies NULL inside an isolated transaction. - Expected result: MySQL Error 3819 naming chk_bottletype_reorder.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2: reorder FALSE requires a nonblank comment</w:t>
        <w:br/>
        <w:t>-- Expected: Error 3819 naming chk_bottletype_reorder</w:t>
        <w:br/>
        <w:t>-- =========================================================</w:t>
        <w:br/>
        <w:t>ROLLBACK;</w:t>
        <w:br/>
        <w:t>START TRANSACTION;</w:t>
        <w:br/>
        <w:t>INSERT INTO bottletype</w:t>
        <w:br/>
        <w:t>(bottleTypeId, capacityMl, bottleShape, material, bottleColour,</w:t>
        <w:br/>
        <w:t xml:space="preserve"> inventoryQuantity, usualUnitCost, reorderFlag, reorderComment)</w:t>
        <w:br/>
        <w:t>VALUES</w:t>
        <w:br/>
        <w:t>('BOTL099', 750, 'Test', 'GLASS', 'Green', 0, 1.00, FALSE, NULL);</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2" name="Picture 2"/>
            <wp:cNvGraphicFramePr>
              <a:graphicFrameLocks noChangeAspect="1"/>
            </wp:cNvGraphicFramePr>
            <a:graphic>
              <a:graphicData uri="http://schemas.openxmlformats.org/drawingml/2006/picture">
                <pic:pic>
                  <pic:nvPicPr>
                    <pic:cNvPr id="0" name="t03_missingreordercomment.png"/>
                    <pic:cNvPicPr/>
                  </pic:nvPicPr>
                  <pic:blipFill>
                    <a:blip r:embed="rId12"/>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2: genuine local MySQL Workbench execution, 2026-10-07</w:t>
      </w:r>
    </w:p>
    <w:p>
      <w:pPr>
        <w:pStyle w:val="Heading3"/>
      </w:pPr>
      <w:r>
        <w:t>Rule 3 — Physical shipment address, including third-party recipients</w:t>
      </w:r>
    </w:p>
    <w:p>
      <w:pPr>
        <w:widowControl/>
      </w:pPr>
      <w:r>
        <w:rPr>
          <w:rFonts w:ascii="Times New Roman" w:hAnsi="Times New Roman"/>
          <w:i w:val="0"/>
          <w:sz w:val="24"/>
        </w:rPr>
        <w:t>- Rule: A shipment must have a physical (non-PO Box) destination; when the orderline has no separate recipient/delivery snapshot, the destination must be the customer's current physical address. - Case source: Orders are delivered to the current physical address and not postal addresses (Wine Company Case, p. 5). - Mechanism: Each shipment references a particular orderline; insert/update triggers check the physical address and whether the relevant orderline stores a complete recipient/destination snapshot. Without the snapshot, the current customer address rule remains in force. - Violation: database/tests/task3b_ruleviolations.sql uses current PO Box ADDR0004. - Expected result: MySQL Error 1644 with the physical-address message.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3: shipment destination must be physical, not a PO Box</w:t>
        <w:br/>
        <w:t>-- Expected: Error 1644 with the physical-address message</w:t>
        <w:br/>
        <w:t>-- =========================================================</w:t>
        <w:br/>
        <w:t>ROLLBACK;</w:t>
        <w:br/>
        <w:t>START TRANSACTION;</w:t>
        <w:br/>
        <w:t>INSERT INTO shipment</w:t>
        <w:br/>
        <w:t>(shipmentId, customerOrderId, productId, addressId, shippedDate)</w:t>
        <w:br/>
        <w:t>VALUES</w:t>
        <w:br/>
        <w:t>('SHIP0999', 'CORD0001', 'PROD001', 'ADDR0004', CURRENT_DATE);</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3" name="Picture 3"/>
            <wp:cNvGraphicFramePr>
              <a:graphicFrameLocks noChangeAspect="1"/>
            </wp:cNvGraphicFramePr>
            <a:graphic>
              <a:graphicData uri="http://schemas.openxmlformats.org/drawingml/2006/picture">
                <pic:pic>
                  <pic:nvPicPr>
                    <pic:cNvPr id="0" name="additional_postalshipment.png"/>
                    <pic:cNvPicPr/>
                  </pic:nvPicPr>
                  <pic:blipFill>
                    <a:blip r:embed="rId13"/>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3: genuine local MySQL Workbench execution, 2026-10-07</w:t>
      </w:r>
    </w:p>
    <w:p>
      <w:pPr>
        <w:pStyle w:val="Heading3"/>
      </w:pPr>
      <w:r>
        <w:t>Rule 4 — Paid before shipment</w:t>
      </w:r>
    </w:p>
    <w:p>
      <w:pPr>
        <w:widowControl/>
      </w:pPr>
      <w:r>
        <w:rPr>
          <w:rFonts w:ascii="Times New Roman" w:hAnsi="Times New Roman"/>
          <w:i w:val="0"/>
          <w:sz w:val="24"/>
        </w:rPr>
        <w:t>- Rule: An order must have paidFlag = TRUE before shipment. - Case source: The order is shipped only after accounting confirms payment (Wine Company Case, p. 5). - Mechanism: shipment insert/update triggers read customerorder.paidFlag. - Violation: database/tests/task3b_ruleviolations.sql creates an unpaid order inside a transaction and attempts shipment. - Expected result: MySQL Error 1644: Order must be paid before shipment. - Genuine Workbench evidence: Genuine local Workbench capture available in docs/evidence/final-workbench (2026-10-07); submitting students review before submission.</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4: order must be paid before shipment</w:t>
        <w:br/>
        <w:t>-- Expected: Error 1644, Order must be paid before shipment</w:t>
        <w:br/>
        <w:t>-- =========================================================</w:t>
        <w:br/>
        <w:t>ROLLBACK;</w:t>
        <w:br/>
        <w:t>START TRANSACTION;</w:t>
        <w:br/>
        <w:t>INSERT INTO customerorder</w:t>
        <w:br/>
        <w:t>(customerOrderId, customerId, receivedDate, paidFlag, orderStatus)</w:t>
        <w:br/>
        <w:t>VALUES</w:t>
        <w:br/>
        <w:t>('CORD0998', 'CUST001', CURRENT_DATE, FALSE, 'PENDING');</w:t>
        <w:br/>
        <w:br/>
        <w:t>INSERT INTO orderline (customerOrderId,productId,caseQuantity,agreedCasePrice)</w:t>
        <w:br/>
        <w:t>VALUES ('CORD0998','PROD001',1,360.00);</w:t>
        <w:br/>
        <w:t>INSERT INTO shipment</w:t>
        <w:br/>
        <w:t>(shipmentId, customerOrderId, productId, addressId, shippedDate)</w:t>
        <w:br/>
        <w:t>VALUES</w:t>
        <w:br/>
        <w:t>('SHIP0998', 'CORD0998', 'PROD001', 'ADDR0003', CURRENT_DATE);</w:t>
        <w:br/>
        <w:t>-- After screenshot, run this line alone:</w:t>
        <w:br/>
        <w:t>ROLLBACK;</w:t>
        <w:br/>
        <w:br/>
        <w:t>-- =========================================================</w:t>
      </w:r>
    </w:p>
    <w:p>
      <w:pPr>
        <w:keepNext/>
        <w:jc w:val="center"/>
      </w:pPr>
      <w:r>
        <w:drawing>
          <wp:inline xmlns:a="http://schemas.openxmlformats.org/drawingml/2006/main" xmlns:pic="http://schemas.openxmlformats.org/drawingml/2006/picture">
            <wp:extent cx="5669280" cy="4030504"/>
            <wp:docPr id="4" name="Picture 4"/>
            <wp:cNvGraphicFramePr>
              <a:graphicFrameLocks noChangeAspect="1"/>
            </wp:cNvGraphicFramePr>
            <a:graphic>
              <a:graphicData uri="http://schemas.openxmlformats.org/drawingml/2006/picture">
                <pic:pic>
                  <pic:nvPicPr>
                    <pic:cNvPr id="0" name="t04_unpaidshipment.png"/>
                    <pic:cNvPicPr/>
                  </pic:nvPicPr>
                  <pic:blipFill>
                    <a:blip r:embed="rId14"/>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4: genuine local MySQL Workbench execution, 2026-10-07</w:t>
      </w:r>
    </w:p>
    <w:p>
      <w:pPr>
        <w:pStyle w:val="Heading3"/>
      </w:pPr>
      <w:r>
        <w:t>Rule 5 — One supervisor at a point in time</w:t>
      </w:r>
    </w:p>
    <w:p>
      <w:pPr>
        <w:widowControl/>
      </w:pPr>
      <w:r>
        <w:rPr>
          <w:rFonts w:ascii="Times New Roman" w:hAnsi="Times New Roman"/>
          <w:i w:val="0"/>
          <w:sz w:val="24"/>
        </w:rPr>
        <w:t>- Rule: A supervised employee may have only one supervisor at any point in time. - Case source: Each supervised employee reports to only one supervisor and supervisor history is retained (Wine Company Case, p. 1). - Mechanism: supervision insert/update overlap triggers. - Violation: database/tests/task3b_ruleviolations.sql inserts a second current supervisor for EMP0008 inside an isolated transaction. - Expected result: MySQL Error 1644 with the overlapping-supervision message. - Genuine Workbench evidence: Genuine local Workbench capture available in docs/evidence/final-workbench (2026-10-07); submitting students review before submission.</w:t>
      </w:r>
    </w:p>
    <w:p>
      <w:pPr>
        <w:widowControl/>
      </w:pPr>
      <w:r>
        <w:rPr>
          <w:rFonts w:ascii="Times New Roman" w:hAnsi="Times New Roman"/>
          <w:i w:val="0"/>
          <w:sz w:val="24"/>
        </w:rPr>
        <w:t>The submitted rule script rolls back its transactions; standalone screenshot setup rows were removed by the final clean rebuild. Readable assessed SQL is in database/tests/task3b_ruleviolations.sql. Legal-age, postal-address completeness, cancelled-shipment and shipment-date validation remain additional controls rather than assessed Task 3b rules.</w:t>
      </w:r>
    </w:p>
    <w:p>
      <w:pPr>
        <w:spacing w:after="60"/>
      </w:pPr>
      <w:r>
        <w:rPr>
          <w:rFonts w:ascii="Times New Roman" w:hAnsi="Times New Roman"/>
          <w:b/>
          <w:color w:val="5B6573"/>
          <w:sz w:val="18"/>
        </w:rPr>
        <w:t>Readable SQL submitted for Turnitin</w:t>
      </w:r>
    </w:p>
    <w:p>
      <w:pPr>
        <w:spacing w:after="120"/>
        <w:ind w:left="173" w:right="173"/>
        <w:shd w:fill="F2F4F7"/>
      </w:pPr>
      <w:r>
        <w:rPr>
          <w:rFonts w:ascii="Menlo" w:hAnsi="Menlo"/>
          <w:color w:val="111827"/>
          <w:sz w:val="15"/>
        </w:rPr>
        <w:t>-- Rule 5: supervised employee has only one supervisor at a point in time</w:t>
        <w:br/>
        <w:t>-- Expected: Error 1644 with the overlapping-supervision message</w:t>
        <w:br/>
        <w:t>-- =========================================================</w:t>
        <w:br/>
        <w:t>ROLLBACK;</w:t>
        <w:br/>
        <w:t>START TRANSACTION;</w:t>
        <w:br/>
        <w:t>INSERT INTO supervision</w:t>
        <w:br/>
        <w:t>(employeeId, supervisorId, startDateTime, endDateTime)</w:t>
        <w:br/>
        <w:t>VALUES</w:t>
        <w:br/>
        <w:t>('EMP0008', 'EMP0001', '2026-02-01 09:00:00', NULL);</w:t>
        <w:br/>
        <w:t>-- After screenshot, run this line alone:</w:t>
        <w:br/>
        <w:t>ROLLBACK;</w:t>
      </w:r>
    </w:p>
    <w:p>
      <w:pPr>
        <w:keepNext/>
        <w:jc w:val="center"/>
      </w:pPr>
      <w:r>
        <w:drawing>
          <wp:inline xmlns:a="http://schemas.openxmlformats.org/drawingml/2006/main" xmlns:pic="http://schemas.openxmlformats.org/drawingml/2006/picture">
            <wp:extent cx="5669280" cy="4030504"/>
            <wp:docPr id="5" name="Picture 5"/>
            <wp:cNvGraphicFramePr>
              <a:graphicFrameLocks noChangeAspect="1"/>
            </wp:cNvGraphicFramePr>
            <a:graphic>
              <a:graphicData uri="http://schemas.openxmlformats.org/drawingml/2006/picture">
                <pic:pic>
                  <pic:nvPicPr>
                    <pic:cNvPr id="0" name="t05_overlappingsupervision.png"/>
                    <pic:cNvPicPr/>
                  </pic:nvPicPr>
                  <pic:blipFill>
                    <a:blip r:embed="rId15"/>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Rule 5: genuine local MySQL Workbench execution, 2026-10-07</w:t>
      </w:r>
    </w:p>
    <w:p>
      <w:pPr>
        <w:pStyle w:val="Heading2"/>
      </w:pPr>
      <w:r>
        <w:t>New Hint 8 line-specific delivery integrity regression</w:t>
      </w:r>
    </w:p>
    <w:p>
      <w:pPr>
        <w:widowControl/>
      </w:pPr>
      <w:r>
        <w:rPr>
          <w:rFonts w:ascii="Times New Roman" w:hAnsi="Times New Roman"/>
          <w:i w:val="0"/>
          <w:sz w:val="24"/>
        </w:rPr>
        <w:t>The accepted additional test data contains one paid order CORD0002 with two ordered products and independent recipient snapshots: Alex Gift, 10 Main Street Richmond; and Jamie Recipient, 12 Hill Road Yarra Glen. The two shipment rows reference distinct order lines and distinct physical address identifiers. Run database/tests/t12_two_recipients_same_order.sql to obtain a positive confirmation result. It illustrates why storing only one delivery address on the order header loses legitimate business information. The snapshot fields remain NULL on all source v4 rows because that spreadsheet did not supply their delivery facts.</w:t>
      </w:r>
    </w:p>
    <w:p>
      <w:pPr>
        <w:sectPr>
          <w:pgSz w:w="11952" w:h="16848"/>
          <w:pgMar w:top="1440" w:right="1440" w:bottom="1440" w:left="1440" w:header="708" w:footer="708" w:gutter="0"/>
          <w:cols w:space="720"/>
          <w:docGrid w:linePitch="360"/>
        </w:sectPr>
      </w:pPr>
    </w:p>
    <w:p>
      <w:pPr>
        <w:pStyle w:val="Heading1"/>
      </w:pPr>
      <w:r>
        <w:t>Task 4 — ER Diagram with Annotated Alternatives</w:t>
      </w:r>
    </w:p>
    <w:p>
      <w:pPr>
        <w:widowControl/>
      </w:pPr>
      <w:r>
        <w:rPr>
          <w:rFonts w:ascii="Times New Roman" w:hAnsi="Times New Roman"/>
          <w:i w:val="0"/>
          <w:sz w:val="24"/>
        </w:rPr>
        <w:t>The editable MySQL Workbench model contains one complete diagram and six domain views. The full view demonstrates scope; the domain figures preserve readable attributes, keys and UML cardinalities. Assumptions are stated explicitly and do not contradict the case.</w:t>
      </w:r>
    </w:p>
    <w:p>
      <w:pPr>
        <w:keepNext/>
        <w:jc w:val="center"/>
      </w:pPr>
      <w:r>
        <w:drawing>
          <wp:inline xmlns:a="http://schemas.openxmlformats.org/drawingml/2006/main" xmlns:pic="http://schemas.openxmlformats.org/drawingml/2006/picture">
            <wp:extent cx="6368989" cy="4297680"/>
            <wp:docPr id="6" name="Picture 6"/>
            <wp:cNvGraphicFramePr>
              <a:graphicFrameLocks noChangeAspect="1"/>
            </wp:cNvGraphicFramePr>
            <a:graphic>
              <a:graphicData uri="http://schemas.openxmlformats.org/drawingml/2006/picture">
                <pic:pic>
                  <pic:nvPicPr>
                    <pic:cNvPr id="0" name="Cloudrest_Wines_ER_Diagram.png"/>
                    <pic:cNvPicPr/>
                  </pic:nvPicPr>
                  <pic:blipFill>
                    <a:blip r:embed="rId16"/>
                    <a:stretch>
                      <a:fillRect/>
                    </a:stretch>
                  </pic:blipFill>
                  <pic:spPr>
                    <a:xfrm>
                      <a:off x="0" y="0"/>
                      <a:ext cx="6368989" cy="4297680"/>
                    </a:xfrm>
                    <a:prstGeom prst="rect"/>
                  </pic:spPr>
                </pic:pic>
              </a:graphicData>
            </a:graphic>
          </wp:inline>
        </w:drawing>
      </w:r>
    </w:p>
    <w:p>
      <w:pPr>
        <w:spacing w:after="160"/>
        <w:jc w:val="center"/>
      </w:pPr>
      <w:r>
        <w:rPr>
          <w:rFonts w:ascii="Times New Roman" w:hAnsi="Times New Roman"/>
          <w:i/>
          <w:color w:val="5B6573"/>
          <w:sz w:val="18"/>
        </w:rPr>
        <w:t>Figure — Complete UML Workbench model. Read individual attributes in the enlarged domain views and original PNG.</w:t>
      </w:r>
    </w:p>
    <w:p>
      <w:pPr>
        <w:pStyle w:val="Heading2"/>
      </w:pPr>
      <w:r>
        <w:t>Assumptions</w:t>
      </w:r>
    </w:p>
    <w:tbl>
      <w:tblPr>
        <w:tblStyle w:val="TableGrid"/>
        <w:tblW w:type="dxa" w:w="13966"/>
        <w:tblLayout w:type="fixed"/>
        <w:tblLook w:firstColumn="1" w:firstRow="1" w:lastColumn="0" w:lastRow="0" w:noHBand="0" w:noVBand="1" w:val="04A0"/>
        <w:tblInd w:w="120" w:type="dxa"/>
      </w:tblPr>
      <w:tblGrid>
        <w:gridCol w:w="2238"/>
        <w:gridCol w:w="6416"/>
        <w:gridCol w:w="5312"/>
      </w:tblGrid>
      <w:tr>
        <w:trPr>
          <w:tblHeader w:val="true"/>
          <w:cantSplit/>
        </w:trPr>
        <w:tc>
          <w:tcPr>
            <w:tcW w:type="dxa" w:w="2238"/>
            <w:shd w:fill="DCE6F1"/>
            <w:vAlign w:val="center"/>
            <w:tcMar>
              <w:top w:w="80" w:type="dxa"/>
              <w:start w:w="100" w:type="dxa"/>
              <w:bottom w:w="80" w:type="dxa"/>
              <w:end w:w="100" w:type="dxa"/>
            </w:tcMar>
          </w:tcPr>
          <w:p>
            <w:pPr>
              <w:keepNext/>
              <w:jc w:val="center"/>
            </w:pPr>
            <w:r>
              <w:rPr>
                <w:rFonts w:ascii="Times New Roman" w:hAnsi="Times New Roman"/>
                <w:b/>
                <w:color w:val="1F2937"/>
                <w:sz w:val="15"/>
              </w:rPr>
              <w:t>Area</w:t>
            </w:r>
          </w:p>
        </w:tc>
        <w:tc>
          <w:tcPr>
            <w:tcW w:type="dxa" w:w="6416"/>
            <w:shd w:fill="DCE6F1"/>
            <w:vAlign w:val="center"/>
            <w:tcMar>
              <w:top w:w="80" w:type="dxa"/>
              <w:start w:w="100" w:type="dxa"/>
              <w:bottom w:w="80" w:type="dxa"/>
              <w:end w:w="100" w:type="dxa"/>
            </w:tcMar>
          </w:tcPr>
          <w:p>
            <w:pPr>
              <w:keepNext/>
              <w:jc w:val="center"/>
            </w:pPr>
            <w:r>
              <w:rPr>
                <w:rFonts w:ascii="Times New Roman" w:hAnsi="Times New Roman"/>
                <w:b/>
                <w:color w:val="1F2937"/>
                <w:sz w:val="15"/>
              </w:rPr>
              <w:t>Assumption</w:t>
            </w:r>
          </w:p>
        </w:tc>
        <w:tc>
          <w:tcPr>
            <w:tcW w:type="dxa" w:w="5312"/>
            <w:shd w:fill="DCE6F1"/>
            <w:vAlign w:val="center"/>
            <w:tcMar>
              <w:top w:w="80" w:type="dxa"/>
              <w:start w:w="100" w:type="dxa"/>
              <w:bottom w:w="80" w:type="dxa"/>
              <w:end w:w="100" w:type="dxa"/>
            </w:tcMar>
          </w:tcPr>
          <w:p>
            <w:pPr>
              <w:keepNext/>
              <w:jc w:val="center"/>
            </w:pPr>
            <w:r>
              <w:rPr>
                <w:rFonts w:ascii="Times New Roman" w:hAnsi="Times New Roman"/>
                <w:b/>
                <w:color w:val="1F2937"/>
                <w:sz w:val="15"/>
              </w:rPr>
              <w:t>Reason</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Employee names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Names are split into first and last name for all employees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The case says employee name but does not prescribe structure; splitting supports contact and reporting use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Concurrent roles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An employee has at most one active role period; the previous role must finish before the next starts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confirmed that the previous role should finish before the next role starts; the existing overlap trigger enforces this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Supervisor history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An employee has no more than one supervisor at any instant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Explicit case requirement</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Employment classification</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Full/part-time, permanent/casual and ongoing/seasonal are independent dimensions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Prevents a seasonal casual from being misclassified as a third legal employment type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Supplier contact history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Supplier address periods cannot overlap within the same address kind, and only one current primary phone is allowed</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Preserves history while allowing different legitimate address kinds and preventing duplicate current facts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Employee/customer contact history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Employee address periods cannot overlap within the same address kind; customer address periods cannot overlap within the same business purpose; employee and customer phone history permits only one current primary phone</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requires current-history integrity, while the official v4 workbook demonstrates that a customer can legitimately have concurrent Delivery and Billing addresses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Owners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Christine is represented as an employee/owner role so supervisor FKs remain enforceable</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Supervisors report to Christine and the model needs an identifiable parent record</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Picking pack</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The minimum four-person requirement is checked operationally before scheduling/finalisation and is not enforced by the current database schema</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Enforcing the minimum on each member insert would prevent incremental pack construction; adding lifecycle status plus a finalisation trigger would be a future extension</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Vineyard manager</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The manager is the current manager; a future extension could add dated vineyard-management history</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Case states one manager and no employee manages more than one vineyard, but does not explicitly request this history</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Wine recipe</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Composition rows must total 100% before an active product is released; released recipes are locked against ad-hoc composition edits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MySQL cannot express this cross-row total with a normal CHECK, so release-boundary validation preserves staged recipe entry while enforcing the tutor requirement</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Product identity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Wine, bottle type and case quantity uniquely define a product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Directly follows the case definition of product</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Product-specific delivery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Each orderline can hold a complete snapshot of recipient name and street/locality/state/postcode independent of the buyer; when the source lacks recipient details all five fields remain NULL together</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Hint 8 permits sending ordered products to someone other than the buying customer; delivery history must not change when the customer's address changes</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Shipment</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At most one shipment per ordered product line; different lines of one order may dispatch to different physical addresses. Orders are marked SHIPPED only when every orderline has a shipment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Tutor Hint 8 explicitly allows different product destinations; the original order-wide unique shipment address was too restrictive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HR incident rate</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One incident is counted once per operational area regardless of people involved</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Prevents multi-person incidents being double-counted in the sustainability numerator</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Incident lost hours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Employee-level `incidentemployee.employeeLostHours` is the detailed source used by the sustainability query; `incident.totalLostHours` is retained as an event-level summary and must be reconciled in QA rather than treated as an independent authoritative fact</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Avoids double-counting multi-person incidents while acknowledging the retained summary field</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Serious near miss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HIGH or CRITICAL severity may have zero lost hours</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Severity and lost time measure different concepts; the case does not require positive lost time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Labour hours</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Labour hours are derived from `shiftassignment.actualStartTime`, `actualEndTime` and `breakMinutes`; overtime is derived as hours above 8 per assignment for the current analytical rule</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Removes the duplicate manual hour facts identified by the tutor and keeps one auditable source for worked time</w:t>
            </w:r>
          </w:p>
        </w:tc>
      </w:tr>
      <w:tr>
        <w:trPr>
          <w:cantSplit/>
        </w:trPr>
        <w:tc>
          <w:tcPr>
            <w:tcW w:type="dxa" w:w="2238"/>
            <w:vAlign w:val="center"/>
            <w:tcMar>
              <w:top w:w="80" w:type="dxa"/>
              <w:start w:w="100" w:type="dxa"/>
              <w:bottom w:w="80" w:type="dxa"/>
              <w:end w:w="100" w:type="dxa"/>
            </w:tcMar>
          </w:tcPr>
          <w:p>
            <w:pPr>
              <w:keepNext w:val="0"/>
              <w:spacing w:after="0"/>
            </w:pPr>
            <w:r>
              <w:rPr>
                <w:rFonts w:ascii="Times New Roman" w:hAnsi="Times New Roman"/>
                <w:sz w:val="15"/>
              </w:rPr>
              <w:t>Wellbeing privacy</w:t>
            </w:r>
          </w:p>
        </w:tc>
        <w:tc>
          <w:tcPr>
            <w:tcW w:type="dxa" w:w="6416"/>
            <w:vAlign w:val="center"/>
            <w:tcMar>
              <w:top w:w="80" w:type="dxa"/>
              <w:start w:w="100" w:type="dxa"/>
              <w:bottom w:w="80" w:type="dxa"/>
              <w:end w:w="100" w:type="dxa"/>
            </w:tcMar>
          </w:tcPr>
          <w:p>
            <w:pPr>
              <w:keepNext w:val="0"/>
              <w:spacing w:after="0"/>
            </w:pPr>
            <w:r>
              <w:rPr>
                <w:rFonts w:ascii="Times New Roman" w:hAnsi="Times New Roman"/>
                <w:sz w:val="15"/>
              </w:rPr>
              <w:t>Detailed notes are excluded from routine decision-support output; database users/roles and application authorisation are deployment controls outside this assessment build</w:t>
            </w:r>
          </w:p>
        </w:tc>
        <w:tc>
          <w:tcPr>
            <w:tcW w:type="dxa" w:w="5312"/>
            <w:vAlign w:val="center"/>
            <w:tcMar>
              <w:top w:w="80" w:type="dxa"/>
              <w:start w:w="100" w:type="dxa"/>
              <w:bottom w:w="80" w:type="dxa"/>
              <w:end w:w="100" w:type="dxa"/>
            </w:tcMar>
          </w:tcPr>
          <w:p>
            <w:pPr>
              <w:keepNext w:val="0"/>
              <w:spacing w:after="0"/>
            </w:pPr>
            <w:r>
              <w:rPr>
                <w:rFonts w:ascii="Times New Roman" w:hAnsi="Times New Roman"/>
                <w:sz w:val="15"/>
              </w:rPr>
              <w:t>The submitted SQL demonstrates data minimisation but does not claim production access-control configuration</w:t>
            </w:r>
          </w:p>
        </w:tc>
      </w:tr>
    </w:tbl>
    <w:p>
      <w:pPr>
        <w:spacing w:after="0"/>
      </w:pPr>
    </w:p>
    <w:p>
      <w:pPr>
        <w:pStyle w:val="Heading2"/>
      </w:pPr>
      <w:r>
        <w:t>Annotated design alternatives</w:t>
      </w:r>
    </w:p>
    <w:tbl>
      <w:tblPr>
        <w:tblStyle w:val="TableGrid"/>
        <w:tblW w:type="dxa" w:w="13967"/>
        <w:tblLayout w:type="fixed"/>
        <w:tblLook w:firstColumn="1" w:firstRow="1" w:lastColumn="0" w:lastRow="0" w:noHBand="0" w:noVBand="1" w:val="04A0"/>
        <w:tblInd w:w="120" w:type="dxa"/>
      </w:tblPr>
      <w:tblGrid>
        <w:gridCol w:w="2835"/>
        <w:gridCol w:w="4029"/>
        <w:gridCol w:w="7103"/>
      </w:tblGrid>
      <w:tr>
        <w:trPr>
          <w:tblHeader w:val="true"/>
          <w:cantSplit/>
        </w:trPr>
        <w:tc>
          <w:tcPr>
            <w:tcW w:type="dxa" w:w="2835"/>
            <w:shd w:fill="DCE6F1"/>
            <w:vAlign w:val="center"/>
            <w:tcMar>
              <w:top w:w="80" w:type="dxa"/>
              <w:start w:w="100" w:type="dxa"/>
              <w:bottom w:w="80" w:type="dxa"/>
              <w:end w:w="100" w:type="dxa"/>
            </w:tcMar>
          </w:tcPr>
          <w:p>
            <w:pPr>
              <w:keepNext/>
              <w:jc w:val="center"/>
            </w:pPr>
            <w:r>
              <w:rPr>
                <w:rFonts w:ascii="Times New Roman" w:hAnsi="Times New Roman"/>
                <w:b/>
                <w:color w:val="1F2937"/>
                <w:sz w:val="16"/>
              </w:rPr>
              <w:t>Design element</w:t>
            </w:r>
          </w:p>
        </w:tc>
        <w:tc>
          <w:tcPr>
            <w:tcW w:type="dxa" w:w="4029"/>
            <w:shd w:fill="DCE6F1"/>
            <w:vAlign w:val="center"/>
            <w:tcMar>
              <w:top w:w="80" w:type="dxa"/>
              <w:start w:w="100" w:type="dxa"/>
              <w:bottom w:w="80" w:type="dxa"/>
              <w:end w:w="100" w:type="dxa"/>
            </w:tcMar>
          </w:tcPr>
          <w:p>
            <w:pPr>
              <w:keepNext/>
              <w:jc w:val="center"/>
            </w:pPr>
            <w:r>
              <w:rPr>
                <w:rFonts w:ascii="Times New Roman" w:hAnsi="Times New Roman"/>
                <w:b/>
                <w:color w:val="1F2937"/>
                <w:sz w:val="16"/>
              </w:rPr>
              <w:t>Alternative</w:t>
            </w:r>
          </w:p>
        </w:tc>
        <w:tc>
          <w:tcPr>
            <w:tcW w:type="dxa" w:w="7103"/>
            <w:shd w:fill="DCE6F1"/>
            <w:vAlign w:val="center"/>
            <w:tcMar>
              <w:top w:w="80" w:type="dxa"/>
              <w:start w:w="100" w:type="dxa"/>
              <w:bottom w:w="80" w:type="dxa"/>
              <w:end w:w="100" w:type="dxa"/>
            </w:tcMar>
          </w:tcPr>
          <w:p>
            <w:pPr>
              <w:keepNext/>
              <w:jc w:val="center"/>
            </w:pPr>
            <w:r>
              <w:rPr>
                <w:rFonts w:ascii="Times New Roman" w:hAnsi="Times New Roman"/>
                <w:b/>
                <w:color w:val="1F2937"/>
                <w:sz w:val="16"/>
              </w:rPr>
              <w:t>Reason selected</w:t>
            </w:r>
          </w:p>
        </w:tc>
      </w:tr>
      <w:tr>
        <w:trPr>
          <w:cantSplit/>
        </w:trPr>
        <w:tc>
          <w:tcPr>
            <w:tcW w:type="dxa" w:w="2835"/>
            <w:vAlign w:val="center"/>
            <w:tcMar>
              <w:top w:w="80" w:type="dxa"/>
              <w:start w:w="100" w:type="dxa"/>
              <w:bottom w:w="80" w:type="dxa"/>
              <w:end w:w="100" w:type="dxa"/>
            </w:tcMar>
          </w:tcPr>
          <w:p>
            <w:pPr>
              <w:keepNext/>
              <w:spacing w:after="0"/>
            </w:pPr>
            <w:r>
              <w:rPr>
                <w:rFonts w:ascii="Times New Roman" w:hAnsi="Times New Roman"/>
                <w:sz w:val="16"/>
              </w:rPr>
              <w:t>Customer types</w:t>
            </w:r>
          </w:p>
        </w:tc>
        <w:tc>
          <w:tcPr>
            <w:tcW w:type="dxa" w:w="4029"/>
            <w:vAlign w:val="center"/>
            <w:tcMar>
              <w:top w:w="80" w:type="dxa"/>
              <w:start w:w="100" w:type="dxa"/>
              <w:bottom w:w="80" w:type="dxa"/>
              <w:end w:w="100" w:type="dxa"/>
            </w:tcMar>
          </w:tcPr>
          <w:p>
            <w:pPr>
              <w:keepNext/>
              <w:spacing w:after="0"/>
            </w:pPr>
            <w:r>
              <w:rPr>
                <w:rFonts w:ascii="Times New Roman" w:hAnsi="Times New Roman"/>
                <w:sz w:val="16"/>
              </w:rPr>
              <w:t>One wide customer table</w:t>
            </w:r>
          </w:p>
        </w:tc>
        <w:tc>
          <w:tcPr>
            <w:tcW w:type="dxa" w:w="7103"/>
            <w:vAlign w:val="center"/>
            <w:tcMar>
              <w:top w:w="80" w:type="dxa"/>
              <w:start w:w="100" w:type="dxa"/>
              <w:bottom w:w="80" w:type="dxa"/>
              <w:end w:w="100" w:type="dxa"/>
            </w:tcMar>
          </w:tcPr>
          <w:p>
            <w:pPr>
              <w:keepNext/>
              <w:spacing w:after="0"/>
            </w:pPr>
            <w:r>
              <w:rPr>
                <w:rFonts w:ascii="Times New Roman" w:hAnsi="Times New Roman"/>
                <w:sz w:val="16"/>
              </w:rPr>
              <w:t>Supertype/subtypes reduce inapplicable NULLs while retaining a common order key.</w:t>
            </w:r>
          </w:p>
        </w:tc>
      </w:tr>
      <w:tr>
        <w:trPr>
          <w:cantSplit/>
        </w:trPr>
        <w:tc>
          <w:tcPr>
            <w:tcW w:type="dxa" w:w="2835"/>
            <w:vAlign w:val="center"/>
            <w:tcMar>
              <w:top w:w="80" w:type="dxa"/>
              <w:start w:w="100" w:type="dxa"/>
              <w:bottom w:w="80" w:type="dxa"/>
              <w:end w:w="100" w:type="dxa"/>
            </w:tcMar>
          </w:tcPr>
          <w:p>
            <w:pPr>
              <w:keepNext/>
              <w:spacing w:after="0"/>
            </w:pPr>
            <w:r>
              <w:rPr>
                <w:rFonts w:ascii="Times New Roman" w:hAnsi="Times New Roman"/>
                <w:sz w:val="16"/>
              </w:rPr>
              <w:t>Address history</w:t>
            </w:r>
          </w:p>
        </w:tc>
        <w:tc>
          <w:tcPr>
            <w:tcW w:type="dxa" w:w="4029"/>
            <w:vAlign w:val="center"/>
            <w:tcMar>
              <w:top w:w="80" w:type="dxa"/>
              <w:start w:w="100" w:type="dxa"/>
              <w:bottom w:w="80" w:type="dxa"/>
              <w:end w:w="100" w:type="dxa"/>
            </w:tcMar>
          </w:tcPr>
          <w:p>
            <w:pPr>
              <w:keepNext/>
              <w:spacing w:after="0"/>
            </w:pPr>
            <w:r>
              <w:rPr>
                <w:rFonts w:ascii="Times New Roman" w:hAnsi="Times New Roman"/>
                <w:sz w:val="16"/>
              </w:rPr>
              <w:t>Copied columns or polymorphic owner</w:t>
            </w:r>
          </w:p>
        </w:tc>
        <w:tc>
          <w:tcPr>
            <w:tcW w:type="dxa" w:w="7103"/>
            <w:vAlign w:val="center"/>
            <w:tcMar>
              <w:top w:w="80" w:type="dxa"/>
              <w:start w:w="100" w:type="dxa"/>
              <w:bottom w:w="80" w:type="dxa"/>
              <w:end w:w="100" w:type="dxa"/>
            </w:tcMar>
          </w:tcPr>
          <w:p>
            <w:pPr>
              <w:keepNext/>
              <w:spacing w:after="0"/>
            </w:pPr>
            <w:r>
              <w:rPr>
                <w:rFonts w:ascii="Times New Roman" w:hAnsi="Times New Roman"/>
                <w:sz w:val="16"/>
              </w:rPr>
              <w:t>Shared address with typed dated associations gives enforceable FKs and retained history.</w:t>
            </w:r>
          </w:p>
        </w:tc>
      </w:tr>
      <w:tr>
        <w:trPr>
          <w:cantSplit/>
        </w:trPr>
        <w:tc>
          <w:tcPr>
            <w:tcW w:type="dxa" w:w="2835"/>
            <w:vAlign w:val="center"/>
            <w:tcMar>
              <w:top w:w="80" w:type="dxa"/>
              <w:start w:w="100" w:type="dxa"/>
              <w:bottom w:w="80" w:type="dxa"/>
              <w:end w:w="100" w:type="dxa"/>
            </w:tcMar>
          </w:tcPr>
          <w:p>
            <w:pPr>
              <w:keepNext w:val="0"/>
              <w:spacing w:after="0"/>
            </w:pPr>
            <w:r>
              <w:rPr>
                <w:rFonts w:ascii="Times New Roman" w:hAnsi="Times New Roman"/>
                <w:sz w:val="16"/>
              </w:rPr>
              <w:t>Training structure</w:t>
            </w:r>
          </w:p>
        </w:tc>
        <w:tc>
          <w:tcPr>
            <w:tcW w:type="dxa" w:w="4029"/>
            <w:vAlign w:val="center"/>
            <w:tcMar>
              <w:top w:w="80" w:type="dxa"/>
              <w:start w:w="100" w:type="dxa"/>
              <w:bottom w:w="80" w:type="dxa"/>
              <w:end w:w="100" w:type="dxa"/>
            </w:tcMar>
          </w:tcPr>
          <w:p>
            <w:pPr>
              <w:keepNext w:val="0"/>
              <w:spacing w:after="0"/>
            </w:pPr>
            <w:r>
              <w:rPr>
                <w:rFonts w:ascii="Times New Roman" w:hAnsi="Times New Roman"/>
                <w:sz w:val="16"/>
              </w:rPr>
              <w:t>One repeated employee-training table</w:t>
            </w:r>
          </w:p>
        </w:tc>
        <w:tc>
          <w:tcPr>
            <w:tcW w:type="dxa" w:w="7103"/>
            <w:vAlign w:val="center"/>
            <w:tcMar>
              <w:top w:w="80" w:type="dxa"/>
              <w:start w:w="100" w:type="dxa"/>
              <w:bottom w:w="80" w:type="dxa"/>
              <w:end w:w="100" w:type="dxa"/>
            </w:tcMar>
          </w:tcPr>
          <w:p>
            <w:pPr>
              <w:keepNext w:val="0"/>
              <w:spacing w:after="0"/>
            </w:pPr>
            <w:r>
              <w:rPr>
                <w:rFonts w:ascii="Times New Roman" w:hAnsi="Times New Roman"/>
                <w:sz w:val="16"/>
              </w:rPr>
              <w:t>Course/session/attendance separates definition, delivery and outcome for 3NF and coverage queries.</w:t>
            </w:r>
          </w:p>
        </w:tc>
      </w:tr>
    </w:tbl>
    <w:p>
      <w:pPr>
        <w:spacing w:after="0"/>
      </w:pPr>
    </w:p>
    <w:p>
      <w:pPr>
        <w:sectPr>
          <w:pgSz w:w="16848" w:h="11952" w:orient="landscape"/>
          <w:pgMar w:top="1440" w:right="1440" w:bottom="1440" w:left="1440" w:header="708" w:footer="708" w:gutter="0"/>
          <w:cols w:space="720"/>
          <w:docGrid w:linePitch="360"/>
        </w:sectPr>
      </w:pPr>
    </w:p>
    <w:p>
      <w:pPr>
        <w:pStyle w:val="Heading1"/>
      </w:pPr>
      <w:r>
        <w:t>Task 5 — Data Dictionary and Database Build</w:t>
      </w:r>
    </w:p>
    <w:p>
      <w:pPr>
        <w:widowControl/>
      </w:pPr>
      <w:r>
        <w:rPr>
          <w:rFonts w:ascii="Times New Roman" w:hAnsi="Times New Roman"/>
          <w:i w:val="0"/>
          <w:sz w:val="24"/>
        </w:rPr>
        <w:t>The complete data dictionary is presented as Word-ready tables and cross-checked against the validated MySQL schema to prevent divergence between the ER model, report and build. It is organised by table and records attribute name, type/size, domain/default, nullability, uniqueness, primary-key status, foreign-key reference and business purpose.</w:t>
      </w:r>
    </w:p>
    <w:p>
      <w:pPr>
        <w:widowControl/>
      </w:pPr>
      <w:r>
        <w:rPr>
          <w:rFonts w:ascii="Times New Roman" w:hAnsi="Times New Roman"/>
          <w:i w:val="0"/>
          <w:sz w:val="24"/>
        </w:rPr>
        <w:t>Naming compliance:</w:t>
      </w:r>
    </w:p>
    <w:p>
      <w:pPr>
        <w:widowControl/>
      </w:pPr>
      <w:r>
        <w:rPr>
          <w:rFonts w:ascii="Times New Roman" w:hAnsi="Times New Roman"/>
          <w:i w:val="0"/>
          <w:sz w:val="24"/>
        </w:rPr>
        <w:t>- all table names are lowercase, singular, contain no spaces and contain no underscores;</w:t>
      </w:r>
    </w:p>
    <w:p>
      <w:pPr>
        <w:widowControl/>
      </w:pPr>
      <w:r>
        <w:rPr>
          <w:rFonts w:ascii="Times New Roman" w:hAnsi="Times New Roman"/>
          <w:i w:val="0"/>
          <w:sz w:val="24"/>
        </w:rPr>
        <w:t>- all attributes use lowerCamelCase;</w:t>
      </w:r>
    </w:p>
    <w:p>
      <w:pPr>
        <w:widowControl/>
      </w:pPr>
      <w:r>
        <w:rPr>
          <w:rFonts w:ascii="Times New Roman" w:hAnsi="Times New Roman"/>
          <w:i w:val="0"/>
          <w:sz w:val="24"/>
        </w:rPr>
        <w:t>- character-bearing identifiers (for example EMP0001, WINE001, PROD001) follow the owners' request;</w:t>
      </w:r>
    </w:p>
    <w:p>
      <w:pPr>
        <w:widowControl/>
      </w:pPr>
      <w:r>
        <w:rPr>
          <w:rFonts w:ascii="Times New Roman" w:hAnsi="Times New Roman"/>
          <w:i w:val="0"/>
          <w:sz w:val="24"/>
        </w:rPr>
        <w:t>- compound keys are demonstrated in relationship/history tables such as winecomposition, orderline, trainingattendance and employeerole;</w:t>
      </w:r>
    </w:p>
    <w:p>
      <w:pPr>
        <w:widowControl/>
      </w:pPr>
      <w:r>
        <w:rPr>
          <w:rFonts w:ascii="Times New Roman" w:hAnsi="Times New Roman"/>
          <w:i w:val="0"/>
          <w:sz w:val="24"/>
        </w:rPr>
        <w:t>- the clean build has been executed under MySQL 8.4.11 from an empty database.</w:t>
      </w:r>
    </w:p>
    <w:p>
      <w:pPr>
        <w:widowControl/>
      </w:pPr>
      <w:r>
        <w:rPr>
          <w:rFonts w:ascii="Times New Roman" w:hAnsi="Times New Roman"/>
          <w:i w:val="0"/>
          <w:sz w:val="24"/>
        </w:rPr>
        <w:t>The data dictionary was prepared as Word-ready tables and cross-checked against the implemented MySQL schema for consistency. Every field has an explicit domain/default and a semantic business definition; automation is used internally to detect schema drift. The complete source is stored in docs/report/data-dictionary.md and appears in the Word report appendix.</w:t>
      </w:r>
    </w:p>
    <w:p>
      <w:pPr>
        <w:pStyle w:val="Heading2"/>
      </w:pPr>
      <w:r>
        <w:t>Revised build verification</w:t>
      </w:r>
    </w:p>
    <w:p>
      <w:pPr>
        <w:widowControl/>
      </w:pPr>
      <w:r>
        <w:rPr>
          <w:rFonts w:ascii="Times New Roman" w:hAnsi="Times New Roman"/>
          <w:i w:val="0"/>
          <w:sz w:val="24"/>
        </w:rPr>
        <w:t>The final tutor-feedback build was verified under MySQL 8.4.11 on 2026-10-07: 55 base tables, 1 view, 286 columns, 72 foreign keys, 50 CHECK constraints, 30 triggers and 3 routines. The 286-row dictionary was regenerated from that live schema. The Workbench model contains 276 base-table attributes; the reporting view contributes the remaining 10 dictionary attributes. All modeled column names and primary keys match the regenerated dictionary.</w:t>
      </w:r>
    </w:p>
    <w:p>
      <w:pPr>
        <w:pStyle w:val="Heading2"/>
      </w:pPr>
      <w:r>
        <w:t>Hint 7 formatting and schema addendum</w:t>
      </w:r>
    </w:p>
    <w:p>
      <w:pPr>
        <w:widowControl/>
      </w:pPr>
      <w:r>
        <w:rPr>
          <w:rFonts w:ascii="Times New Roman" w:hAnsi="Times New Roman"/>
          <w:i w:val="0"/>
          <w:sz w:val="24"/>
        </w:rPr>
        <w:t>The five line-specific recipient/delivery snapshot attributes and the shipment productId composite foreign key are included in the revised dictionary. The Word Data Dictionary tables must use at least 10 pt text while remaining editable and selectable by Turnitin; layout can expand into additional landscape pages rather than squeezing entries into a 7.5 pt table.</w:t>
      </w:r>
    </w:p>
    <w:p>
      <w:pPr>
        <w:widowControl/>
      </w:pPr>
      <w:r>
        <w:rPr>
          <w:rFonts w:ascii="Times New Roman" w:hAnsi="Times New Roman"/>
          <w:i w:val="0"/>
          <w:sz w:val="24"/>
        </w:rPr>
        <w:t>Build verification: 55 base tables, 1 view, 292 columns, 72 foreign keys, 51 CHECK constraints, 30 triggers and 3 routines under MySQL 8.4.11. Statistics are read from the verified live schema, not hard-coded.</w:t>
      </w:r>
    </w:p>
    <w:p>
      <w:pPr>
        <w:pStyle w:val="Heading1"/>
      </w:pPr>
      <w:r>
        <w:t>Task 6 — Data Quality Strategy and Validation</w:t>
      </w:r>
    </w:p>
    <w:p>
      <w:pPr>
        <w:pStyle w:val="Heading2"/>
      </w:pPr>
      <w:r>
        <w:t>6a. Official A2 v4 source and controlled migration</w:t>
      </w:r>
    </w:p>
    <w:p>
      <w:pPr>
        <w:widowControl/>
      </w:pPr>
      <w:r>
        <w:rPr>
          <w:rFonts w:ascii="Times New Roman" w:hAnsi="Times New Roman"/>
          <w:i w:val="0"/>
          <w:sz w:val="24"/>
        </w:rPr>
        <w:t>The official workbook BISM2207 A2 Sem 2 2026 Data v4(1).xlsx was independently SHA-verified and re-imported from the supplied local file on 2026-10-07. SHA-256: 88362589a519b6f9aeae031fe806bcf85f0d8b513c12b11f6a4e619ee855c4ac. Raw CSV/SQL exports remain in the ignored private database/local/v4 directory. The unchanged workbook is not included in the public repository. Cleaning follows a raw-to-staging-to-production process so source errors remain reproducible and no ambiguous value is silently invented.</w:t>
      </w:r>
    </w:p>
    <w:p>
      <w:pPr>
        <w:widowControl/>
      </w:pPr>
      <w:r>
        <w:rPr>
          <w:rFonts w:ascii="Times New Roman" w:hAnsi="Times New Roman"/>
          <w:i w:val="0"/>
          <w:sz w:val="24"/>
        </w:rPr>
        <w:t>The three worksheets contain 182 order rows, 102 starting-address rows and 53 business rows of customer/address history. The history worksheet also contains two blank rows and one source note. Raw staging tables preserve an original Excel row number. Deterministic changes are documented separately from records that require manual or tutor confirmation.</w:t>
      </w:r>
    </w:p>
    <w:p>
      <w:pPr>
        <w:pStyle w:val="Heading3"/>
      </w:pPr>
      <w:r>
        <w:t>Verified defects and corrections</w:t>
      </w:r>
    </w:p>
    <w:p>
      <w:pPr>
        <w:widowControl/>
      </w:pPr>
      <w:r>
        <w:rPr>
          <w:rFonts w:ascii="Times New Roman" w:hAnsi="Times New Roman"/>
          <w:i w:val="0"/>
          <w:sz w:val="24"/>
        </w:rPr>
        <w:t>The workbook contains six order rows with non-canonical Customer Id text: lower-case cust018, lower-case cust015, and spaced CUST 019. These can be corrected deterministically by trimming, removing embedded spaces and converting to upper case. After this standardisation, all 50 customer identifiers referenced by orders match a customer in the history worksheet.</w:t>
      </w:r>
    </w:p>
    <w:p>
      <w:pPr>
        <w:widowControl/>
      </w:pPr>
      <w:r>
        <w:rPr>
          <w:rFonts w:ascii="Times New Roman" w:hAnsi="Times New Roman"/>
          <w:i w:val="0"/>
          <w:sz w:val="24"/>
        </w:rPr>
        <w:t>Encoding damage is also deterministic. Rosewood Trail RosÃ© occurs in 24 order rows and is mechanically repaired to Rosewood Trail Rosé. Nine starting-address rows contain the mojibake dash â€“; this is repaired as an encoding defect rather than treated as a business-data change. The company name Vino Vibes  Wine Exporters contains repeated whitespace in three history rows and can be normalised without changing its meaning.</w:t>
      </w:r>
    </w:p>
    <w:p>
      <w:pPr>
        <w:widowControl/>
      </w:pPr>
      <w:r>
        <w:rPr>
          <w:rFonts w:ascii="Times New Roman" w:hAnsi="Times New Roman"/>
          <w:i w:val="0"/>
          <w:sz w:val="24"/>
        </w:rPr>
        <w:t>One extra order row is an exact duplicate: the repeated ORD125 / PROD001 record. The first source row is retained and the later exact copy is recorded as an autocorrected duplicate.</w:t>
      </w:r>
    </w:p>
    <w:p>
      <w:pPr>
        <w:pStyle w:val="Heading3"/>
      </w:pPr>
      <w:r>
        <w:t>Ambiguous records quarantined for review</w:t>
      </w:r>
    </w:p>
    <w:p>
      <w:pPr>
        <w:widowControl/>
      </w:pPr>
      <w:r>
        <w:rPr>
          <w:rFonts w:ascii="Times New Roman" w:hAnsi="Times New Roman"/>
          <w:i w:val="0"/>
          <w:sz w:val="24"/>
        </w:rPr>
        <w:t>The source also contains eight repeated (Order Id, Product Id) groups, representing nine extra rows. Most are not exact duplicates: quantities, prices, refund values or statuses differ. They must not be automatically summed or discarded because the workbook does not establish whether they are genuine repeated product lines, transaction events or source duplication.</w:t>
      </w:r>
    </w:p>
    <w:p>
      <w:pPr>
        <w:widowControl/>
      </w:pPr>
      <w:r>
        <w:rPr>
          <w:rFonts w:ascii="Times New Roman" w:hAnsi="Times New Roman"/>
          <w:i w:val="0"/>
          <w:sz w:val="24"/>
        </w:rPr>
        <w:t>Ten orders contain more than one Shipment Status across their product rows. ORD056 also contains both a blank and paid Payment Status. These findings expose a source-grain ambiguity between order-level and line-level status. The rows are retained in staging and flagged rather than forced into one status.</w:t>
      </w:r>
    </w:p>
    <w:p>
      <w:pPr>
        <w:widowControl/>
      </w:pPr>
      <w:r>
        <w:rPr>
          <w:rFonts w:ascii="Times New Roman" w:hAnsi="Times New Roman"/>
          <w:i w:val="0"/>
          <w:sz w:val="24"/>
        </w:rPr>
        <w:t>The starting-address worksheet has 67 distinct Full Address strings across 102 Address Id records. Nineteen full-address groups are duplicated, accounting for 35 additional Address Id rows. Two duplicate groups also differ in structural metadata such as unit/building information, so canonicalisation cannot be based on Full Address text alone.</w:t>
      </w:r>
    </w:p>
    <w:p>
      <w:pPr>
        <w:widowControl/>
      </w:pPr>
      <w:r>
        <w:rPr>
          <w:rFonts w:ascii="Times New Roman" w:hAnsi="Times New Roman"/>
          <w:i w:val="0"/>
          <w:sz w:val="24"/>
        </w:rPr>
        <w:t>Three phone values are shared by more than one customer. These may represent a household or business contact, or they may be source errors. They require manual review and are not changed automatically.</w:t>
      </w:r>
    </w:p>
    <w:p>
      <w:pPr>
        <w:widowControl/>
      </w:pPr>
      <w:r>
        <w:rPr>
          <w:rFonts w:ascii="Times New Roman" w:hAnsi="Times New Roman"/>
          <w:i w:val="0"/>
          <w:sz w:val="24"/>
        </w:rPr>
        <w:t>The source itself states that an export reset some current-customer start dates. The lost original dates cannot be recovered from the workbook and are therefore disclosed as a source limitation rather than reconstructed.</w:t>
      </w:r>
    </w:p>
    <w:p>
      <w:pPr>
        <w:pStyle w:val="Heading3"/>
      </w:pPr>
      <w:r>
        <w:t>Consistency checks that pass</w:t>
      </w:r>
    </w:p>
    <w:p>
      <w:pPr>
        <w:widowControl/>
      </w:pPr>
      <w:r>
        <w:rPr>
          <w:rFonts w:ascii="Times New Roman" w:hAnsi="Times New Roman"/>
          <w:i w:val="0"/>
          <w:sz w:val="24"/>
        </w:rPr>
        <w:t>All 182 order rows satisfy Cases ordered × Price per case = Total paid + Refund Amount within one cent. No row has damaged cases greater than ordered cases. Where damaged cases are recorded, the damage refund equals damaged cases multiplied by the line price within one cent. Product Id consistently maps to one Wine Name, and Customer Id and Order Date are internally consistent within each Order Id after Customer Id normalisation.</w:t>
      </w:r>
    </w:p>
    <w:p>
      <w:pPr>
        <w:widowControl/>
      </w:pPr>
      <w:r>
        <w:rPr>
          <w:rFonts w:ascii="Times New Roman" w:hAnsi="Times New Roman"/>
          <w:i w:val="0"/>
          <w:sz w:val="24"/>
        </w:rPr>
        <w:t>Customer-address history contains no overlapping periods for the same customer and the same supplied address purpose. The source legitimately contains concurrent current Delivery and Billing rows for CUST050, which is why the revised database controls current history per address purpose rather than incorrectly allowing only one address of every kind.</w:t>
      </w:r>
    </w:p>
    <w:p>
      <w:pPr>
        <w:widowControl/>
      </w:pPr>
      <w:r>
        <w:rPr>
          <w:rFonts w:ascii="Times New Roman" w:hAnsi="Times New Roman"/>
          <w:i w:val="0"/>
          <w:sz w:val="24"/>
        </w:rPr>
        <w:t>Detailed profiling SQL and evidence counts are in database/cleaning/01_v4_staging.sql, database/cleaning/02_v4_profile_and_clean.sql and docs/evidence/a2-v4-data-quality-audit.md.</w:t>
      </w:r>
    </w:p>
    <w:p>
      <w:pPr>
        <w:pStyle w:val="Heading2"/>
      </w:pPr>
      <w:r>
        <w:t>6b. Revised schema controls arising from the data-quality review</w:t>
      </w:r>
    </w:p>
    <w:p>
      <w:pPr>
        <w:widowControl/>
      </w:pPr>
      <w:r>
        <w:rPr>
          <w:rFonts w:ascii="Times New Roman" w:hAnsi="Times New Roman"/>
          <w:i w:val="0"/>
          <w:sz w:val="24"/>
        </w:rPr>
        <w:t>The cleaning exercise is connected to the production design rather than treated as a separate spreadsheet task. customeraddress.addressPurpose now represents Primary, Delivery, Billing and Correspondence uses. Current history is protected against overlapping periods for the same purpose. Employee and supplier address histories are protected by address kind, and employee/customer/supplier phone histories enforce one current primary phone where applicable.</w:t>
      </w:r>
    </w:p>
    <w:p>
      <w:pPr>
        <w:widowControl/>
      </w:pPr>
      <w:r>
        <w:rPr>
          <w:rFonts w:ascii="Times New Roman" w:hAnsi="Times New Roman"/>
          <w:i w:val="0"/>
          <w:sz w:val="24"/>
        </w:rPr>
        <w:t>Refund now identifies productId together with customerOrderId, with a foreign key to the actual order line. This prevents a refund from naming a product that was not purchased on that order.</w:t>
      </w:r>
    </w:p>
    <w:p>
      <w:pPr>
        <w:pStyle w:val="Heading2"/>
      </w:pPr>
      <w:r>
        <w:t>6c. Test-data and integrity validation</w:t>
      </w:r>
    </w:p>
    <w:p>
      <w:pPr>
        <w:widowControl/>
      </w:pPr>
      <w:r>
        <w:rPr>
          <w:rFonts w:ascii="Times New Roman" w:hAnsi="Times New Roman"/>
          <w:i w:val="0"/>
          <w:sz w:val="24"/>
        </w:rPr>
        <w:t>Synthetic HR and operational data remains necessary because the official v4 workbook contains customer/order/address information and does not contain the HR training, shift, incident, qualification or wellbeing records needed for the selected perspective and Task 7 queries.</w:t>
      </w:r>
    </w:p>
    <w:p>
      <w:pPr>
        <w:widowControl/>
      </w:pPr>
      <w:r>
        <w:rPr>
          <w:rFonts w:ascii="Times New Roman" w:hAnsi="Times New Roman"/>
          <w:i w:val="0"/>
          <w:sz w:val="24"/>
        </w:rPr>
        <w:t>The revised test dataset additionally demonstrates:</w:t>
      </w:r>
    </w:p>
    <w:p>
      <w:pPr>
        <w:widowControl/>
      </w:pPr>
      <w:r>
        <w:rPr>
          <w:rFonts w:ascii="Times New Roman" w:hAnsi="Times New Roman"/>
          <w:i w:val="0"/>
          <w:sz w:val="24"/>
        </w:rPr>
        <w:t>- multiple grape varieties in the same vineyard and vintage;</w:t>
      </w:r>
    </w:p>
    <w:p>
      <w:pPr>
        <w:widowControl/>
      </w:pPr>
      <w:r>
        <w:rPr>
          <w:rFonts w:ascii="Times New Roman" w:hAnsi="Times New Roman"/>
          <w:i w:val="0"/>
          <w:sz w:val="24"/>
        </w:rPr>
        <w:t>- harvest linkage to the exact vineyard/vintage/grape-variety planting;</w:t>
      </w:r>
    </w:p>
    <w:p>
      <w:pPr>
        <w:widowControl/>
      </w:pPr>
      <w:r>
        <w:rPr>
          <w:rFonts w:ascii="Times New Roman" w:hAnsi="Times New Roman"/>
          <w:i w:val="0"/>
          <w:sz w:val="24"/>
        </w:rPr>
        <w:t>- picker leave/rejoin support through joinedDate in the Pack Member key;</w:t>
      </w:r>
    </w:p>
    <w:p>
      <w:pPr>
        <w:widowControl/>
      </w:pPr>
      <w:r>
        <w:rPr>
          <w:rFonts w:ascii="Times New Roman" w:hAnsi="Times New Roman"/>
          <w:i w:val="0"/>
          <w:sz w:val="24"/>
        </w:rPr>
        <w:t>- line-specific refund integrity;</w:t>
      </w:r>
    </w:p>
    <w:p>
      <w:pPr>
        <w:widowControl/>
      </w:pPr>
      <w:r>
        <w:rPr>
          <w:rFonts w:ascii="Times New Roman" w:hAnsi="Times New Roman"/>
          <w:i w:val="0"/>
          <w:sz w:val="24"/>
        </w:rPr>
        <w:t>- customer address purposes;</w:t>
      </w:r>
    </w:p>
    <w:p>
      <w:pPr>
        <w:widowControl/>
      </w:pPr>
      <w:r>
        <w:rPr>
          <w:rFonts w:ascii="Times New Roman" w:hAnsi="Times New Roman"/>
          <w:i w:val="0"/>
          <w:sz w:val="24"/>
        </w:rPr>
        <w:t>- actual shift assignment start/end times rather than duplicated manual hour totals;</w:t>
      </w:r>
    </w:p>
    <w:p>
      <w:pPr>
        <w:widowControl/>
      </w:pPr>
      <w:r>
        <w:rPr>
          <w:rFonts w:ascii="Times New Roman" w:hAnsi="Times New Roman"/>
          <w:i w:val="0"/>
          <w:sz w:val="24"/>
        </w:rPr>
        <w:t>- wine-composition validation before an active product is released.</w:t>
      </w:r>
    </w:p>
    <w:p>
      <w:pPr>
        <w:widowControl/>
      </w:pPr>
      <w:r>
        <w:rPr>
          <w:rFonts w:ascii="Times New Roman" w:hAnsi="Times New Roman"/>
          <w:i w:val="0"/>
          <w:sz w:val="24"/>
        </w:rPr>
        <w:t>The assessed five Task 3b rules remain separate from these extra regression controls.</w:t>
      </w:r>
    </w:p>
    <w:p>
      <w:pPr>
        <w:pStyle w:val="Heading2"/>
      </w:pPr>
      <w:r>
        <w:t>6d. Final cleaned supplied-data import — 2026-10-08</w:t>
      </w:r>
    </w:p>
    <w:p>
      <w:pPr>
        <w:widowControl/>
      </w:pPr>
      <w:r>
        <w:rPr>
          <w:rFonts w:ascii="Times New Roman" w:hAnsi="Times New Roman"/>
          <w:i w:val="0"/>
          <w:sz w:val="24"/>
        </w:rPr>
        <w:t>The final portable SQL includes database/data/02_cleaned_v4_data.sql after the additional test dataset. tools/build_cleaned_v4_data.py reads the preserved private staging CSVs and produces accepted INSERTs and ID-only disposition ledgers. Existing before/after Workbench evidence remains unchanged. Final import and six-query captures are in docs/evidence/combined-database.</w:t>
      </w:r>
    </w:p>
    <w:p>
      <w:pPr>
        <w:widowControl/>
      </w:pPr>
      <w:r>
        <w:rPr>
          <w:rFonts w:ascii="Times New Roman" w:hAnsi="Times New Roman"/>
          <w:i w:val="0"/>
          <w:sz w:val="24"/>
        </w:rPr>
        <w:t>Source IDs map one-to-one into separate namespaces: CUST001 → VCUS001, PROD001 → VPRD001, ORD001 → VORD001 and ADDR001 → VADR0001. This preserves supplied identity without colliding with synthetic fixtures. No production schema or order-line primary key was changed.</w:t>
      </w:r>
    </w:p>
    <w:p>
      <w:pPr>
        <w:pStyle w:val="Heading3"/>
      </w:pPr>
      <w:r>
        <w:t>Tables imported and verified</w:t>
      </w:r>
    </w:p>
    <w:tbl>
      <w:tblPr>
        <w:tblStyle w:val="TableGrid"/>
        <w:tblW w:type="dxa" w:w="9071"/>
        <w:tblLayout w:type="fixed"/>
        <w:tblLook w:firstColumn="1" w:firstRow="1" w:lastColumn="0" w:lastRow="0" w:noHBand="0" w:noVBand="1" w:val="04A0"/>
        <w:tblInd w:w="120" w:type="dxa"/>
      </w:tblPr>
      <w:tblGrid>
        <w:gridCol w:w="1744"/>
        <w:gridCol w:w="1066"/>
        <w:gridCol w:w="6261"/>
      </w:tblGrid>
      <w:tr>
        <w:trPr>
          <w:tblHeader w:val="true"/>
          <w:cantSplit/>
        </w:trPr>
        <w:tc>
          <w:tcPr>
            <w:tcW w:type="dxa" w:w="1744"/>
            <w:shd w:fill="DCE6F1"/>
            <w:vAlign w:val="center"/>
            <w:tcMar>
              <w:top w:w="80" w:type="dxa"/>
              <w:start w:w="100" w:type="dxa"/>
              <w:bottom w:w="80" w:type="dxa"/>
              <w:end w:w="100" w:type="dxa"/>
            </w:tcMar>
          </w:tcPr>
          <w:p>
            <w:pPr>
              <w:keepNext/>
              <w:jc w:val="center"/>
            </w:pPr>
            <w:r>
              <w:rPr>
                <w:rFonts w:ascii="Times New Roman" w:hAnsi="Times New Roman"/>
                <w:b/>
                <w:color w:val="1F2937"/>
                <w:sz w:val="16"/>
              </w:rPr>
              <w:t>Table</w:t>
            </w:r>
          </w:p>
        </w:tc>
        <w:tc>
          <w:tcPr>
            <w:tcW w:type="dxa" w:w="1066"/>
            <w:shd w:fill="DCE6F1"/>
            <w:vAlign w:val="center"/>
            <w:tcMar>
              <w:top w:w="80" w:type="dxa"/>
              <w:start w:w="100" w:type="dxa"/>
              <w:bottom w:w="80" w:type="dxa"/>
              <w:end w:w="100" w:type="dxa"/>
            </w:tcMar>
          </w:tcPr>
          <w:p>
            <w:pPr>
              <w:keepNext/>
              <w:jc w:val="center"/>
            </w:pPr>
            <w:r>
              <w:rPr>
                <w:rFonts w:ascii="Times New Roman" w:hAnsi="Times New Roman"/>
                <w:b/>
                <w:color w:val="1F2937"/>
                <w:sz w:val="16"/>
              </w:rPr>
              <w:t>Supplied or supplemental records</w:t>
            </w:r>
          </w:p>
        </w:tc>
        <w:tc>
          <w:tcPr>
            <w:tcW w:type="dxa" w:w="6261"/>
            <w:shd w:fill="DCE6F1"/>
            <w:vAlign w:val="center"/>
            <w:tcMar>
              <w:top w:w="80" w:type="dxa"/>
              <w:start w:w="100" w:type="dxa"/>
              <w:bottom w:w="80" w:type="dxa"/>
              <w:end w:w="100" w:type="dxa"/>
            </w:tcMar>
          </w:tcPr>
          <w:p>
            <w:pPr>
              <w:keepNext/>
              <w:jc w:val="center"/>
            </w:pPr>
            <w:r>
              <w:rPr>
                <w:rFonts w:ascii="Times New Roman" w:hAnsi="Times New Roman"/>
                <w:b/>
                <w:color w:val="1F2937"/>
                <w:sz w:val="16"/>
              </w:rPr>
              <w:t>Import and verification</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50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Standardised IDs; email and source type retained; subtype/FK checks pass. Active state is an import assumption.</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individualcustomer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25</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names and birth dates; one subtype row per individual.</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businesscustomer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25</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ABN/contact names; whitespace-normalised company; OTHER means subtype unspecified. Unique ABNs pass.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address</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102</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Deterministic physical-address parsing and dash repair; retain every source ID and structured Unit/Level metadata; no canonical merge.</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customeraddress</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53</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purposes and date/time periods preserved; foreign keys and non-overlap controls pass.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phone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66</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Unshared source values; OTHER means unspecified type. +61 is an explicit Australian-address country assumption.</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customerphone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66</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Unshared associations only; earliest supplied customer-history start is an explicit effective-start assumption; no primary rank guessed.</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winecategory</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Supplemental test category CTV4, explicitly labelled.</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wine names; mandatory missing wine attributes are explicitly supplemental test values.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winecomposition</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Supplemental test recipe, validated to 100%; not a factual source recipe.</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wineproduct</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10</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Source Product IDs; supplemental bottle, case size and active-state attributes.</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customerorder</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79</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Complete accepted orders only; consistent customer/date/header status, all source lines present.</w:t>
            </w:r>
          </w:p>
        </w:tc>
      </w:tr>
      <w:tr>
        <w:trPr>
          <w:cantSplit/>
        </w:trPr>
        <w:tc>
          <w:tcPr>
            <w:tcW w:type="dxa" w:w="1744"/>
            <w:vAlign w:val="center"/>
            <w:tcMar>
              <w:top w:w="80" w:type="dxa"/>
              <w:start w:w="100" w:type="dxa"/>
              <w:bottom w:w="80" w:type="dxa"/>
              <w:end w:w="100" w:type="dxa"/>
            </w:tcMar>
          </w:tcPr>
          <w:p>
            <w:pPr>
              <w:keepNext w:val="0"/>
              <w:spacing w:after="0"/>
            </w:pPr>
            <w:r>
              <w:rPr>
                <w:rFonts w:ascii="Times New Roman" w:hAnsi="Times New Roman"/>
                <w:sz w:val="16"/>
              </w:rPr>
              <w:t>orderline</w:t>
            </w:r>
          </w:p>
        </w:tc>
        <w:tc>
          <w:tcPr>
            <w:tcW w:type="dxa" w:w="1066"/>
            <w:vAlign w:val="center"/>
            <w:tcMar>
              <w:top w:w="80" w:type="dxa"/>
              <w:start w:w="100" w:type="dxa"/>
              <w:bottom w:w="80" w:type="dxa"/>
              <w:end w:w="100" w:type="dxa"/>
            </w:tcMar>
          </w:tcPr>
          <w:p>
            <w:pPr>
              <w:keepNext w:val="0"/>
              <w:spacing w:after="0"/>
            </w:pPr>
            <w:r>
              <w:rPr>
                <w:rFonts w:ascii="Times New Roman" w:hAnsi="Times New Roman"/>
                <w:sz w:val="16"/>
              </w:rPr>
              <w:t>132</w:t>
            </w:r>
          </w:p>
        </w:tc>
        <w:tc>
          <w:tcPr>
            <w:tcW w:type="dxa" w:w="6261"/>
            <w:vAlign w:val="center"/>
            <w:tcMar>
              <w:top w:w="80" w:type="dxa"/>
              <w:start w:w="100" w:type="dxa"/>
              <w:bottom w:w="80" w:type="dxa"/>
              <w:end w:w="100" w:type="dxa"/>
            </w:tcMar>
          </w:tcPr>
          <w:p>
            <w:pPr>
              <w:keepNext w:val="0"/>
              <w:spacing w:after="0"/>
            </w:pPr>
            <w:r>
              <w:rPr>
                <w:rFonts w:ascii="Times New Roman" w:hAnsi="Times New Roman"/>
                <w:sz w:val="16"/>
              </w:rPr>
              <w:t>Exact source quantities and negotiated prices; no sum, averaging or partial-order import. Live readback matches accepted source rows.</w:t>
            </w:r>
          </w:p>
        </w:tc>
      </w:tr>
    </w:tbl>
    <w:p>
      <w:pPr>
        <w:spacing w:after="0"/>
      </w:pPr>
    </w:p>
    <w:p>
      <w:pPr>
        <w:widowControl/>
      </w:pPr>
      <w:r>
        <w:rPr>
          <w:rFonts w:ascii="Times New Roman" w:hAnsi="Times New Roman"/>
          <w:i w:val="0"/>
          <w:sz w:val="24"/>
        </w:rPr>
        <w:t>All table INSERTs passed MySQL 8.4.11 foreign-key, CHECK and trigger enforcement in an empty-database portable rebuild. Namespace row counts and source quantity/price/header readback are recorded in docs/evidence/v4-final-import-results.tsv. Existing verifier passes 73/73; no new verifier checks were added.</w:t>
      </w:r>
    </w:p>
    <w:p>
      <w:pPr>
        <w:pStyle w:val="Heading3"/>
      </w:pPr>
      <w:r>
        <w:t>Explicit import assumptions and supplemental test values</w:t>
      </w:r>
    </w:p>
    <w:p>
      <w:pPr>
        <w:widowControl/>
      </w:pPr>
      <w:r>
        <w:rPr>
          <w:rFonts w:ascii="Times New Roman" w:hAnsi="Times New Roman"/>
          <w:i w:val="0"/>
          <w:sz w:val="24"/>
        </w:rPr>
        <w:t>The workbook omits attributes required by the stable wine/product schema. Separate supplied-product records therefore use vintage 2026, 13.5% alcohol, synthetic winemaker EMP0004, supplemental category CTV4, a 100% GRAPE01 test recipe, BOTL001 bottles and 12 bottles per case. These are added test attributes, not recovered workbook facts, actual wine recipes or factual packaging specifications. The original synthetic products and HR fixtures remain available for integrity and Task 7 demonstrations. A synthetic business ABN was changed to avoid a collision with a supplied ABN; the supplied ABN is unchanged.</w:t>
      </w:r>
    </w:p>
    <w:p>
      <w:pPr>
        <w:widowControl/>
      </w:pPr>
      <w:r>
        <w:rPr>
          <w:rFonts w:ascii="Times New Roman" w:hAnsi="Times New Roman"/>
          <w:i w:val="0"/>
          <w:sz w:val="24"/>
        </w:rPr>
        <w:t>Source shipped/pending values map directly to order status. A blank payment value maps to FALSE as “no confirmed payment”, not a claim of verified non-payment. Shipment dates and order-specific delivery addresses are absent, so 72 accepted shipped-order shipment-detail facts are quarantined; no shipment detail or refund date/verification is invented. Source negotiated prices belong to order lines, not an invented product price history.</w:t>
      </w:r>
    </w:p>
    <w:p>
      <w:pPr>
        <w:pStyle w:val="Heading3"/>
      </w:pPr>
      <w:r>
        <w:t>Final reconciliation and quarantine</w:t>
      </w:r>
    </w:p>
    <w:p>
      <w:pPr>
        <w:widowControl/>
      </w:pPr>
      <w:r>
        <w:rPr>
          <w:rFonts w:ascii="Times New Roman" w:hAnsi="Times New Roman"/>
          <w:i w:val="0"/>
          <w:sz w:val="24"/>
        </w:rPr>
        <w:t>182 source order rows = 132 accepted/imported cleaned rows + 1 rejected exact copy + 15 ambiguous-pair rows quarantined + 34 other rows quarantined. Each original source row has exactly one disposition in docs/evidence/v4-import-dispositions.csv. The accepted rows form 79 complete orders; the other 24 source orders are held. Quarantine is a completed import decision, not an unresolved accounting total.</w:t>
      </w:r>
    </w:p>
    <w:p>
      <w:pPr>
        <w:widowControl/>
      </w:pPr>
      <w:r>
        <w:rPr>
          <w:rFonts w:ascii="Times New Roman" w:hAnsi="Times New Roman"/>
          <w:i w:val="0"/>
          <w:sz w:val="24"/>
        </w:rPr>
        <w:t>Seven non-exact repeated pairs contain 15 rows. An order containing any ambiguous pair is held as a whole, including its otherwise unique lines, to avoid presenting partial totals. Mixed shipment/payment headers and shipment statuses such as damaged, returned or partially refunded cannot safely map into the stable order enum; affected whole orders are held. The 34 other rows include this order-level closure and unsupported/mixed-status records; reasons may overlap and are listed per row rather than added as independent totals. No ambiguous lines are summed or silently deleted.</w:t>
      </w:r>
    </w:p>
    <w:p>
      <w:pPr>
        <w:widowControl/>
      </w:pPr>
      <w:r>
        <w:rPr>
          <w:rFonts w:ascii="Times New Roman" w:hAnsi="Times New Roman"/>
          <w:i w:val="0"/>
          <w:sz w:val="24"/>
        </w:rPr>
        <w:t>All 102 address IDs are retained separately, including the 19 repeated full-address groups; ID-specific structured metadata is preserved, so no canonical identity is guessed. Three shared phone values representing seven customer/phone associations are quarantined. The ID-only dependent-fact ledger is docs/evidence/v4-dependent-facts-quarantine.csv.</w:t>
      </w:r>
    </w:p>
    <w:p>
      <w:pPr>
        <w:pStyle w:val="Heading3"/>
      </w:pPr>
      <w:r>
        <w:t>Source limitation</w:t>
      </w:r>
    </w:p>
    <w:p>
      <w:pPr>
        <w:widowControl/>
      </w:pPr>
      <w:r>
        <w:rPr>
          <w:rFonts w:ascii="Times New Roman" w:hAnsi="Times New Roman"/>
          <w:i w:val="0"/>
          <w:sz w:val="24"/>
        </w:rPr>
        <w:t>Export-reset customer-history starts remain exactly as supplied. Lost original dates are not reconstructed. Student-only video, RiPPlE, Buddycheck and genuine contribution confirmation remain separate from report/code readiness. Task 8 awaits the Week 11 scenario supplied by the tutor.</w:t>
      </w:r>
    </w:p>
    <w:p>
      <w:pPr>
        <w:pStyle w:val="Heading2"/>
      </w:pPr>
      <w:r>
        <w:t>Hint 10–11 supplementary cleaning and controls</w:t>
      </w:r>
    </w:p>
    <w:p>
      <w:pPr>
        <w:widowControl/>
      </w:pPr>
      <w:r>
        <w:rPr>
          <w:rFonts w:ascii="Times New Roman" w:hAnsi="Times New Roman"/>
          <w:i w:val="0"/>
          <w:sz w:val="24"/>
        </w:rPr>
        <w:t>Delivery provenance: The official v4 order worksheet does not contain line-level recipient or delivery-address columns. Five nullable product-specific delivery snapshot fields are therefore left absent for all imported supplied lines, rather than filled with test addresses. A separate synthetic gift order demonstrates different recipients and physical destinations, with linked shipment rows. No historic delivery information is reconstructed.</w:t>
      </w:r>
    </w:p>
    <w:p>
      <w:pPr>
        <w:widowControl/>
      </w:pPr>
      <w:r>
        <w:rPr>
          <w:rFonts w:ascii="Times New Roman" w:hAnsi="Times New Roman"/>
          <w:i w:val="0"/>
          <w:sz w:val="24"/>
        </w:rPr>
        <w:t>Excel phone-formula issue (Hint 11): The v4 history sheet has 53 populated phone1 values and 16 populated phone2 values, all as numeric nine-digit cells; the copy provided contains no active phone formulas. The original leading + formula expression is no longer available to replace. We preserve these numeric values as text at import, keep the +61 country-code inference expressly labelled as an Australian data assumption rather than a source repair, and quarantine shared phone associations. Full audit: docs/evidence/hint-11-phone-source-audit.md.</w:t>
      </w:r>
    </w:p>
    <w:p>
      <w:pPr>
        <w:widowControl/>
      </w:pPr>
      <w:r>
        <w:rPr>
          <w:rFonts w:ascii="Times New Roman" w:hAnsi="Times New Roman"/>
          <w:i w:val="0"/>
          <w:sz w:val="24"/>
        </w:rPr>
        <w:t>Backup before major steps (Hint 10): Use tools/backup_before_import.sh to obtain a dated SQL dump before any destructive import or source replay on a real MySQL instance. A successful portable empty-database rebuild is not a substitute for evidence of a pre-update backup. Any genuine backup should be stored outside the public repository.</w:t>
      </w:r>
    </w:p>
    <w:tbl>
      <w:tblPr>
        <w:tblStyle w:val="TableGrid"/>
        <w:tblW w:type="dxa" w:w="9070"/>
        <w:tblLayout w:type="fixed"/>
        <w:tblLook w:firstColumn="1" w:firstRow="1" w:lastColumn="0" w:lastRow="0" w:noHBand="0" w:noVBand="1" w:val="04A0"/>
        <w:tblInd w:w="120" w:type="dxa"/>
      </w:tblPr>
      <w:tblGrid>
        <w:gridCol w:w="678"/>
        <w:gridCol w:w="3198"/>
        <w:gridCol w:w="1744"/>
        <w:gridCol w:w="3450"/>
      </w:tblGrid>
      <w:tr>
        <w:trPr>
          <w:tblHeader w:val="true"/>
          <w:cantSplit/>
        </w:trPr>
        <w:tc>
          <w:tcPr>
            <w:tcW w:type="dxa" w:w="678"/>
            <w:shd w:fill="DCE6F1"/>
            <w:vAlign w:val="center"/>
            <w:tcMar>
              <w:top w:w="80" w:type="dxa"/>
              <w:start w:w="100" w:type="dxa"/>
              <w:bottom w:w="80" w:type="dxa"/>
              <w:end w:w="100" w:type="dxa"/>
            </w:tcMar>
          </w:tcPr>
          <w:p>
            <w:pPr>
              <w:keepNext/>
              <w:jc w:val="center"/>
            </w:pPr>
            <w:r>
              <w:rPr>
                <w:rFonts w:ascii="Times New Roman" w:hAnsi="Times New Roman"/>
                <w:b/>
                <w:color w:val="1F2937"/>
                <w:sz w:val="16"/>
              </w:rPr>
              <w:t>Test</w:t>
            </w:r>
          </w:p>
        </w:tc>
        <w:tc>
          <w:tcPr>
            <w:tcW w:type="dxa" w:w="3198"/>
            <w:shd w:fill="DCE6F1"/>
            <w:vAlign w:val="center"/>
            <w:tcMar>
              <w:top w:w="80" w:type="dxa"/>
              <w:start w:w="100" w:type="dxa"/>
              <w:bottom w:w="80" w:type="dxa"/>
              <w:end w:w="100" w:type="dxa"/>
            </w:tcMar>
          </w:tcPr>
          <w:p>
            <w:pPr>
              <w:keepNext/>
              <w:jc w:val="center"/>
            </w:pPr>
            <w:r>
              <w:rPr>
                <w:rFonts w:ascii="Times New Roman" w:hAnsi="Times New Roman"/>
                <w:b/>
                <w:color w:val="1F2937"/>
                <w:sz w:val="16"/>
              </w:rPr>
              <w:t>Plain-English scenario</w:t>
            </w:r>
          </w:p>
        </w:tc>
        <w:tc>
          <w:tcPr>
            <w:tcW w:type="dxa" w:w="1744"/>
            <w:shd w:fill="DCE6F1"/>
            <w:vAlign w:val="center"/>
            <w:tcMar>
              <w:top w:w="80" w:type="dxa"/>
              <w:start w:w="100" w:type="dxa"/>
              <w:bottom w:w="80" w:type="dxa"/>
              <w:end w:w="100" w:type="dxa"/>
            </w:tcMar>
          </w:tcPr>
          <w:p>
            <w:pPr>
              <w:keepNext/>
              <w:jc w:val="center"/>
            </w:pPr>
            <w:r>
              <w:rPr>
                <w:rFonts w:ascii="Times New Roman" w:hAnsi="Times New Roman"/>
                <w:b/>
                <w:color w:val="1F2937"/>
                <w:sz w:val="16"/>
              </w:rPr>
              <w:t>Expected result</w:t>
            </w:r>
          </w:p>
        </w:tc>
        <w:tc>
          <w:tcPr>
            <w:tcW w:type="dxa" w:w="3450"/>
            <w:shd w:fill="DCE6F1"/>
            <w:vAlign w:val="center"/>
            <w:tcMar>
              <w:top w:w="80" w:type="dxa"/>
              <w:start w:w="100" w:type="dxa"/>
              <w:bottom w:w="80" w:type="dxa"/>
              <w:end w:w="100" w:type="dxa"/>
            </w:tcMar>
          </w:tcPr>
          <w:p>
            <w:pPr>
              <w:keepNext/>
              <w:jc w:val="center"/>
            </w:pPr>
            <w:r>
              <w:rPr>
                <w:rFonts w:ascii="Times New Roman" w:hAnsi="Times New Roman"/>
                <w:b/>
                <w:color w:val="1F2937"/>
                <w:sz w:val="16"/>
              </w:rPr>
              <w:t>One-sentence explanation</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T01</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Valid completed training accepted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Accepted, then rolled back</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Confirms complete HR training outcomes are supported.</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T02</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Role end before start rejected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CHECK Error 3819</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Prevents impossible role history.</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T03</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Reorder FALSE without comment rejected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CHECK Error 3819</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Preserves the bottle sourcing/quality explanation.</w:t>
            </w:r>
          </w:p>
        </w:tc>
      </w:tr>
      <w:tr>
        <w:trPr>
          <w:cantSplit/>
        </w:trPr>
        <w:tc>
          <w:tcPr>
            <w:tcW w:type="dxa" w:w="678"/>
            <w:vAlign w:val="center"/>
            <w:tcMar>
              <w:top w:w="80" w:type="dxa"/>
              <w:start w:w="100" w:type="dxa"/>
              <w:bottom w:w="80" w:type="dxa"/>
              <w:end w:w="100" w:type="dxa"/>
            </w:tcMar>
          </w:tcPr>
          <w:p>
            <w:pPr>
              <w:keepNext/>
              <w:spacing w:after="0"/>
            </w:pPr>
            <w:r>
              <w:rPr>
                <w:rFonts w:ascii="Times New Roman" w:hAnsi="Times New Roman"/>
                <w:sz w:val="16"/>
              </w:rPr>
              <w:t>T04</w:t>
            </w:r>
          </w:p>
        </w:tc>
        <w:tc>
          <w:tcPr>
            <w:tcW w:type="dxa" w:w="3198"/>
            <w:vAlign w:val="center"/>
            <w:tcMar>
              <w:top w:w="80" w:type="dxa"/>
              <w:start w:w="100" w:type="dxa"/>
              <w:bottom w:w="80" w:type="dxa"/>
              <w:end w:w="100" w:type="dxa"/>
            </w:tcMar>
          </w:tcPr>
          <w:p>
            <w:pPr>
              <w:keepNext/>
              <w:spacing w:after="0"/>
            </w:pPr>
            <w:r>
              <w:rPr>
                <w:rFonts w:ascii="Times New Roman" w:hAnsi="Times New Roman"/>
                <w:sz w:val="16"/>
              </w:rPr>
              <w:t>Unpaid order shipment rejected</w:t>
            </w:r>
          </w:p>
        </w:tc>
        <w:tc>
          <w:tcPr>
            <w:tcW w:type="dxa" w:w="1744"/>
            <w:vAlign w:val="center"/>
            <w:tcMar>
              <w:top w:w="80" w:type="dxa"/>
              <w:start w:w="100" w:type="dxa"/>
              <w:bottom w:w="80" w:type="dxa"/>
              <w:end w:w="100" w:type="dxa"/>
            </w:tcMar>
          </w:tcPr>
          <w:p>
            <w:pPr>
              <w:keepNext/>
              <w:spacing w:after="0"/>
            </w:pPr>
            <w:r>
              <w:rPr>
                <w:rFonts w:ascii="Times New Roman" w:hAnsi="Times New Roman"/>
                <w:sz w:val="16"/>
              </w:rPr>
              <w:t>Trigger Error 1644</w:t>
            </w:r>
          </w:p>
        </w:tc>
        <w:tc>
          <w:tcPr>
            <w:tcW w:type="dxa" w:w="3450"/>
            <w:vAlign w:val="center"/>
            <w:tcMar>
              <w:top w:w="80" w:type="dxa"/>
              <w:start w:w="100" w:type="dxa"/>
              <w:bottom w:w="80" w:type="dxa"/>
              <w:end w:w="100" w:type="dxa"/>
            </w:tcMar>
          </w:tcPr>
          <w:p>
            <w:pPr>
              <w:keepNext/>
              <w:spacing w:after="0"/>
            </w:pPr>
            <w:r>
              <w:rPr>
                <w:rFonts w:ascii="Times New Roman" w:hAnsi="Times New Roman"/>
                <w:sz w:val="16"/>
              </w:rPr>
              <w:t>Prevents dispatch before accounting confirmation.</w:t>
            </w:r>
          </w:p>
        </w:tc>
      </w:tr>
      <w:tr>
        <w:trPr>
          <w:cantSplit/>
        </w:trPr>
        <w:tc>
          <w:tcPr>
            <w:tcW w:type="dxa" w:w="678"/>
            <w:vAlign w:val="center"/>
            <w:tcMar>
              <w:top w:w="80" w:type="dxa"/>
              <w:start w:w="100" w:type="dxa"/>
              <w:bottom w:w="80" w:type="dxa"/>
              <w:end w:w="100" w:type="dxa"/>
            </w:tcMar>
          </w:tcPr>
          <w:p>
            <w:pPr>
              <w:keepNext w:val="0"/>
              <w:spacing w:after="0"/>
            </w:pPr>
            <w:r>
              <w:rPr>
                <w:rFonts w:ascii="Times New Roman" w:hAnsi="Times New Roman"/>
                <w:sz w:val="16"/>
              </w:rPr>
              <w:t>T05</w:t>
            </w:r>
          </w:p>
        </w:tc>
        <w:tc>
          <w:tcPr>
            <w:tcW w:type="dxa" w:w="3198"/>
            <w:vAlign w:val="center"/>
            <w:tcMar>
              <w:top w:w="80" w:type="dxa"/>
              <w:start w:w="100" w:type="dxa"/>
              <w:bottom w:w="80" w:type="dxa"/>
              <w:end w:w="100" w:type="dxa"/>
            </w:tcMar>
          </w:tcPr>
          <w:p>
            <w:pPr>
              <w:keepNext w:val="0"/>
              <w:spacing w:after="0"/>
            </w:pPr>
            <w:r>
              <w:rPr>
                <w:rFonts w:ascii="Times New Roman" w:hAnsi="Times New Roman"/>
                <w:sz w:val="16"/>
              </w:rPr>
              <w:t>Overlapping supervision rejected</w:t>
            </w:r>
          </w:p>
        </w:tc>
        <w:tc>
          <w:tcPr>
            <w:tcW w:type="dxa" w:w="1744"/>
            <w:vAlign w:val="center"/>
            <w:tcMar>
              <w:top w:w="80" w:type="dxa"/>
              <w:start w:w="100" w:type="dxa"/>
              <w:bottom w:w="80" w:type="dxa"/>
              <w:end w:w="100" w:type="dxa"/>
            </w:tcMar>
          </w:tcPr>
          <w:p>
            <w:pPr>
              <w:keepNext w:val="0"/>
              <w:spacing w:after="0"/>
            </w:pPr>
            <w:r>
              <w:rPr>
                <w:rFonts w:ascii="Times New Roman" w:hAnsi="Times New Roman"/>
                <w:sz w:val="16"/>
              </w:rPr>
              <w:t>Trigger Error 1644</w:t>
            </w:r>
          </w:p>
        </w:tc>
        <w:tc>
          <w:tcPr>
            <w:tcW w:type="dxa" w:w="3450"/>
            <w:vAlign w:val="center"/>
            <w:tcMar>
              <w:top w:w="80" w:type="dxa"/>
              <w:start w:w="100" w:type="dxa"/>
              <w:bottom w:w="80" w:type="dxa"/>
              <w:end w:w="100" w:type="dxa"/>
            </w:tcMar>
          </w:tcPr>
          <w:p>
            <w:pPr>
              <w:keepNext w:val="0"/>
              <w:spacing w:after="0"/>
            </w:pPr>
            <w:r>
              <w:rPr>
                <w:rFonts w:ascii="Times New Roman" w:hAnsi="Times New Roman"/>
                <w:sz w:val="16"/>
              </w:rPr>
              <w:t>Enforces one supervisor at a point in time.</w:t>
            </w:r>
          </w:p>
        </w:tc>
      </w:tr>
    </w:tbl>
    <w:p>
      <w:pPr>
        <w:spacing w:after="0"/>
      </w:pPr>
    </w:p>
    <w:p>
      <w:pPr>
        <w:pStyle w:val="Heading3"/>
      </w:pPr>
      <w:r>
        <w:t>T01 — Valid completed training accepted</w:t>
      </w:r>
    </w:p>
    <w:p>
      <w:pPr>
        <w:spacing w:after="60"/>
      </w:pPr>
      <w:r>
        <w:rPr>
          <w:rFonts w:ascii="Times New Roman" w:hAnsi="Times New Roman"/>
          <w:b/>
          <w:color w:val="5B6573"/>
          <w:sz w:val="18"/>
        </w:rPr>
        <w:t>T01 readable SQL</w:t>
      </w:r>
    </w:p>
    <w:p>
      <w:pPr>
        <w:spacing w:after="120"/>
        <w:ind w:left="173" w:right="173"/>
        <w:shd w:fill="F2F4F7"/>
      </w:pPr>
      <w:r>
        <w:rPr>
          <w:rFonts w:ascii="Menlo" w:hAnsi="Menlo"/>
          <w:color w:val="111827"/>
          <w:sz w:val="15"/>
        </w:rPr>
        <w:t>USE cloudrestwines;</w:t>
        <w:br/>
        <w:t>START TRANSACTION;</w:t>
        <w:br/>
        <w:t>INSERT INTO trainingattendance VALUES</w:t>
        <w:br/>
        <w:t>('TRSE0004','EMP0007','COMPLETED',DATE_SUB(CURRENT_DATE,INTERVAL 60 DAY),DATE_ADD(CURRENT_DATE,INTERVAL 670 DAY),'COMPETENT');</w:t>
        <w:br/>
        <w:t>SELECT 'PASS: valid completed training was accepted' AS testResult;</w:t>
        <w:br/>
        <w:t>ROLLBACK;</w:t>
      </w:r>
    </w:p>
    <w:p>
      <w:pPr>
        <w:keepNext/>
        <w:jc w:val="center"/>
      </w:pPr>
      <w:r>
        <w:drawing>
          <wp:inline xmlns:a="http://schemas.openxmlformats.org/drawingml/2006/main" xmlns:pic="http://schemas.openxmlformats.org/drawingml/2006/picture">
            <wp:extent cx="5669280" cy="4030504"/>
            <wp:docPr id="7" name="Picture 7"/>
            <wp:cNvGraphicFramePr>
              <a:graphicFrameLocks noChangeAspect="1"/>
            </wp:cNvGraphicFramePr>
            <a:graphic>
              <a:graphicData uri="http://schemas.openxmlformats.org/drawingml/2006/picture">
                <pic:pic>
                  <pic:nvPicPr>
                    <pic:cNvPr id="0" name="t01_validtraining.png"/>
                    <pic:cNvPicPr/>
                  </pic:nvPicPr>
                  <pic:blipFill>
                    <a:blip r:embed="rId17"/>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T01: genuine local Workbench execution. Accepted, then rolled back</w:t>
      </w:r>
    </w:p>
    <w:p>
      <w:pPr>
        <w:pStyle w:val="Heading3"/>
      </w:pPr>
      <w:r>
        <w:t>T02 — Role end before start rejected</w:t>
      </w:r>
    </w:p>
    <w:p>
      <w:pPr>
        <w:spacing w:after="60"/>
      </w:pPr>
      <w:r>
        <w:rPr>
          <w:rFonts w:ascii="Times New Roman" w:hAnsi="Times New Roman"/>
          <w:b/>
          <w:color w:val="5B6573"/>
          <w:sz w:val="18"/>
        </w:rPr>
        <w:t>T02 readable SQL</w:t>
      </w:r>
    </w:p>
    <w:p>
      <w:pPr>
        <w:spacing w:after="120"/>
        <w:ind w:left="173" w:right="173"/>
        <w:shd w:fill="F2F4F7"/>
      </w:pPr>
      <w:r>
        <w:rPr>
          <w:rFonts w:ascii="Menlo" w:hAnsi="Menlo"/>
          <w:color w:val="111827"/>
          <w:sz w:val="15"/>
        </w:rPr>
        <w:t>USE cloudrestwines;</w:t>
        <w:br/>
        <w:t>INSERT INTO employee VALUES ('EMP9999','Test','InvalidDate','998877665','2026-01-01',NULL);</w:t>
        <w:br/>
        <w:t>INSERT INTO employeerole VALUES</w:t>
        <w:br/>
        <w:t>('EMP9999','ROLE07','AREA04','2026-06-01 09:00:00','2026-05-01 09:00:00','PARTTIME','PERMANENT','ONGOING');</w:t>
      </w:r>
    </w:p>
    <w:p>
      <w:pPr>
        <w:keepNext/>
        <w:jc w:val="center"/>
      </w:pPr>
      <w:r>
        <w:drawing>
          <wp:inline xmlns:a="http://schemas.openxmlformats.org/drawingml/2006/main" xmlns:pic="http://schemas.openxmlformats.org/drawingml/2006/picture">
            <wp:extent cx="5669280" cy="4030504"/>
            <wp:docPr id="8" name="Picture 8"/>
            <wp:cNvGraphicFramePr>
              <a:graphicFrameLocks noChangeAspect="1"/>
            </wp:cNvGraphicFramePr>
            <a:graphic>
              <a:graphicData uri="http://schemas.openxmlformats.org/drawingml/2006/picture">
                <pic:pic>
                  <pic:nvPicPr>
                    <pic:cNvPr id="0" name="t02_invalidroledate.png"/>
                    <pic:cNvPicPr/>
                  </pic:nvPicPr>
                  <pic:blipFill>
                    <a:blip r:embed="rId11"/>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T02: genuine local Workbench execution. CHECK Error 3819</w:t>
      </w:r>
    </w:p>
    <w:p>
      <w:pPr>
        <w:pStyle w:val="Heading3"/>
      </w:pPr>
      <w:r>
        <w:t>T03 — Reorder FALSE without comment rejected</w:t>
      </w:r>
    </w:p>
    <w:p>
      <w:pPr>
        <w:spacing w:after="60"/>
      </w:pPr>
      <w:r>
        <w:rPr>
          <w:rFonts w:ascii="Times New Roman" w:hAnsi="Times New Roman"/>
          <w:b/>
          <w:color w:val="5B6573"/>
          <w:sz w:val="18"/>
        </w:rPr>
        <w:t>T03 readable SQL</w:t>
      </w:r>
    </w:p>
    <w:p>
      <w:pPr>
        <w:spacing w:after="120"/>
        <w:ind w:left="173" w:right="173"/>
        <w:shd w:fill="F2F4F7"/>
      </w:pPr>
      <w:r>
        <w:rPr>
          <w:rFonts w:ascii="Menlo" w:hAnsi="Menlo"/>
          <w:color w:val="111827"/>
          <w:sz w:val="15"/>
        </w:rPr>
        <w:t>USE cloudrestwines;</w:t>
        <w:br/>
        <w:t>INSERT INTO bottletype VALUES</w:t>
        <w:br/>
        <w:t>('BOTL099',750,'Test','GLASS','Green',0,1.00,FALSE,NULL);</w:t>
      </w:r>
    </w:p>
    <w:p>
      <w:pPr>
        <w:keepNext/>
        <w:jc w:val="center"/>
      </w:pPr>
      <w:r>
        <w:drawing>
          <wp:inline xmlns:a="http://schemas.openxmlformats.org/drawingml/2006/main" xmlns:pic="http://schemas.openxmlformats.org/drawingml/2006/picture">
            <wp:extent cx="5669280" cy="4030504"/>
            <wp:docPr id="9" name="Picture 9"/>
            <wp:cNvGraphicFramePr>
              <a:graphicFrameLocks noChangeAspect="1"/>
            </wp:cNvGraphicFramePr>
            <a:graphic>
              <a:graphicData uri="http://schemas.openxmlformats.org/drawingml/2006/picture">
                <pic:pic>
                  <pic:nvPicPr>
                    <pic:cNvPr id="0" name="t03_missingreordercomment.png"/>
                    <pic:cNvPicPr/>
                  </pic:nvPicPr>
                  <pic:blipFill>
                    <a:blip r:embed="rId12"/>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T03: genuine local Workbench execution. CHECK Error 3819</w:t>
      </w:r>
    </w:p>
    <w:p>
      <w:pPr>
        <w:pStyle w:val="Heading3"/>
      </w:pPr>
      <w:r>
        <w:t>T04 — Unpaid order shipment rejected</w:t>
      </w:r>
    </w:p>
    <w:p>
      <w:pPr>
        <w:spacing w:after="60"/>
      </w:pPr>
      <w:r>
        <w:rPr>
          <w:rFonts w:ascii="Times New Roman" w:hAnsi="Times New Roman"/>
          <w:b/>
          <w:color w:val="5B6573"/>
          <w:sz w:val="18"/>
        </w:rPr>
        <w:t>T04 readable SQL</w:t>
      </w:r>
    </w:p>
    <w:p>
      <w:pPr>
        <w:spacing w:after="120"/>
        <w:ind w:left="173" w:right="173"/>
        <w:shd w:fill="F2F4F7"/>
      </w:pPr>
      <w:r>
        <w:rPr>
          <w:rFonts w:ascii="Menlo" w:hAnsi="Menlo"/>
          <w:color w:val="111827"/>
          <w:sz w:val="15"/>
        </w:rPr>
        <w:t>USE cloudrestwines;</w:t>
        <w:br/>
        <w:t>-- Assessed Test 4 (negative): an unpaid order cannot be shipped.</w:t>
        <w:br/>
        <w:t>INSERT INTO customerorder VALUES ('CORD0998','CUST001',CURRENT_DATE,FALSE,'PENDING');</w:t>
        <w:br/>
        <w:t>INSERT INTO orderline (customerOrderId,productId,caseQuantity,agreedCasePrice)</w:t>
        <w:br/>
        <w:t>VALUES ('CORD0998','PROD001',1,360.00);</w:t>
        <w:br/>
        <w:t>INSERT INTO shipment (shipmentId,customerOrderId,productId,addressId,shippedDate)</w:t>
        <w:br/>
        <w:t>VALUES ('SHIP0998','CORD0998','PROD001','ADDR0003',CURRENT_DATE);</w:t>
      </w:r>
    </w:p>
    <w:p>
      <w:pPr>
        <w:keepNext/>
        <w:jc w:val="center"/>
      </w:pPr>
      <w:r>
        <w:drawing>
          <wp:inline xmlns:a="http://schemas.openxmlformats.org/drawingml/2006/main" xmlns:pic="http://schemas.openxmlformats.org/drawingml/2006/picture">
            <wp:extent cx="5669280" cy="4030504"/>
            <wp:docPr id="10" name="Picture 10"/>
            <wp:cNvGraphicFramePr>
              <a:graphicFrameLocks noChangeAspect="1"/>
            </wp:cNvGraphicFramePr>
            <a:graphic>
              <a:graphicData uri="http://schemas.openxmlformats.org/drawingml/2006/picture">
                <pic:pic>
                  <pic:nvPicPr>
                    <pic:cNvPr id="0" name="t04_unpaidshipment.png"/>
                    <pic:cNvPicPr/>
                  </pic:nvPicPr>
                  <pic:blipFill>
                    <a:blip r:embed="rId14"/>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T04: genuine local Workbench execution. Trigger Error 1644</w:t>
      </w:r>
    </w:p>
    <w:p>
      <w:pPr>
        <w:pStyle w:val="Heading3"/>
      </w:pPr>
      <w:r>
        <w:t>T05 — Overlapping supervision rejected</w:t>
      </w:r>
    </w:p>
    <w:p>
      <w:pPr>
        <w:spacing w:after="60"/>
      </w:pPr>
      <w:r>
        <w:rPr>
          <w:rFonts w:ascii="Times New Roman" w:hAnsi="Times New Roman"/>
          <w:b/>
          <w:color w:val="5B6573"/>
          <w:sz w:val="18"/>
        </w:rPr>
        <w:t>T05 readable SQL</w:t>
      </w:r>
    </w:p>
    <w:p>
      <w:pPr>
        <w:spacing w:after="120"/>
        <w:ind w:left="173" w:right="173"/>
        <w:shd w:fill="F2F4F7"/>
      </w:pPr>
      <w:r>
        <w:rPr>
          <w:rFonts w:ascii="Menlo" w:hAnsi="Menlo"/>
          <w:color w:val="111827"/>
          <w:sz w:val="15"/>
        </w:rPr>
        <w:t>USE cloudrestwines;</w:t>
        <w:br/>
        <w:t>-- Assessed Test 5 (negative): a supervised employee cannot have two supervisors at the same time.</w:t>
        <w:br/>
        <w:t>INSERT INTO supervision VALUES ('EMP0008','EMP0001','2026-02-01 09:00:00',NULL);</w:t>
      </w:r>
    </w:p>
    <w:p>
      <w:pPr>
        <w:keepNext/>
        <w:jc w:val="center"/>
      </w:pPr>
      <w:r>
        <w:drawing>
          <wp:inline xmlns:a="http://schemas.openxmlformats.org/drawingml/2006/main" xmlns:pic="http://schemas.openxmlformats.org/drawingml/2006/picture">
            <wp:extent cx="5669280" cy="4030504"/>
            <wp:docPr id="11" name="Picture 11"/>
            <wp:cNvGraphicFramePr>
              <a:graphicFrameLocks noChangeAspect="1"/>
            </wp:cNvGraphicFramePr>
            <a:graphic>
              <a:graphicData uri="http://schemas.openxmlformats.org/drawingml/2006/picture">
                <pic:pic>
                  <pic:nvPicPr>
                    <pic:cNvPr id="0" name="t05_overlappingsupervision.png"/>
                    <pic:cNvPicPr/>
                  </pic:nvPicPr>
                  <pic:blipFill>
                    <a:blip r:embed="rId15"/>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T05: genuine local Workbench execution. Trigger Error 1644</w:t>
      </w:r>
    </w:p>
    <w:p>
      <w:pPr>
        <w:pStyle w:val="Heading2"/>
      </w:pPr>
      <w:r>
        <w:t>Official v4: genuine local Workbench evidence</w:t>
      </w:r>
    </w:p>
    <w:p>
      <w:pPr>
        <w:widowControl/>
      </w:pPr>
      <w:r>
        <w:rPr>
          <w:rFonts w:ascii="Times New Roman" w:hAnsi="Times New Roman"/>
          <w:i w:val="0"/>
          <w:sz w:val="24"/>
        </w:rPr>
        <w:t>Original before/after staging evidence below is preserved as profiling evidence, including its earlier 166-row candidate projection. Final accepted import is narrower: 132 rows in 79 complete orders. The final import screenshot and ID-only ledger show 182 = 132 imported + 1 exact copy rejected + 15 ambiguous-pair rows quarantined + 34 other rows quarantined. Raw rows and dates remain unchanged.</w:t>
      </w:r>
    </w:p>
    <w:p>
      <w:pPr>
        <w:keepNext/>
        <w:jc w:val="center"/>
      </w:pPr>
      <w:r>
        <w:drawing>
          <wp:inline xmlns:a="http://schemas.openxmlformats.org/drawingml/2006/main" xmlns:pic="http://schemas.openxmlformats.org/drawingml/2006/picture">
            <wp:extent cx="5669280" cy="4030504"/>
            <wp:docPr id="12" name="Picture 12"/>
            <wp:cNvGraphicFramePr>
              <a:graphicFrameLocks noChangeAspect="1"/>
            </wp:cNvGraphicFramePr>
            <a:graphic>
              <a:graphicData uri="http://schemas.openxmlformats.org/drawingml/2006/picture">
                <pic:pic>
                  <pic:nvPicPr>
                    <pic:cNvPr id="0" name="task6-e01-1.png"/>
                    <pic:cNvPicPr/>
                  </pic:nvPicPr>
                  <pic:blipFill>
                    <a:blip r:embed="rId18"/>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task6-e01-1, actual Workbench output 2026-10-07</w:t>
      </w:r>
    </w:p>
    <w:p>
      <w:pPr>
        <w:keepNext/>
        <w:jc w:val="center"/>
      </w:pPr>
      <w:r>
        <w:drawing>
          <wp:inline xmlns:a="http://schemas.openxmlformats.org/drawingml/2006/main" xmlns:pic="http://schemas.openxmlformats.org/drawingml/2006/picture">
            <wp:extent cx="5669280" cy="4030504"/>
            <wp:docPr id="13" name="Picture 13"/>
            <wp:cNvGraphicFramePr>
              <a:graphicFrameLocks noChangeAspect="1"/>
            </wp:cNvGraphicFramePr>
            <a:graphic>
              <a:graphicData uri="http://schemas.openxmlformats.org/drawingml/2006/picture">
                <pic:pic>
                  <pic:nvPicPr>
                    <pic:cNvPr id="0" name="task6-e02-1.png"/>
                    <pic:cNvPicPr/>
                  </pic:nvPicPr>
                  <pic:blipFill>
                    <a:blip r:embed="rId19"/>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task6-e02-1, actual Workbench output 2026-10-07</w:t>
      </w:r>
    </w:p>
    <w:p>
      <w:pPr>
        <w:keepNext/>
        <w:jc w:val="center"/>
      </w:pPr>
      <w:r>
        <w:drawing>
          <wp:inline xmlns:a="http://schemas.openxmlformats.org/drawingml/2006/main" xmlns:pic="http://schemas.openxmlformats.org/drawingml/2006/picture">
            <wp:extent cx="5669280" cy="4030504"/>
            <wp:docPr id="14" name="Picture 14"/>
            <wp:cNvGraphicFramePr>
              <a:graphicFrameLocks noChangeAspect="1"/>
            </wp:cNvGraphicFramePr>
            <a:graphic>
              <a:graphicData uri="http://schemas.openxmlformats.org/drawingml/2006/picture">
                <pic:pic>
                  <pic:nvPicPr>
                    <pic:cNvPr id="0" name="task6-e03-1.png"/>
                    <pic:cNvPicPr/>
                  </pic:nvPicPr>
                  <pic:blipFill>
                    <a:blip r:embed="rId20"/>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task6-e03-1, actual Workbench output 2026-10-07</w:t>
      </w:r>
    </w:p>
    <w:p>
      <w:pPr>
        <w:keepNext/>
        <w:jc w:val="center"/>
      </w:pPr>
      <w:r>
        <w:drawing>
          <wp:inline xmlns:a="http://schemas.openxmlformats.org/drawingml/2006/main" xmlns:pic="http://schemas.openxmlformats.org/drawingml/2006/picture">
            <wp:extent cx="5669280" cy="4030504"/>
            <wp:docPr id="15" name="Picture 15"/>
            <wp:cNvGraphicFramePr>
              <a:graphicFrameLocks noChangeAspect="1"/>
            </wp:cNvGraphicFramePr>
            <a:graphic>
              <a:graphicData uri="http://schemas.openxmlformats.org/drawingml/2006/picture">
                <pic:pic>
                  <pic:nvPicPr>
                    <pic:cNvPr id="0" name="task6-e03-2.png"/>
                    <pic:cNvPicPr/>
                  </pic:nvPicPr>
                  <pic:blipFill>
                    <a:blip r:embed="rId21"/>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task6-e03-2, actual Workbench output 2026-10-07</w:t>
      </w:r>
    </w:p>
    <w:p>
      <w:pPr>
        <w:keepNext/>
        <w:jc w:val="center"/>
      </w:pPr>
      <w:r>
        <w:drawing>
          <wp:inline xmlns:a="http://schemas.openxmlformats.org/drawingml/2006/main" xmlns:pic="http://schemas.openxmlformats.org/drawingml/2006/picture">
            <wp:extent cx="5669280" cy="4030504"/>
            <wp:docPr id="16" name="Picture 16"/>
            <wp:cNvGraphicFramePr>
              <a:graphicFrameLocks noChangeAspect="1"/>
            </wp:cNvGraphicFramePr>
            <a:graphic>
              <a:graphicData uri="http://schemas.openxmlformats.org/drawingml/2006/picture">
                <pic:pic>
                  <pic:nvPicPr>
                    <pic:cNvPr id="0" name="task6-e04-1.png"/>
                    <pic:cNvPicPr/>
                  </pic:nvPicPr>
                  <pic:blipFill>
                    <a:blip r:embed="rId22"/>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task6-e04-1, actual Workbench output 2026-10-07</w:t>
      </w:r>
    </w:p>
    <w:p>
      <w:pPr>
        <w:keepNext/>
        <w:jc w:val="center"/>
      </w:pPr>
      <w:r>
        <w:drawing>
          <wp:inline xmlns:a="http://schemas.openxmlformats.org/drawingml/2006/main" xmlns:pic="http://schemas.openxmlformats.org/drawingml/2006/picture">
            <wp:extent cx="5669280" cy="4030504"/>
            <wp:docPr id="17" name="Picture 17"/>
            <wp:cNvGraphicFramePr>
              <a:graphicFrameLocks noChangeAspect="1"/>
            </wp:cNvGraphicFramePr>
            <a:graphic>
              <a:graphicData uri="http://schemas.openxmlformats.org/drawingml/2006/picture">
                <pic:pic>
                  <pic:nvPicPr>
                    <pic:cNvPr id="0" name="task6-e05-1.png"/>
                    <pic:cNvPicPr/>
                  </pic:nvPicPr>
                  <pic:blipFill>
                    <a:blip r:embed="rId23"/>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task6-e05-1, actual Workbench output 2026-10-07</w:t>
      </w:r>
    </w:p>
    <w:p>
      <w:pPr>
        <w:keepNext/>
        <w:jc w:val="center"/>
      </w:pPr>
      <w:r>
        <w:drawing>
          <wp:inline xmlns:a="http://schemas.openxmlformats.org/drawingml/2006/main" xmlns:pic="http://schemas.openxmlformats.org/drawingml/2006/picture">
            <wp:extent cx="5669280" cy="4030504"/>
            <wp:docPr id="18" name="Picture 18"/>
            <wp:cNvGraphicFramePr>
              <a:graphicFrameLocks noChangeAspect="1"/>
            </wp:cNvGraphicFramePr>
            <a:graphic>
              <a:graphicData uri="http://schemas.openxmlformats.org/drawingml/2006/picture">
                <pic:pic>
                  <pic:nvPicPr>
                    <pic:cNvPr id="0" name="task6-e06-1.png"/>
                    <pic:cNvPicPr/>
                  </pic:nvPicPr>
                  <pic:blipFill>
                    <a:blip r:embed="rId24"/>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task6-e06-1, actual Workbench output 2026-10-07</w:t>
      </w:r>
    </w:p>
    <w:p>
      <w:pPr>
        <w:keepNext/>
        <w:jc w:val="center"/>
      </w:pPr>
      <w:r>
        <w:drawing>
          <wp:inline xmlns:a="http://schemas.openxmlformats.org/drawingml/2006/main" xmlns:pic="http://schemas.openxmlformats.org/drawingml/2006/picture">
            <wp:extent cx="5669280" cy="4030504"/>
            <wp:docPr id="19" name="Picture 19"/>
            <wp:cNvGraphicFramePr>
              <a:graphicFrameLocks noChangeAspect="1"/>
            </wp:cNvGraphicFramePr>
            <a:graphic>
              <a:graphicData uri="http://schemas.openxmlformats.org/drawingml/2006/picture">
                <pic:pic>
                  <pic:nvPicPr>
                    <pic:cNvPr id="0" name="task6-e07-1.png"/>
                    <pic:cNvPicPr/>
                  </pic:nvPicPr>
                  <pic:blipFill>
                    <a:blip r:embed="rId25"/>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task6-e07-1, actual Workbench output 2026-10-07</w:t>
      </w:r>
    </w:p>
    <w:p>
      <w:pPr>
        <w:keepNext/>
        <w:jc w:val="center"/>
      </w:pPr>
      <w:r>
        <w:drawing>
          <wp:inline xmlns:a="http://schemas.openxmlformats.org/drawingml/2006/main" xmlns:pic="http://schemas.openxmlformats.org/drawingml/2006/picture">
            <wp:extent cx="5669280" cy="4030504"/>
            <wp:docPr id="20" name="Picture 20"/>
            <wp:cNvGraphicFramePr>
              <a:graphicFrameLocks noChangeAspect="1"/>
            </wp:cNvGraphicFramePr>
            <a:graphic>
              <a:graphicData uri="http://schemas.openxmlformats.org/drawingml/2006/picture">
                <pic:pic>
                  <pic:nvPicPr>
                    <pic:cNvPr id="0" name="task6-e08-1.png"/>
                    <pic:cNvPicPr/>
                  </pic:nvPicPr>
                  <pic:blipFill>
                    <a:blip r:embed="rId26"/>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task6-e08-1, actual Workbench output 2026-10-07</w:t>
      </w:r>
    </w:p>
    <w:p>
      <w:pPr>
        <w:keepNext/>
        <w:jc w:val="center"/>
      </w:pPr>
      <w:r>
        <w:drawing>
          <wp:inline xmlns:a="http://schemas.openxmlformats.org/drawingml/2006/main" xmlns:pic="http://schemas.openxmlformats.org/drawingml/2006/picture">
            <wp:extent cx="5669280" cy="4030504"/>
            <wp:docPr id="21" name="Picture 21"/>
            <wp:cNvGraphicFramePr>
              <a:graphicFrameLocks noChangeAspect="1"/>
            </wp:cNvGraphicFramePr>
            <a:graphic>
              <a:graphicData uri="http://schemas.openxmlformats.org/drawingml/2006/picture">
                <pic:pic>
                  <pic:nvPicPr>
                    <pic:cNvPr id="0" name="task6-e09-1.png"/>
                    <pic:cNvPicPr/>
                  </pic:nvPicPr>
                  <pic:blipFill>
                    <a:blip r:embed="rId27"/>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task6-e09-1, actual Workbench output 2026-10-07</w:t>
      </w:r>
    </w:p>
    <w:p>
      <w:pPr>
        <w:keepNext/>
        <w:jc w:val="center"/>
      </w:pPr>
      <w:r>
        <w:drawing>
          <wp:inline xmlns:a="http://schemas.openxmlformats.org/drawingml/2006/main" xmlns:pic="http://schemas.openxmlformats.org/drawingml/2006/picture">
            <wp:extent cx="5669280" cy="4030504"/>
            <wp:docPr id="22" name="Picture 22"/>
            <wp:cNvGraphicFramePr>
              <a:graphicFrameLocks noChangeAspect="1"/>
            </wp:cNvGraphicFramePr>
            <a:graphic>
              <a:graphicData uri="http://schemas.openxmlformats.org/drawingml/2006/picture">
                <pic:pic>
                  <pic:nvPicPr>
                    <pic:cNvPr id="0" name="task6-e10-1.png"/>
                    <pic:cNvPicPr/>
                  </pic:nvPicPr>
                  <pic:blipFill>
                    <a:blip r:embed="rId28"/>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Official v4 evidence: task6-e10-1, actual Workbench output 2026-10-07</w:t>
      </w:r>
    </w:p>
    <w:p>
      <w:pPr>
        <w:keepNext/>
        <w:jc w:val="center"/>
      </w:pPr>
      <w:r>
        <w:drawing>
          <wp:inline xmlns:a="http://schemas.openxmlformats.org/drawingml/2006/main" xmlns:pic="http://schemas.openxmlformats.org/drawingml/2006/picture">
            <wp:extent cx="5669280" cy="4030504"/>
            <wp:docPr id="23" name="Picture 23"/>
            <wp:cNvGraphicFramePr>
              <a:graphicFrameLocks noChangeAspect="1"/>
            </wp:cNvGraphicFramePr>
            <a:graphic>
              <a:graphicData uri="http://schemas.openxmlformats.org/drawingml/2006/picture">
                <pic:pic>
                  <pic:nvPicPr>
                    <pic:cNvPr id="0" name="task6-production-import.png"/>
                    <pic:cNvPicPr/>
                  </pic:nvPicPr>
                  <pic:blipFill>
                    <a:blip r:embed="rId29"/>
                    <a:stretch>
                      <a:fillRect/>
                    </a:stretch>
                  </pic:blipFill>
                  <pic:spPr>
                    <a:xfrm>
                      <a:off x="0" y="0"/>
                      <a:ext cx="5669280" cy="4030504"/>
                    </a:xfrm>
                    <a:prstGeom prst="rect"/>
                  </pic:spPr>
                </pic:pic>
              </a:graphicData>
            </a:graphic>
          </wp:inline>
        </w:drawing>
      </w:r>
    </w:p>
    <w:p>
      <w:pPr>
        <w:spacing w:after="160"/>
        <w:jc w:val="center"/>
      </w:pPr>
      <w:r>
        <w:rPr>
          <w:rFonts w:ascii="Times New Roman" w:hAnsi="Times New Roman"/>
          <w:i/>
          <w:color w:val="5B6573"/>
          <w:sz w:val="18"/>
        </w:rPr>
        <w:t>Final combined database: supplied import and retained synthetic HR, 2026-10-08</w:t>
      </w:r>
    </w:p>
    <w:p>
      <w:pPr>
        <w:sectPr>
          <w:pgSz w:w="11952" w:h="16848"/>
          <w:pgMar w:top="1440" w:right="1440" w:bottom="1440" w:left="1440" w:header="708" w:footer="708" w:gutter="0"/>
          <w:cols w:space="720"/>
          <w:docGrid w:linePitch="360"/>
        </w:sectPr>
      </w:pPr>
    </w:p>
    <w:p>
      <w:pPr>
        <w:pStyle w:val="Heading1"/>
      </w:pPr>
      <w:r>
        <w:t>Task 7 — Decision-Support SQL Queries</w:t>
      </w:r>
    </w:p>
    <w:p>
      <w:pPr>
        <w:pStyle w:val="Heading2"/>
      </w:pPr>
      <w:r>
        <w:t>Query 1 — Annual safety and sustainability training coverage</w:t>
      </w:r>
    </w:p>
    <w:p>
      <w:pPr>
        <w:pStyle w:val="Heading3"/>
      </w:pPr>
      <w:r>
        <w:t>How the query works</w:t>
      </w:r>
    </w:p>
    <w:p>
      <w:pPr>
        <w:widowControl/>
      </w:pPr>
      <w:r>
        <w:rPr>
          <w:rFonts w:ascii="Times New Roman" w:hAnsi="Times New Roman"/>
          <w:i w:val="0"/>
          <w:sz w:val="24"/>
        </w:rPr>
        <w:t>The activeworkforce CTE reads current employeerole rows and identifies each active employee's operational area. The completion CTE joins trainingattendance to trainingsession and trainingcourse, keeps only COMPLETED attendance in the current calendar year, and limits categories to SAFETY and SUSTAINABILITY. HAVING COUNT(DISTINCT trainingCategory)=2 requires the same employee to have completed both categories.</w:t>
      </w:r>
    </w:p>
    <w:p>
      <w:pPr>
        <w:widowControl/>
      </w:pPr>
      <w:r>
        <w:rPr>
          <w:rFonts w:ascii="Times New Roman" w:hAnsi="Times New Roman"/>
          <w:i w:val="0"/>
          <w:sz w:val="24"/>
        </w:rPr>
        <w:t>The final query joins operationalarea to the active workforce and left-joins the completion set. It uses distinct employee counts for both numerator and denominator and NULLIF to avoid division by zero.</w:t>
      </w:r>
    </w:p>
    <w:p>
      <w:pPr>
        <w:pStyle w:val="Heading3"/>
      </w:pPr>
      <w:r>
        <w:t>Business use and action</w:t>
      </w:r>
    </w:p>
    <w:p>
      <w:pPr>
        <w:widowControl/>
      </w:pPr>
      <w:r>
        <w:rPr>
          <w:rFonts w:ascii="Times New Roman" w:hAnsi="Times New Roman"/>
          <w:i w:val="0"/>
          <w:sz w:val="24"/>
        </w:rPr>
        <w:t>The HR Manager, Safety Officer and operational-area supervisors use the percentage to identify workforce preparation gaps. An area below target should receive additional training sessions rather than treating completion of only one category as adequate sustainability coverage.</w:t>
      </w:r>
    </w:p>
    <w:p>
      <w:pPr>
        <w:pStyle w:val="Heading3"/>
      </w:pPr>
      <w:r>
        <w:t>Actual result — frozen MySQL 8.4.11 build, 2026-10-08</w:t>
      </w:r>
    </w:p>
    <w:p>
      <w:pPr>
        <w:widowControl/>
      </w:pPr>
      <w:r>
        <w:rPr>
          <w:rFonts w:ascii="Times New Roman" w:hAnsi="Times New Roman"/>
          <w:i w:val="0"/>
          <w:sz w:val="24"/>
        </w:rPr>
        <w:t>- Vineyard: 6 active employees, 3 completed both required categories, 50.0% coverage.</w:t>
      </w:r>
    </w:p>
    <w:p>
      <w:pPr>
        <w:widowControl/>
      </w:pPr>
      <w:r>
        <w:rPr>
          <w:rFonts w:ascii="Times New Roman" w:hAnsi="Times New Roman"/>
          <w:i w:val="0"/>
          <w:sz w:val="24"/>
        </w:rPr>
        <w:t>- Cellar: 4 active employees, 0 completed both categories, 0.0% coverage.</w:t>
      </w:r>
    </w:p>
    <w:p>
      <w:pPr>
        <w:widowControl/>
      </w:pPr>
      <w:r>
        <w:rPr>
          <w:rFonts w:ascii="Times New Roman" w:hAnsi="Times New Roman"/>
          <w:i w:val="0"/>
          <w:sz w:val="24"/>
        </w:rPr>
        <w:t>- Administration: 3 active employees, 0 completed both categories, 0.0% coverage.</w:t>
      </w:r>
    </w:p>
    <w:p>
      <w:pPr>
        <w:widowControl/>
      </w:pPr>
      <w:r>
        <w:rPr>
          <w:rFonts w:ascii="Times New Roman" w:hAnsi="Times New Roman"/>
          <w:i w:val="0"/>
          <w:sz w:val="24"/>
        </w:rPr>
        <w:t>The result identifies a partial gap in Vineyard and complete gaps in Cellar and Administration. The immediate management action is to schedule missing Safety/Sustainability training and then rerun the metric.</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Current workforce differs from historical workforce; the calendar-year measure requires both categories.</w:t>
            </w:r>
          </w:p>
        </w:tc>
      </w:tr>
    </w:tbl>
    <w:p>
      <w:pPr>
        <w:spacing w:after="0"/>
      </w:pPr>
    </w:p>
    <w:p>
      <w:pPr>
        <w:spacing w:after="60"/>
      </w:pPr>
      <w:r>
        <w:rPr>
          <w:rFonts w:ascii="Times New Roman" w:hAnsi="Times New Roman"/>
          <w:b/>
          <w:color w:val="5B6573"/>
          <w:sz w:val="18"/>
        </w:rPr>
        <w:t>Query 1 SQL</w:t>
      </w:r>
    </w:p>
    <w:p>
      <w:pPr>
        <w:spacing w:after="120"/>
        <w:ind w:left="173" w:right="173"/>
        <w:shd w:fill="F2F4F7"/>
      </w:pPr>
      <w:r>
        <w:rPr>
          <w:rFonts w:ascii="Menlo" w:hAnsi="Menlo"/>
          <w:color w:val="111827"/>
          <w:sz w:val="15"/>
        </w:rPr>
        <w:t>USE cloudrestwines;</w:t>
        <w:br/>
        <w:t>-- Management question: Which operational areas have gaps in annual mandatory safety/sustainability training?</w:t>
        <w:br/>
        <w:t>WITH activeworkforce AS (</w:t>
        <w:br/>
        <w:t xml:space="preserve">  SELECT er.employeeId, er.operationalAreaId</w:t>
        <w:br/>
        <w:t xml:space="preserve">  FROM employeerole er</w:t>
        <w:br/>
        <w:t xml:space="preserve">  WHERE er.startDateTime &lt;= NOW() AND (er.endDateTime IS NULL OR er.endDateTime &gt; NOW())</w:t>
        <w:br/>
        <w:t>), completion AS (</w:t>
        <w:br/>
        <w:t xml:space="preserve">  SELECT ta.employeeId</w:t>
        <w:br/>
        <w:t xml:space="preserve">  FROM trainingattendance ta</w:t>
        <w:br/>
        <w:t xml:space="preserve">  JOIN trainingsession ts ON ts.trainingSessionId = ta.trainingSessionId</w:t>
        <w:br/>
        <w:t xml:space="preserve">  JOIN trainingcourse tc ON tc.trainingCourseId = ts.trainingCourseId</w:t>
        <w:br/>
        <w:t xml:space="preserve">  JOIN activeworkforce aw ON aw.employeeId = ta.employeeId</w:t>
        <w:br/>
        <w:t xml:space="preserve">  WHERE ta.attendanceStatus = 'COMPLETED'</w:t>
        <w:br/>
        <w:t xml:space="preserve">    AND tc.trainingCategory IN ('SAFETY','SUSTAINABILITY')</w:t>
        <w:br/>
        <w:t xml:space="preserve">    AND ts.sessionDate &gt;= MAKEDATE(YEAR(CURRENT_DATE), 1)</w:t>
        <w:br/>
        <w:t xml:space="preserve">    AND (ts.operationalAreaId IS NULL OR ts.operationalAreaId = aw.operationalAreaId)</w:t>
        <w:br/>
        <w:t xml:space="preserve">  GROUP BY ta.employeeId</w:t>
        <w:br/>
        <w:t xml:space="preserve">  HAVING COUNT(DISTINCT tc.trainingCategory) = 2</w:t>
        <w:br/>
        <w:t>)</w:t>
        <w:br/>
        <w:t>SELECT oa.areaName,</w:t>
        <w:br/>
        <w:t xml:space="preserve">       COUNT(DISTINCT aw.employeeId) AS activeEmployees,</w:t>
        <w:br/>
        <w:t xml:space="preserve">       COUNT(DISTINCT c.employeeId) AS employeesTrained,</w:t>
        <w:br/>
        <w:t xml:space="preserve">       ROUND(100.0 * COUNT(DISTINCT c.employeeId) / NULLIF(COUNT(DISTINCT aw.employeeId),0), 1) AS coveragePercent</w:t>
        <w:br/>
        <w:t>FROM activeworkforce aw</w:t>
        <w:br/>
        <w:t>JOIN operationalarea oa ON oa.operationalAreaId = aw.operationalAreaId</w:t>
        <w:br/>
        <w:t>LEFT JOIN completion c ON c.employeeId = aw.employeeId</w:t>
        <w:br/>
        <w:t>GROUP BY oa.operationalAreaId, oa.areaName</w:t>
        <w:br/>
        <w:t>ORDER BY coveragePercent, oa.areaName;</w:t>
      </w:r>
    </w:p>
    <w:p>
      <w:pPr>
        <w:widowControl/>
      </w:pPr>
      <w:r>
        <w:rPr>
          <w:rFonts w:ascii="Times New Roman" w:hAnsi="Times New Roman"/>
          <w:i w:val="0"/>
          <w:sz w:val="24"/>
        </w:rPr>
        <w:t>Query 1: actual MySQL 8.4.11 output, 2026-10-08. Combined supplied + test database; HR results use synthetic assessment records.</w:t>
      </w:r>
    </w:p>
    <w:tbl>
      <w:tblPr>
        <w:tblStyle w:val="TableGrid"/>
        <w:tblW w:type="dxa" w:w="13967"/>
        <w:tblLayout w:type="fixed"/>
        <w:tblLook w:firstColumn="1" w:firstRow="1" w:lastColumn="0" w:lastRow="0" w:noHBand="0" w:noVBand="1" w:val="04A0"/>
        <w:tblInd w:w="120" w:type="dxa"/>
      </w:tblPr>
      <w:tblGrid>
        <w:gridCol w:w="3259"/>
        <w:gridCol w:w="3492"/>
        <w:gridCol w:w="3724"/>
        <w:gridCol w:w="3492"/>
      </w:tblGrid>
      <w:tr>
        <w:trPr>
          <w:tblHeader w:val="true"/>
          <w:cantSplit/>
        </w:trPr>
        <w:tc>
          <w:tcPr>
            <w:tcW w:type="dxa" w:w="3259"/>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3492"/>
            <w:shd w:fill="DCE6F1"/>
            <w:vAlign w:val="center"/>
            <w:tcMar>
              <w:top w:w="80" w:type="dxa"/>
              <w:start w:w="100" w:type="dxa"/>
              <w:bottom w:w="80" w:type="dxa"/>
              <w:end w:w="100" w:type="dxa"/>
            </w:tcMar>
          </w:tcPr>
          <w:p>
            <w:pPr>
              <w:keepNext/>
              <w:jc w:val="center"/>
            </w:pPr>
            <w:r>
              <w:rPr>
                <w:rFonts w:ascii="Times New Roman" w:hAnsi="Times New Roman"/>
                <w:b/>
                <w:color w:val="1F2937"/>
                <w:sz w:val="16"/>
              </w:rPr>
              <w:t>activeEmployees</w:t>
            </w:r>
          </w:p>
        </w:tc>
        <w:tc>
          <w:tcPr>
            <w:tcW w:type="dxa" w:w="3724"/>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employeesTrained</w:t>
            </w:r>
          </w:p>
        </w:tc>
        <w:tc>
          <w:tcPr>
            <w:tcW w:type="dxa" w:w="3492"/>
            <w:shd w:fill="DCE6F1"/>
            <w:vAlign w:val="center"/>
            <w:tcMar>
              <w:top w:w="80" w:type="dxa"/>
              <w:start w:w="100" w:type="dxa"/>
              <w:bottom w:w="80" w:type="dxa"/>
              <w:end w:w="100" w:type="dxa"/>
            </w:tcMar>
          </w:tcPr>
          <w:p>
            <w:pPr>
              <w:keepNext/>
              <w:jc w:val="center"/>
            </w:pPr>
            <w:r>
              <w:rPr>
                <w:rFonts w:ascii="Times New Roman" w:hAnsi="Times New Roman"/>
                <w:b/>
                <w:color w:val="1F2937"/>
                <w:sz w:val="16"/>
              </w:rPr>
              <w:t>coveragePercent</w:t>
            </w:r>
          </w:p>
        </w:tc>
      </w:tr>
      <w:tr>
        <w:trPr>
          <w:cantSplit/>
        </w:trPr>
        <w:tc>
          <w:tcPr>
            <w:tcW w:type="dxa" w:w="3259"/>
            <w:vAlign w:val="center"/>
            <w:tcMar>
              <w:top w:w="80" w:type="dxa"/>
              <w:start w:w="100" w:type="dxa"/>
              <w:bottom w:w="80" w:type="dxa"/>
              <w:end w:w="100" w:type="dxa"/>
            </w:tcMar>
          </w:tcPr>
          <w:p>
            <w:pPr>
              <w:keepNext/>
              <w:spacing w:after="0"/>
            </w:pPr>
            <w:r>
              <w:rPr>
                <w:rFonts w:ascii="Times New Roman" w:hAnsi="Times New Roman"/>
                <w:sz w:val="16"/>
              </w:rPr>
              <w:t>Administration</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3</w:t>
            </w:r>
          </w:p>
        </w:tc>
        <w:tc>
          <w:tcPr>
            <w:tcW w:type="dxa" w:w="3724"/>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0.0</w:t>
            </w:r>
          </w:p>
        </w:tc>
      </w:tr>
      <w:tr>
        <w:trPr>
          <w:cantSplit/>
        </w:trPr>
        <w:tc>
          <w:tcPr>
            <w:tcW w:type="dxa" w:w="3259"/>
            <w:vAlign w:val="center"/>
            <w:tcMar>
              <w:top w:w="80" w:type="dxa"/>
              <w:start w:w="100" w:type="dxa"/>
              <w:bottom w:w="80" w:type="dxa"/>
              <w:end w:w="100" w:type="dxa"/>
            </w:tcMar>
          </w:tcPr>
          <w:p>
            <w:pPr>
              <w:keepNext/>
              <w:spacing w:after="0"/>
            </w:pPr>
            <w:r>
              <w:rPr>
                <w:rFonts w:ascii="Times New Roman" w:hAnsi="Times New Roman"/>
                <w:sz w:val="16"/>
              </w:rPr>
              <w:t>Cellar</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4</w:t>
            </w:r>
          </w:p>
        </w:tc>
        <w:tc>
          <w:tcPr>
            <w:tcW w:type="dxa" w:w="3724"/>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3492"/>
            <w:vAlign w:val="center"/>
            <w:tcMar>
              <w:top w:w="80" w:type="dxa"/>
              <w:start w:w="100" w:type="dxa"/>
              <w:bottom w:w="80" w:type="dxa"/>
              <w:end w:w="100" w:type="dxa"/>
            </w:tcMar>
          </w:tcPr>
          <w:p>
            <w:pPr>
              <w:keepNext/>
              <w:spacing w:after="0"/>
            </w:pPr>
            <w:r>
              <w:rPr>
                <w:rFonts w:ascii="Times New Roman" w:hAnsi="Times New Roman"/>
                <w:sz w:val="16"/>
              </w:rPr>
              <w:t>0.0</w:t>
            </w:r>
          </w:p>
        </w:tc>
      </w:tr>
      <w:tr>
        <w:trPr>
          <w:cantSplit/>
        </w:trPr>
        <w:tc>
          <w:tcPr>
            <w:tcW w:type="dxa" w:w="3259"/>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3492"/>
            <w:vAlign w:val="center"/>
            <w:tcMar>
              <w:top w:w="80" w:type="dxa"/>
              <w:start w:w="100" w:type="dxa"/>
              <w:bottom w:w="80" w:type="dxa"/>
              <w:end w:w="100" w:type="dxa"/>
            </w:tcMar>
          </w:tcPr>
          <w:p>
            <w:pPr>
              <w:keepNext w:val="0"/>
              <w:spacing w:after="0"/>
            </w:pPr>
            <w:r>
              <w:rPr>
                <w:rFonts w:ascii="Times New Roman" w:hAnsi="Times New Roman"/>
                <w:sz w:val="16"/>
              </w:rPr>
              <w:t>6</w:t>
            </w:r>
          </w:p>
        </w:tc>
        <w:tc>
          <w:tcPr>
            <w:tcW w:type="dxa" w:w="3724"/>
            <w:vAlign w:val="center"/>
            <w:tcMar>
              <w:top w:w="80" w:type="dxa"/>
              <w:start w:w="100" w:type="dxa"/>
              <w:bottom w:w="80" w:type="dxa"/>
              <w:end w:w="100" w:type="dxa"/>
            </w:tcMar>
          </w:tcPr>
          <w:p>
            <w:pPr>
              <w:keepNext w:val="0"/>
              <w:spacing w:after="0"/>
            </w:pPr>
            <w:r>
              <w:rPr>
                <w:rFonts w:ascii="Times New Roman" w:hAnsi="Times New Roman"/>
                <w:sz w:val="16"/>
              </w:rPr>
              <w:t>3</w:t>
            </w:r>
          </w:p>
        </w:tc>
        <w:tc>
          <w:tcPr>
            <w:tcW w:type="dxa" w:w="3492"/>
            <w:vAlign w:val="center"/>
            <w:tcMar>
              <w:top w:w="80" w:type="dxa"/>
              <w:start w:w="100" w:type="dxa"/>
              <w:bottom w:w="80" w:type="dxa"/>
              <w:end w:w="100" w:type="dxa"/>
            </w:tcMar>
          </w:tcPr>
          <w:p>
            <w:pPr>
              <w:keepNext w:val="0"/>
              <w:spacing w:after="0"/>
            </w:pPr>
            <w:r>
              <w:rPr>
                <w:rFonts w:ascii="Times New Roman" w:hAnsi="Times New Roman"/>
                <w:sz w:val="16"/>
              </w:rPr>
              <w:t>50.0</w:t>
            </w:r>
          </w:p>
        </w:tc>
      </w:tr>
    </w:tbl>
    <w:p>
      <w:pPr>
        <w:spacing w:after="0"/>
      </w:pPr>
    </w:p>
    <w:p>
      <w:pPr>
        <w:keepNext/>
        <w:jc w:val="center"/>
      </w:pPr>
      <w:r>
        <w:drawing>
          <wp:inline xmlns:a="http://schemas.openxmlformats.org/drawingml/2006/main" xmlns:pic="http://schemas.openxmlformats.org/drawingml/2006/picture">
            <wp:extent cx="6945421" cy="4937760"/>
            <wp:docPr id="24" name="Picture 24"/>
            <wp:cNvGraphicFramePr>
              <a:graphicFrameLocks noChangeAspect="1"/>
            </wp:cNvGraphicFramePr>
            <a:graphic>
              <a:graphicData uri="http://schemas.openxmlformats.org/drawingml/2006/picture">
                <pic:pic>
                  <pic:nvPicPr>
                    <pic:cNvPr id="0" name="query01.png"/>
                    <pic:cNvPicPr/>
                  </pic:nvPicPr>
                  <pic:blipFill>
                    <a:blip r:embed="rId30"/>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1: genuine Workbench query01, combined supplied + test database, 2026-10-08</w:t>
      </w:r>
    </w:p>
    <w:p>
      <w:pPr>
        <w:pStyle w:val="Heading2"/>
      </w:pPr>
      <w:r>
        <w:t>Query 2 — Incidents per 1,000 actual labour hours</w:t>
      </w:r>
    </w:p>
    <w:p>
      <w:pPr>
        <w:pStyle w:val="Heading3"/>
      </w:pPr>
      <w:r>
        <w:t>How the query works</w:t>
      </w:r>
    </w:p>
    <w:p>
      <w:pPr>
        <w:widowControl/>
      </w:pPr>
      <w:r>
        <w:rPr>
          <w:rFonts w:ascii="Times New Roman" w:hAnsi="Times New Roman"/>
          <w:i w:val="0"/>
          <w:sz w:val="24"/>
        </w:rPr>
        <w:t>The revised shift design no longer stores independent regular/overtime hour totals. shiftassignment records actual start time, actual end time and break minutes. The assignmenthours CTE derives labour hours as the elapsed minutes minus breaks, divided by 60.</w:t>
      </w:r>
    </w:p>
    <w:p>
      <w:pPr>
        <w:widowControl/>
      </w:pPr>
      <w:r>
        <w:rPr>
          <w:rFonts w:ascii="Times New Roman" w:hAnsi="Times New Roman"/>
          <w:i w:val="0"/>
          <w:sz w:val="24"/>
        </w:rPr>
        <w:t>hoursbyarea aggregates those actual hours by operational area over the rolling 12 months. incidentloss reads incidents from the same rolling period, left-joins incidentemployee and sums employee lost hours while retaining one row per incident. incidentsbyarea then counts incidents once per area. The final calculation is incidentCount × 1000 / labourHours; a zero denominator returns NULL.</w:t>
      </w:r>
    </w:p>
    <w:p>
      <w:pPr>
        <w:pStyle w:val="Heading3"/>
      </w:pPr>
      <w:r>
        <w:t>Business use and action</w:t>
      </w:r>
    </w:p>
    <w:p>
      <w:pPr>
        <w:widowControl/>
      </w:pPr>
      <w:r>
        <w:rPr>
          <w:rFonts w:ascii="Times New Roman" w:hAnsi="Times New Roman"/>
          <w:i w:val="0"/>
          <w:sz w:val="24"/>
        </w:rPr>
        <w:t>Raw incident counts can make a busy area look less safe simply because more hours are worked. The exposure-adjusted rate lets the Safety Officer and management compare operational areas on a consistent basis. High-rate areas can be targeted for investigation, training, equipment changes or corrective actions.</w:t>
      </w:r>
    </w:p>
    <w:p>
      <w:pPr>
        <w:pStyle w:val="Heading3"/>
      </w:pPr>
      <w:r>
        <w:t>Actual result — frozen MySQL 8.4.11 build, 2026-10-08</w:t>
      </w:r>
    </w:p>
    <w:p>
      <w:pPr>
        <w:widowControl/>
      </w:pPr>
      <w:r>
        <w:rPr>
          <w:rFonts w:ascii="Times New Roman" w:hAnsi="Times New Roman"/>
          <w:i w:val="0"/>
          <w:sz w:val="24"/>
        </w:rPr>
        <w:t>- Vineyard: 88.00 actual labour hours, 2 incidents, 2 lost hours, 22.73 incidents per 1,000 hours.</w:t>
      </w:r>
    </w:p>
    <w:p>
      <w:pPr>
        <w:widowControl/>
      </w:pPr>
      <w:r>
        <w:rPr>
          <w:rFonts w:ascii="Times New Roman" w:hAnsi="Times New Roman"/>
          <w:i w:val="0"/>
          <w:sz w:val="24"/>
        </w:rPr>
        <w:t>- Cellar: 54.00 actual labour hours, 1 incident, 16 lost hours, 18.52 incidents per 1,000 hours.</w:t>
      </w:r>
    </w:p>
    <w:p>
      <w:pPr>
        <w:widowControl/>
      </w:pPr>
      <w:r>
        <w:rPr>
          <w:rFonts w:ascii="Times New Roman" w:hAnsi="Times New Roman"/>
          <w:i w:val="0"/>
          <w:sz w:val="24"/>
        </w:rPr>
        <w:t>Vineyard has the higher event frequency, while Cellar has fewer incidents but much greater lost time. Management should therefore avoid using the rate alone: Vineyard needs frequency reduction, while Cellar's severe lost-time outcome warrants focused handling/equipment controls.</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Small exposure denominators make rates unstable; missing assignments or incidents bias results.</w:t>
            </w:r>
          </w:p>
        </w:tc>
      </w:tr>
    </w:tbl>
    <w:p>
      <w:pPr>
        <w:spacing w:after="0"/>
      </w:pPr>
    </w:p>
    <w:p>
      <w:pPr>
        <w:spacing w:after="60"/>
      </w:pPr>
      <w:r>
        <w:rPr>
          <w:rFonts w:ascii="Times New Roman" w:hAnsi="Times New Roman"/>
          <w:b/>
          <w:color w:val="5B6573"/>
          <w:sz w:val="18"/>
        </w:rPr>
        <w:t>Query 2 SQL</w:t>
      </w:r>
    </w:p>
    <w:p>
      <w:pPr>
        <w:spacing w:after="120"/>
        <w:ind w:left="173" w:right="173"/>
        <w:shd w:fill="F2F4F7"/>
      </w:pPr>
      <w:r>
        <w:rPr>
          <w:rFonts w:ascii="Menlo" w:hAnsi="Menlo"/>
          <w:color w:val="111827"/>
          <w:sz w:val="15"/>
        </w:rPr>
        <w:t>USE cloudrestwines;</w:t>
        <w:br/>
        <w:t>-- Sustainability measure: incidents per 1,000 actual labour hours during the last 12 months.</w:t>
        <w:br/>
        <w:t>-- Labour hours are derived from assignment start/end times so they cannot disagree with stored hour totals.</w:t>
        <w:br/>
        <w:t>WITH assignmenthours AS (</w:t>
        <w:br/>
        <w:t xml:space="preserve">  SELECT s.operationalAreaId,</w:t>
        <w:br/>
        <w:t xml:space="preserve">         GREATEST(</w:t>
        <w:br/>
        <w:t xml:space="preserve">           TIMESTAMPDIFF(MINUTE, sa.actualStartTime, sa.actualEndTime) - sa.breakMinutes,</w:t>
        <w:br/>
        <w:t xml:space="preserve">           0</w:t>
        <w:br/>
        <w:t xml:space="preserve">         ) / 60.0 AS labourHours</w:t>
        <w:br/>
        <w:t xml:space="preserve">  FROM shift s</w:t>
        <w:br/>
        <w:t xml:space="preserve">  JOIN shiftassignment sa ON sa.shiftId = s.shiftId</w:t>
        <w:br/>
        <w:t xml:space="preserve">  WHERE s.shiftDate &gt;= DATE_SUB(CURRENT_DATE, INTERVAL 12 MONTH)</w:t>
        <w:br/>
        <w:t>), hoursbyarea AS (</w:t>
        <w:br/>
        <w:t xml:space="preserve">  SELECT operationalAreaId, SUM(labourHours) AS labourHours</w:t>
        <w:br/>
        <w:t xml:space="preserve">  FROM assignmenthours</w:t>
        <w:br/>
        <w:t xml:space="preserve">  GROUP BY operationalAreaId</w:t>
        <w:br/>
        <w:t>), incidentloss AS (</w:t>
        <w:br/>
        <w:t xml:space="preserve">  SELECT i.incidentId,</w:t>
        <w:br/>
        <w:t xml:space="preserve">         i.operationalAreaId,</w:t>
        <w:br/>
        <w:t xml:space="preserve">         COALESCE(SUM(ie.employeeLostHours), 0) AS lostHours</w:t>
        <w:br/>
        <w:t xml:space="preserve">  FROM incident i</w:t>
        <w:br/>
        <w:t xml:space="preserve">  LEFT JOIN incidentemployee ie ON ie.incidentId = i.incidentId</w:t>
        <w:br/>
        <w:t xml:space="preserve">  WHERE i.incidentDateTime &gt;= DATE_SUB(CURRENT_DATE, INTERVAL 12 MONTH)</w:t>
        <w:br/>
        <w:t xml:space="preserve">  GROUP BY i.incidentId, i.operationalAreaId</w:t>
        <w:br/>
        <w:t>), incidentsbyarea AS (</w:t>
        <w:br/>
        <w:t xml:space="preserve">  SELECT operationalAreaId,</w:t>
        <w:br/>
        <w:t xml:space="preserve">         COUNT(*) AS incidentCount,</w:t>
        <w:br/>
        <w:t xml:space="preserve">         SUM(lostHours) AS lostHours</w:t>
        <w:br/>
        <w:t xml:space="preserve">  FROM incidentloss</w:t>
        <w:br/>
        <w:t xml:space="preserve">  GROUP BY operationalAreaId</w:t>
        <w:br/>
        <w:t>)</w:t>
        <w:br/>
        <w:t>SELECT oa.areaName,</w:t>
        <w:br/>
        <w:t xml:space="preserve">       ROUND(COALESCE(h.labourHours, 0), 2) AS labourHours,</w:t>
        <w:br/>
        <w:t xml:space="preserve">       COALESCE(i.incidentCount, 0) AS incidentCount,</w:t>
        <w:br/>
        <w:t xml:space="preserve">       COALESCE(i.lostHours, 0) AS lostHours,</w:t>
        <w:br/>
        <w:t xml:space="preserve">       CASE</w:t>
        <w:br/>
        <w:t xml:space="preserve">         WHEN COALESCE(h.labourHours, 0) = 0 THEN NULL</w:t>
        <w:br/>
        <w:t xml:space="preserve">         ELSE ROUND(COALESCE(i.incidentCount, 0) * 1000.0 / h.labourHours, 2)</w:t>
        <w:br/>
        <w:t xml:space="preserve">       END AS incidentsPer1000Hours</w:t>
        <w:br/>
        <w:t>FROM operationalarea oa</w:t>
        <w:br/>
        <w:t>LEFT JOIN hoursbyarea h ON h.operationalAreaId = oa.operationalAreaId</w:t>
        <w:br/>
        <w:t>LEFT JOIN incidentsbyarea i ON i.operationalAreaId = oa.operationalAreaId</w:t>
        <w:br/>
        <w:t>WHERE h.labourHours IS NOT NULL OR i.incidentCount IS NOT NULL</w:t>
        <w:br/>
        <w:t>ORDER BY (incidentsPer1000Hours IS NULL), incidentsPer1000Hours DESC, oa.areaName;</w:t>
      </w:r>
    </w:p>
    <w:p>
      <w:pPr>
        <w:widowControl/>
      </w:pPr>
      <w:r>
        <w:rPr>
          <w:rFonts w:ascii="Times New Roman" w:hAnsi="Times New Roman"/>
          <w:i w:val="0"/>
          <w:sz w:val="24"/>
        </w:rPr>
        <w:t>Query 2: actual MySQL 8.4.11 output, 2026-10-08. Combined supplied + test database; HR results use synthetic assessment records.</w:t>
      </w:r>
    </w:p>
    <w:tbl>
      <w:tblPr>
        <w:tblStyle w:val="TableGrid"/>
        <w:tblW w:type="dxa" w:w="13966"/>
        <w:tblLayout w:type="fixed"/>
        <w:tblLook w:firstColumn="1" w:firstRow="1" w:lastColumn="0" w:lastRow="0" w:noHBand="0" w:noVBand="1" w:val="04A0"/>
        <w:tblInd w:w="120" w:type="dxa"/>
      </w:tblPr>
      <w:tblGrid>
        <w:gridCol w:w="1802"/>
        <w:gridCol w:w="2478"/>
        <w:gridCol w:w="2928"/>
        <w:gridCol w:w="2027"/>
        <w:gridCol w:w="4731"/>
      </w:tblGrid>
      <w:tr>
        <w:trPr>
          <w:tblHeader w:val="true"/>
          <w:cantSplit/>
        </w:trPr>
        <w:tc>
          <w:tcPr>
            <w:tcW w:type="dxa" w:w="1802"/>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2478"/>
            <w:shd w:fill="DCE6F1"/>
            <w:vAlign w:val="center"/>
            <w:tcMar>
              <w:top w:w="80" w:type="dxa"/>
              <w:start w:w="100" w:type="dxa"/>
              <w:bottom w:w="80" w:type="dxa"/>
              <w:end w:w="100" w:type="dxa"/>
            </w:tcMar>
          </w:tcPr>
          <w:p>
            <w:pPr>
              <w:keepNext/>
              <w:jc w:val="center"/>
            </w:pPr>
            <w:r>
              <w:rPr>
                <w:rFonts w:ascii="Times New Roman" w:hAnsi="Times New Roman"/>
                <w:b/>
                <w:color w:val="1F2937"/>
                <w:sz w:val="16"/>
              </w:rPr>
              <w:t>labourHours</w:t>
            </w:r>
          </w:p>
        </w:tc>
        <w:tc>
          <w:tcPr>
            <w:tcW w:type="dxa" w:w="2928"/>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incidentCount</w:t>
            </w:r>
          </w:p>
        </w:tc>
        <w:tc>
          <w:tcPr>
            <w:tcW w:type="dxa" w:w="2027"/>
            <w:shd w:fill="DCE6F1"/>
            <w:vAlign w:val="center"/>
            <w:tcMar>
              <w:top w:w="80" w:type="dxa"/>
              <w:start w:w="100" w:type="dxa"/>
              <w:bottom w:w="80" w:type="dxa"/>
              <w:end w:w="100" w:type="dxa"/>
            </w:tcMar>
          </w:tcPr>
          <w:p>
            <w:pPr>
              <w:keepNext/>
              <w:jc w:val="center"/>
            </w:pPr>
            <w:r>
              <w:rPr>
                <w:rFonts w:ascii="Times New Roman" w:hAnsi="Times New Roman"/>
                <w:b/>
                <w:color w:val="1F2937"/>
                <w:sz w:val="16"/>
              </w:rPr>
              <w:t>lostHours</w:t>
            </w:r>
          </w:p>
        </w:tc>
        <w:tc>
          <w:tcPr>
            <w:tcW w:type="dxa" w:w="4731"/>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incidentsPer1000Hours</w:t>
            </w:r>
          </w:p>
        </w:tc>
      </w:tr>
      <w:tr>
        <w:trPr>
          <w:cantSplit/>
        </w:trPr>
        <w:tc>
          <w:tcPr>
            <w:tcW w:type="dxa" w:w="1802"/>
            <w:vAlign w:val="center"/>
            <w:tcMar>
              <w:top w:w="80" w:type="dxa"/>
              <w:start w:w="100" w:type="dxa"/>
              <w:bottom w:w="80" w:type="dxa"/>
              <w:end w:w="100" w:type="dxa"/>
            </w:tcMar>
          </w:tcPr>
          <w:p>
            <w:pPr>
              <w:keepNext/>
              <w:spacing w:after="0"/>
            </w:pPr>
            <w:r>
              <w:rPr>
                <w:rFonts w:ascii="Times New Roman" w:hAnsi="Times New Roman"/>
                <w:sz w:val="16"/>
              </w:rPr>
              <w:t>Vineyard</w:t>
            </w:r>
          </w:p>
        </w:tc>
        <w:tc>
          <w:tcPr>
            <w:tcW w:type="dxa" w:w="2478"/>
            <w:vAlign w:val="center"/>
            <w:tcMar>
              <w:top w:w="80" w:type="dxa"/>
              <w:start w:w="100" w:type="dxa"/>
              <w:bottom w:w="80" w:type="dxa"/>
              <w:end w:w="100" w:type="dxa"/>
            </w:tcMar>
          </w:tcPr>
          <w:p>
            <w:pPr>
              <w:keepNext/>
              <w:spacing w:after="0"/>
            </w:pPr>
            <w:r>
              <w:rPr>
                <w:rFonts w:ascii="Times New Roman" w:hAnsi="Times New Roman"/>
                <w:sz w:val="16"/>
              </w:rPr>
              <w:t>88.00</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2</w:t>
            </w:r>
          </w:p>
        </w:tc>
        <w:tc>
          <w:tcPr>
            <w:tcW w:type="dxa" w:w="2027"/>
            <w:vAlign w:val="center"/>
            <w:tcMar>
              <w:top w:w="80" w:type="dxa"/>
              <w:start w:w="100" w:type="dxa"/>
              <w:bottom w:w="80" w:type="dxa"/>
              <w:end w:w="100" w:type="dxa"/>
            </w:tcMar>
          </w:tcPr>
          <w:p>
            <w:pPr>
              <w:keepNext/>
              <w:spacing w:after="0"/>
            </w:pPr>
            <w:r>
              <w:rPr>
                <w:rFonts w:ascii="Times New Roman" w:hAnsi="Times New Roman"/>
                <w:sz w:val="16"/>
              </w:rPr>
              <w:t>2.00</w:t>
            </w:r>
          </w:p>
        </w:tc>
        <w:tc>
          <w:tcPr>
            <w:tcW w:type="dxa" w:w="4731"/>
            <w:vAlign w:val="center"/>
            <w:tcMar>
              <w:top w:w="80" w:type="dxa"/>
              <w:start w:w="100" w:type="dxa"/>
              <w:bottom w:w="80" w:type="dxa"/>
              <w:end w:w="100" w:type="dxa"/>
            </w:tcMar>
          </w:tcPr>
          <w:p>
            <w:pPr>
              <w:keepNext/>
              <w:spacing w:after="0"/>
            </w:pPr>
            <w:r>
              <w:rPr>
                <w:rFonts w:ascii="Times New Roman" w:hAnsi="Times New Roman"/>
                <w:sz w:val="16"/>
              </w:rPr>
              <w:t>22.73</w:t>
            </w:r>
          </w:p>
        </w:tc>
      </w:tr>
      <w:tr>
        <w:trPr>
          <w:cantSplit/>
        </w:trPr>
        <w:tc>
          <w:tcPr>
            <w:tcW w:type="dxa" w:w="1802"/>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2478"/>
            <w:vAlign w:val="center"/>
            <w:tcMar>
              <w:top w:w="80" w:type="dxa"/>
              <w:start w:w="100" w:type="dxa"/>
              <w:bottom w:w="80" w:type="dxa"/>
              <w:end w:w="100" w:type="dxa"/>
            </w:tcMar>
          </w:tcPr>
          <w:p>
            <w:pPr>
              <w:keepNext w:val="0"/>
              <w:spacing w:after="0"/>
            </w:pPr>
            <w:r>
              <w:rPr>
                <w:rFonts w:ascii="Times New Roman" w:hAnsi="Times New Roman"/>
                <w:sz w:val="16"/>
              </w:rPr>
              <w:t>54.00</w:t>
            </w:r>
          </w:p>
        </w:tc>
        <w:tc>
          <w:tcPr>
            <w:tcW w:type="dxa" w:w="292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2027"/>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4731"/>
            <w:vAlign w:val="center"/>
            <w:tcMar>
              <w:top w:w="80" w:type="dxa"/>
              <w:start w:w="100" w:type="dxa"/>
              <w:bottom w:w="80" w:type="dxa"/>
              <w:end w:w="100" w:type="dxa"/>
            </w:tcMar>
          </w:tcPr>
          <w:p>
            <w:pPr>
              <w:keepNext w:val="0"/>
              <w:spacing w:after="0"/>
            </w:pPr>
            <w:r>
              <w:rPr>
                <w:rFonts w:ascii="Times New Roman" w:hAnsi="Times New Roman"/>
                <w:sz w:val="16"/>
              </w:rPr>
              <w:t>18.52</w:t>
            </w:r>
          </w:p>
        </w:tc>
      </w:tr>
    </w:tbl>
    <w:p>
      <w:pPr>
        <w:spacing w:after="0"/>
      </w:pPr>
    </w:p>
    <w:p>
      <w:pPr>
        <w:keepNext/>
        <w:jc w:val="center"/>
      </w:pPr>
      <w:r>
        <w:drawing>
          <wp:inline xmlns:a="http://schemas.openxmlformats.org/drawingml/2006/main" xmlns:pic="http://schemas.openxmlformats.org/drawingml/2006/picture">
            <wp:extent cx="6945421" cy="4937760"/>
            <wp:docPr id="25" name="Picture 25"/>
            <wp:cNvGraphicFramePr>
              <a:graphicFrameLocks noChangeAspect="1"/>
            </wp:cNvGraphicFramePr>
            <a:graphic>
              <a:graphicData uri="http://schemas.openxmlformats.org/drawingml/2006/picture">
                <pic:pic>
                  <pic:nvPicPr>
                    <pic:cNvPr id="0" name="query02.png"/>
                    <pic:cNvPicPr/>
                  </pic:nvPicPr>
                  <pic:blipFill>
                    <a:blip r:embed="rId31"/>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2: genuine Workbench query02, combined supplied + test database, 2026-10-08</w:t>
      </w:r>
    </w:p>
    <w:p>
      <w:pPr>
        <w:pStyle w:val="Heading2"/>
      </w:pPr>
      <w:r>
        <w:t>Query 3 — Incidents before and after safety training</w:t>
      </w:r>
    </w:p>
    <w:p>
      <w:pPr>
        <w:pStyle w:val="Heading3"/>
      </w:pPr>
      <w:r>
        <w:t>How the query works</w:t>
      </w:r>
    </w:p>
    <w:p>
      <w:pPr>
        <w:widowControl/>
      </w:pPr>
      <w:r>
        <w:rPr>
          <w:rFonts w:ascii="Times New Roman" w:hAnsi="Times New Roman"/>
          <w:i w:val="0"/>
          <w:sz w:val="24"/>
        </w:rPr>
        <w:t>The completion CTE finds the first completed Safety training date for each employee. The observed CTE calculates a matched observation window using the lesser of 180 days and the number of days since training. This prevents a newly trained employee from receiving a longer pre-training window than post-training window.</w:t>
      </w:r>
    </w:p>
    <w:p>
      <w:pPr>
        <w:widowControl/>
      </w:pPr>
      <w:r>
        <w:rPr>
          <w:rFonts w:ascii="Times New Roman" w:hAnsi="Times New Roman"/>
          <w:i w:val="0"/>
          <w:sz w:val="24"/>
        </w:rPr>
        <w:t>The result joins employees to incidentemployee only where involvementRole='AFFECTED', then to incident. Conditional SUM(CASE ...) expressions count incidents in equal windows immediately before and after completion.</w:t>
      </w:r>
    </w:p>
    <w:p>
      <w:pPr>
        <w:pStyle w:val="Heading3"/>
      </w:pPr>
      <w:r>
        <w:t>Business use and action</w:t>
      </w:r>
    </w:p>
    <w:p>
      <w:pPr>
        <w:widowControl/>
      </w:pPr>
      <w:r>
        <w:rPr>
          <w:rFonts w:ascii="Times New Roman" w:hAnsi="Times New Roman"/>
          <w:i w:val="0"/>
          <w:sz w:val="24"/>
        </w:rPr>
        <w:t>HR and the Safety Officer can use this as an association check when reviewing whether safety training coincides with improved outcomes. It is not a causal experiment. If incidents remain high after training, management should inspect course content, work practices and corrective actions rather than claiming training failed solely from this query.</w:t>
      </w:r>
    </w:p>
    <w:p>
      <w:pPr>
        <w:pStyle w:val="Heading3"/>
      </w:pPr>
      <w:r>
        <w:t>Actual result — frozen MySQL 8.4.11 build, 2026-10-08</w:t>
      </w:r>
    </w:p>
    <w:p>
      <w:pPr>
        <w:widowControl/>
      </w:pPr>
      <w:r>
        <w:rPr>
          <w:rFonts w:ascii="Times New Roman" w:hAnsi="Times New Roman"/>
          <w:i w:val="0"/>
          <w:sz w:val="24"/>
        </w:rPr>
        <w:t>Five employees have completed Safety training in the fixture. EMP0008 has 1 affected incident before training and 0 after training within the matched window; the other trained employees have 0 before and 0 after. The sample is too small to claim causality, but it demonstrates how future real records could support a more meaningful before/after review.</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Equal observation windows do not control confounding or work mix; the fixture cannot support causality.</w:t>
            </w:r>
          </w:p>
        </w:tc>
      </w:tr>
    </w:tbl>
    <w:p>
      <w:pPr>
        <w:spacing w:after="0"/>
      </w:pPr>
    </w:p>
    <w:p>
      <w:pPr>
        <w:spacing w:after="60"/>
      </w:pPr>
      <w:r>
        <w:rPr>
          <w:rFonts w:ascii="Times New Roman" w:hAnsi="Times New Roman"/>
          <w:b/>
          <w:color w:val="5B6573"/>
          <w:sz w:val="18"/>
        </w:rPr>
        <w:t>Query 3 SQL</w:t>
      </w:r>
    </w:p>
    <w:p>
      <w:pPr>
        <w:spacing w:after="120"/>
        <w:ind w:left="173" w:right="173"/>
        <w:shd w:fill="F2F4F7"/>
      </w:pPr>
      <w:r>
        <w:rPr>
          <w:rFonts w:ascii="Menlo" w:hAnsi="Menlo"/>
          <w:color w:val="111827"/>
          <w:sz w:val="15"/>
        </w:rPr>
        <w:t>USE cloudrestwines;</w:t>
        <w:br/>
        <w:t>-- Compare employee incidents before and after completed annual safety training using</w:t>
        <w:br/>
        <w:t>-- equal observed windows of up to 180 days. This avoids understating post-training</w:t>
        <w:br/>
        <w:t>-- incidents when fewer than 180 days have elapsed since training.</w:t>
        <w:br/>
        <w:t>WITH completion AS (</w:t>
        <w:br/>
        <w:t xml:space="preserve">  SELECT ta.employeeId, MIN(ta.completionDate) AS completionDate</w:t>
        <w:br/>
        <w:t xml:space="preserve">  FROM trainingattendance ta</w:t>
        <w:br/>
        <w:t xml:space="preserve">  JOIN trainingsession ts ON ts.trainingSessionId = ta.trainingSessionId</w:t>
        <w:br/>
        <w:t xml:space="preserve">  JOIN trainingcourse tc ON tc.trainingCourseId = ts.trainingCourseId</w:t>
        <w:br/>
        <w:t xml:space="preserve">  WHERE ta.attendanceStatus = 'COMPLETED' AND tc.trainingCategory = 'SAFETY'</w:t>
        <w:br/>
        <w:t xml:space="preserve">  GROUP BY ta.employeeId</w:t>
        <w:br/>
        <w:t>), observed AS (</w:t>
        <w:br/>
        <w:t xml:space="preserve">  SELECT employeeId,</w:t>
        <w:br/>
        <w:t xml:space="preserve">         completionDate,</w:t>
        <w:br/>
        <w:t xml:space="preserve">         LEAST(180, GREATEST(DATEDIFF(CURRENT_DATE, completionDate), 0)) AS observationDays</w:t>
        <w:br/>
        <w:t xml:space="preserve">  FROM completion</w:t>
        <w:br/>
        <w:t>)</w:t>
        <w:br/>
        <w:t>SELECT o.employeeId,</w:t>
        <w:br/>
        <w:t xml:space="preserve">       CONCAT(e.firstName,' ',e.lastName) AS employeeName,</w:t>
        <w:br/>
        <w:t xml:space="preserve">       o.completionDate,</w:t>
        <w:br/>
        <w:t xml:space="preserve">       o.observationDays,</w:t>
        <w:br/>
        <w:t xml:space="preserve">       SUM(CASE WHEN i.incidentDateTime &gt;= DATE_SUB(o.completionDate, INTERVAL o.observationDays DAY)</w:t>
        <w:br/>
        <w:t xml:space="preserve">                 AND i.incidentDateTime &lt; o.completionDate THEN 1 ELSE 0 END) AS incidentsBefore,</w:t>
        <w:br/>
        <w:t xml:space="preserve">       SUM(CASE WHEN i.incidentDateTime &gt;= o.completionDate</w:t>
        <w:br/>
        <w:t xml:space="preserve">                 AND i.incidentDateTime &lt; DATE_ADD(o.completionDate, INTERVAL o.observationDays DAY)</w:t>
        <w:br/>
        <w:t xml:space="preserve">                 AND i.incidentDateTime &lt; DATE_ADD(CURRENT_DATE, INTERVAL 1 DAY)</w:t>
        <w:br/>
        <w:t xml:space="preserve">                THEN 1 ELSE 0 END) AS incidentsAfter</w:t>
        <w:br/>
        <w:t>FROM observed o</w:t>
        <w:br/>
        <w:t>JOIN employee e ON e.employeeId = o.employeeId</w:t>
        <w:br/>
        <w:t>LEFT JOIN incidentemployee ie ON ie.employeeId = o.employeeId AND ie.involvementRole = 'AFFECTED'</w:t>
        <w:br/>
        <w:t>LEFT JOIN incident i ON i.incidentId = ie.incidentId</w:t>
        <w:br/>
        <w:t>GROUP BY o.employeeId, e.firstName, e.lastName, o.completionDate, o.observationDays</w:t>
        <w:br/>
        <w:t>ORDER BY incidentsBefore DESC, incidentsAfter DESC;</w:t>
      </w:r>
    </w:p>
    <w:p>
      <w:pPr>
        <w:widowControl/>
      </w:pPr>
      <w:r>
        <w:rPr>
          <w:rFonts w:ascii="Times New Roman" w:hAnsi="Times New Roman"/>
          <w:i w:val="0"/>
          <w:sz w:val="24"/>
        </w:rPr>
        <w:t>Query 3: actual MySQL 8.4.11 output, 2026-10-08. Combined supplied + test database; HR results use synthetic assessment records.</w:t>
      </w:r>
    </w:p>
    <w:tbl>
      <w:tblPr>
        <w:tblStyle w:val="TableGrid"/>
        <w:tblW w:type="dxa" w:w="13967"/>
        <w:tblLayout w:type="fixed"/>
        <w:tblLook w:firstColumn="1" w:firstRow="1" w:lastColumn="0" w:lastRow="0" w:noHBand="0" w:noVBand="1" w:val="04A0"/>
        <w:tblInd w:w="120" w:type="dxa"/>
      </w:tblPr>
      <w:tblGrid>
        <w:gridCol w:w="1746"/>
        <w:gridCol w:w="2095"/>
        <w:gridCol w:w="2444"/>
        <w:gridCol w:w="2619"/>
        <w:gridCol w:w="2619"/>
        <w:gridCol w:w="2444"/>
      </w:tblGrid>
      <w:tr>
        <w:trPr>
          <w:tblHeader w:val="true"/>
          <w:cantSplit/>
        </w:trPr>
        <w:tc>
          <w:tcPr>
            <w:tcW w:type="dxa" w:w="1746"/>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2095"/>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2444"/>
            <w:shd w:fill="DCE6F1"/>
            <w:vAlign w:val="center"/>
            <w:tcMar>
              <w:top w:w="80" w:type="dxa"/>
              <w:start w:w="100" w:type="dxa"/>
              <w:bottom w:w="80" w:type="dxa"/>
              <w:end w:w="100" w:type="dxa"/>
            </w:tcMar>
          </w:tcPr>
          <w:p>
            <w:pPr>
              <w:keepNext/>
              <w:jc w:val="center"/>
            </w:pPr>
            <w:r>
              <w:rPr>
                <w:rFonts w:ascii="Times New Roman" w:hAnsi="Times New Roman"/>
                <w:b/>
                <w:color w:val="1F2937"/>
                <w:sz w:val="16"/>
              </w:rPr>
              <w:t>completionDate</w:t>
            </w:r>
          </w:p>
        </w:tc>
        <w:tc>
          <w:tcPr>
            <w:tcW w:type="dxa" w:w="2619"/>
            <w:shd w:fill="DCE6F1"/>
            <w:vAlign w:val="center"/>
            <w:tcMar>
              <w:top w:w="80" w:type="dxa"/>
              <w:start w:w="100" w:type="dxa"/>
              <w:bottom w:w="80" w:type="dxa"/>
              <w:end w:w="100" w:type="dxa"/>
            </w:tcMar>
          </w:tcPr>
          <w:p>
            <w:pPr>
              <w:keepNext/>
              <w:jc w:val="center"/>
            </w:pPr>
            <w:r>
              <w:rPr>
                <w:rFonts w:ascii="Times New Roman" w:hAnsi="Times New Roman"/>
                <w:b/>
                <w:color w:val="1F2937"/>
                <w:sz w:val="16"/>
              </w:rPr>
              <w:t>observationDays</w:t>
            </w:r>
          </w:p>
        </w:tc>
        <w:tc>
          <w:tcPr>
            <w:tcW w:type="dxa" w:w="2619"/>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incidentsBefore</w:t>
            </w:r>
          </w:p>
        </w:tc>
        <w:tc>
          <w:tcPr>
            <w:tcW w:type="dxa" w:w="2444"/>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incidentsAfter</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EMP0008</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Mia Taylor</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2026-06-30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100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EMP0002</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Amelia Hart</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2026-06-30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100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EMP0003</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Noah Reed</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2026-06-30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100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spacing w:after="0"/>
            </w:pPr>
            <w:r>
              <w:rPr>
                <w:rFonts w:ascii="Times New Roman" w:hAnsi="Times New Roman"/>
                <w:sz w:val="16"/>
              </w:rPr>
              <w:t>EMP0004</w:t>
            </w:r>
          </w:p>
        </w:tc>
        <w:tc>
          <w:tcPr>
            <w:tcW w:type="dxa" w:w="2095"/>
            <w:vAlign w:val="center"/>
            <w:tcMar>
              <w:top w:w="80" w:type="dxa"/>
              <w:start w:w="100" w:type="dxa"/>
              <w:bottom w:w="80" w:type="dxa"/>
              <w:end w:w="100" w:type="dxa"/>
            </w:tcMar>
          </w:tcPr>
          <w:p>
            <w:pPr>
              <w:keepNext/>
              <w:spacing w:after="0"/>
            </w:pPr>
            <w:r>
              <w:rPr>
                <w:rFonts w:ascii="Times New Roman" w:hAnsi="Times New Roman"/>
                <w:sz w:val="16"/>
              </w:rPr>
              <w:t>Isla Chen</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2026-07-30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70</w:t>
            </w:r>
          </w:p>
        </w:tc>
        <w:tc>
          <w:tcPr>
            <w:tcW w:type="dxa" w:w="2619"/>
            <w:vAlign w:val="center"/>
            <w:tcMar>
              <w:top w:w="80" w:type="dxa"/>
              <w:start w:w="100" w:type="dxa"/>
              <w:bottom w:w="80" w:type="dxa"/>
              <w:end w:w="100" w:type="dxa"/>
            </w:tcMar>
          </w:tcPr>
          <w:p>
            <w:pPr>
              <w:keepNext/>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spacing w:after="0"/>
            </w:pPr>
            <w:r>
              <w:rPr>
                <w:rFonts w:ascii="Times New Roman" w:hAnsi="Times New Roman"/>
                <w:sz w:val="16"/>
              </w:rPr>
              <w:t>0</w:t>
            </w:r>
          </w:p>
        </w:tc>
      </w:tr>
      <w:tr>
        <w:trPr>
          <w:cantSplit/>
        </w:trPr>
        <w:tc>
          <w:tcPr>
            <w:tcW w:type="dxa" w:w="1746"/>
            <w:vAlign w:val="center"/>
            <w:tcMar>
              <w:top w:w="80" w:type="dxa"/>
              <w:start w:w="100" w:type="dxa"/>
              <w:bottom w:w="80" w:type="dxa"/>
              <w:end w:w="100" w:type="dxa"/>
            </w:tcMar>
          </w:tcPr>
          <w:p>
            <w:pPr>
              <w:keepNext w:val="0"/>
              <w:spacing w:after="0"/>
            </w:pPr>
            <w:r>
              <w:rPr>
                <w:rFonts w:ascii="Times New Roman" w:hAnsi="Times New Roman"/>
                <w:sz w:val="16"/>
              </w:rPr>
              <w:t>EMP0005</w:t>
            </w:r>
          </w:p>
        </w:tc>
        <w:tc>
          <w:tcPr>
            <w:tcW w:type="dxa" w:w="2095"/>
            <w:vAlign w:val="center"/>
            <w:tcMar>
              <w:top w:w="80" w:type="dxa"/>
              <w:start w:w="100" w:type="dxa"/>
              <w:bottom w:w="80" w:type="dxa"/>
              <w:end w:w="100" w:type="dxa"/>
            </w:tcMar>
          </w:tcPr>
          <w:p>
            <w:pPr>
              <w:keepNext w:val="0"/>
              <w:spacing w:after="0"/>
            </w:pPr>
            <w:r>
              <w:rPr>
                <w:rFonts w:ascii="Times New Roman" w:hAnsi="Times New Roman"/>
                <w:sz w:val="16"/>
              </w:rPr>
              <w:t>Liam Singh</w:t>
            </w:r>
          </w:p>
        </w:tc>
        <w:tc>
          <w:tcPr>
            <w:tcW w:type="dxa" w:w="2444"/>
            <w:vAlign w:val="center"/>
            <w:tcMar>
              <w:top w:w="80" w:type="dxa"/>
              <w:start w:w="100" w:type="dxa"/>
              <w:bottom w:w="80" w:type="dxa"/>
              <w:end w:w="100" w:type="dxa"/>
            </w:tcMar>
          </w:tcPr>
          <w:p>
            <w:pPr>
              <w:keepNext w:val="0"/>
              <w:spacing w:after="0"/>
            </w:pPr>
            <w:r>
              <w:rPr>
                <w:rFonts w:ascii="Times New Roman" w:hAnsi="Times New Roman"/>
                <w:sz w:val="16"/>
              </w:rPr>
              <w:t>2026-07-30</w:t>
            </w:r>
          </w:p>
        </w:tc>
        <w:tc>
          <w:tcPr>
            <w:tcW w:type="dxa" w:w="2619"/>
            <w:vAlign w:val="center"/>
            <w:tcMar>
              <w:top w:w="80" w:type="dxa"/>
              <w:start w:w="100" w:type="dxa"/>
              <w:bottom w:w="80" w:type="dxa"/>
              <w:end w:w="100" w:type="dxa"/>
            </w:tcMar>
          </w:tcPr>
          <w:p>
            <w:pPr>
              <w:keepNext w:val="0"/>
              <w:spacing w:after="0"/>
            </w:pPr>
            <w:r>
              <w:rPr>
                <w:rFonts w:ascii="Times New Roman" w:hAnsi="Times New Roman"/>
                <w:sz w:val="16"/>
              </w:rPr>
              <w:t>70</w:t>
            </w:r>
          </w:p>
        </w:tc>
        <w:tc>
          <w:tcPr>
            <w:tcW w:type="dxa" w:w="2619"/>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444"/>
            <w:vAlign w:val="center"/>
            <w:tcMar>
              <w:top w:w="80" w:type="dxa"/>
              <w:start w:w="100" w:type="dxa"/>
              <w:bottom w:w="80" w:type="dxa"/>
              <w:end w:w="100" w:type="dxa"/>
            </w:tcMar>
          </w:tcPr>
          <w:p>
            <w:pPr>
              <w:keepNext w:val="0"/>
              <w:spacing w:after="0"/>
            </w:pPr>
            <w:r>
              <w:rPr>
                <w:rFonts w:ascii="Times New Roman" w:hAnsi="Times New Roman"/>
                <w:sz w:val="16"/>
              </w:rPr>
              <w:t>0</w:t>
            </w:r>
          </w:p>
        </w:tc>
      </w:tr>
    </w:tbl>
    <w:p>
      <w:pPr>
        <w:spacing w:after="0"/>
      </w:pPr>
    </w:p>
    <w:p>
      <w:pPr>
        <w:keepNext/>
        <w:jc w:val="center"/>
      </w:pPr>
      <w:r>
        <w:drawing>
          <wp:inline xmlns:a="http://schemas.openxmlformats.org/drawingml/2006/main" xmlns:pic="http://schemas.openxmlformats.org/drawingml/2006/picture">
            <wp:extent cx="6945421" cy="4937760"/>
            <wp:docPr id="26" name="Picture 26"/>
            <wp:cNvGraphicFramePr>
              <a:graphicFrameLocks noChangeAspect="1"/>
            </wp:cNvGraphicFramePr>
            <a:graphic>
              <a:graphicData uri="http://schemas.openxmlformats.org/drawingml/2006/picture">
                <pic:pic>
                  <pic:nvPicPr>
                    <pic:cNvPr id="0" name="query03.png"/>
                    <pic:cNvPicPr/>
                  </pic:nvPicPr>
                  <pic:blipFill>
                    <a:blip r:embed="rId32"/>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3: genuine Workbench query03, combined supplied + test database, 2026-10-08</w:t>
      </w:r>
    </w:p>
    <w:p>
      <w:pPr>
        <w:pStyle w:val="Heading2"/>
      </w:pPr>
      <w:r>
        <w:t>Query 4 — Recent workload, safety and wellbeing review indicators</w:t>
      </w:r>
    </w:p>
    <w:p>
      <w:pPr>
        <w:pStyle w:val="Heading3"/>
      </w:pPr>
      <w:r>
        <w:t>How the query works</w:t>
      </w:r>
    </w:p>
    <w:p>
      <w:pPr>
        <w:widowControl/>
      </w:pPr>
      <w:r>
        <w:rPr>
          <w:rFonts w:ascii="Times New Roman" w:hAnsi="Times New Roman"/>
          <w:i w:val="0"/>
          <w:sz w:val="24"/>
        </w:rPr>
        <w:t>activeworkforce supplies every current employee with role and operational area context. assignmenthours derives worked hours from actual assignment start/end/break values for the last 30 days. workload sums up to 8 regular hours per assignment and treats hours above 8 as overtime. Separate CTEs count recent incident involvement and wellbeing check-ins with concernRaisedFlag=TRUE.</w:t>
      </w:r>
    </w:p>
    <w:p>
      <w:pPr>
        <w:widowControl/>
      </w:pPr>
      <w:r>
        <w:rPr>
          <w:rFonts w:ascii="Times New Roman" w:hAnsi="Times New Roman"/>
          <w:i w:val="0"/>
          <w:sz w:val="24"/>
        </w:rPr>
        <w:t>All three result sets are left-joined to the active workforce, so employees with no recent shift remain visible. A transparent CASE returns SUPERVISOR REVIEW when overtime, a recent incident or a wellbeing concern is present. No confidential wellbeing note is exposed.</w:t>
      </w:r>
    </w:p>
    <w:p>
      <w:pPr>
        <w:pStyle w:val="Heading3"/>
      </w:pPr>
      <w:r>
        <w:t>Business use and action</w:t>
      </w:r>
    </w:p>
    <w:p>
      <w:pPr>
        <w:widowControl/>
      </w:pPr>
      <w:r>
        <w:rPr>
          <w:rFonts w:ascii="Times New Roman" w:hAnsi="Times New Roman"/>
          <w:i w:val="0"/>
          <w:sz w:val="24"/>
        </w:rPr>
        <w:t>Supervisors and HR use the query as a prioritisation list, not a medical or disciplinary score. The underlying columns show why somebody appears. Management can adjust rosters, check fatigue controls, follow up an incident or schedule a wellbeing conversation.</w:t>
      </w:r>
    </w:p>
    <w:p>
      <w:pPr>
        <w:pStyle w:val="Heading3"/>
      </w:pPr>
      <w:r>
        <w:t>Actual result — frozen MySQL 8.4.11 build, 2026-10-08</w:t>
      </w:r>
    </w:p>
    <w:p>
      <w:pPr>
        <w:widowControl/>
      </w:pPr>
      <w:r>
        <w:rPr>
          <w:rFonts w:ascii="Times New Roman" w:hAnsi="Times New Roman"/>
          <w:i w:val="0"/>
          <w:sz w:val="24"/>
        </w:rPr>
        <w:t>Five employees are flagged for review:</w:t>
      </w:r>
    </w:p>
    <w:p>
      <w:pPr>
        <w:widowControl/>
      </w:pPr>
      <w:r>
        <w:rPr>
          <w:rFonts w:ascii="Times New Roman" w:hAnsi="Times New Roman"/>
          <w:i w:val="0"/>
          <w:sz w:val="24"/>
        </w:rPr>
        <w:t>- EMP0011 Jack Moore: 7 overtime hours, 1 recent incident, 1 wellbeing concern.</w:t>
      </w:r>
    </w:p>
    <w:p>
      <w:pPr>
        <w:widowControl/>
      </w:pPr>
      <w:r>
        <w:rPr>
          <w:rFonts w:ascii="Times New Roman" w:hAnsi="Times New Roman"/>
          <w:i w:val="0"/>
          <w:sz w:val="24"/>
        </w:rPr>
        <w:t>- EMP0009 Leo Wilson: 7 overtime hours, 1 recent incident involvement, 1 wellbeing concern.</w:t>
      </w:r>
    </w:p>
    <w:p>
      <w:pPr>
        <w:widowControl/>
      </w:pPr>
      <w:r>
        <w:rPr>
          <w:rFonts w:ascii="Times New Roman" w:hAnsi="Times New Roman"/>
          <w:i w:val="0"/>
          <w:sz w:val="24"/>
        </w:rPr>
        <w:t>- EMP0005 Liam Singh: 3 overtime hours.</w:t>
      </w:r>
    </w:p>
    <w:p>
      <w:pPr>
        <w:widowControl/>
      </w:pPr>
      <w:r>
        <w:rPr>
          <w:rFonts w:ascii="Times New Roman" w:hAnsi="Times New Roman"/>
          <w:i w:val="0"/>
          <w:sz w:val="24"/>
        </w:rPr>
        <w:t>- EMP0008 Mia Taylor: 3 overtime hours.</w:t>
      </w:r>
    </w:p>
    <w:p>
      <w:pPr>
        <w:widowControl/>
      </w:pPr>
      <w:r>
        <w:rPr>
          <w:rFonts w:ascii="Times New Roman" w:hAnsi="Times New Roman"/>
          <w:i w:val="0"/>
          <w:sz w:val="24"/>
        </w:rPr>
        <w:t>- EMP0013 Finn Walker: 1 overtime hour.</w:t>
      </w:r>
    </w:p>
    <w:p>
      <w:pPr>
        <w:widowControl/>
      </w:pPr>
      <w:r>
        <w:rPr>
          <w:rFonts w:ascii="Times New Roman" w:hAnsi="Times New Roman"/>
          <w:i w:val="0"/>
          <w:sz w:val="24"/>
        </w:rPr>
        <w:t>EMP0010 and EMP0012 have recent hours but no overtime/incident/concern indicator; other active employees remain visible with zero recent workload. The highest-priority follow-up is EMP0011/EMP0009 because multiple independent indicators are present.</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Eight hours per assignment is a demonstration rule, not an asserted payroll entitlement; review flags in context.</w:t>
            </w:r>
          </w:p>
        </w:tc>
      </w:tr>
    </w:tbl>
    <w:p>
      <w:pPr>
        <w:spacing w:after="0"/>
      </w:pPr>
    </w:p>
    <w:p>
      <w:pPr>
        <w:spacing w:after="60"/>
      </w:pPr>
      <w:r>
        <w:rPr>
          <w:rFonts w:ascii="Times New Roman" w:hAnsi="Times New Roman"/>
          <w:b/>
          <w:color w:val="5B6573"/>
          <w:sz w:val="18"/>
        </w:rPr>
        <w:t>Query 4 SQL</w:t>
      </w:r>
    </w:p>
    <w:p>
      <w:pPr>
        <w:spacing w:after="120"/>
        <w:ind w:left="173" w:right="173"/>
        <w:shd w:fill="F2F4F7"/>
      </w:pPr>
      <w:r>
        <w:rPr>
          <w:rFonts w:ascii="Menlo" w:hAnsi="Menlo"/>
          <w:color w:val="111827"/>
          <w:sz w:val="15"/>
        </w:rPr>
        <w:t>USE cloudrestwines;</w:t>
        <w:br/>
        <w:t>-- Workforce review query: surface recent workload/safety/wellbeing indicators without exposing confidential notes.</w:t>
        <w:br/>
        <w:t>-- Worked hours are calculated from actual assignment times. Overtime is the portion above 8 hours per assignment.</w:t>
        <w:br/>
        <w:t>WITH activeworkforce AS (</w:t>
        <w:br/>
        <w:t xml:space="preserve">  SELECT e.employeeId,</w:t>
        <w:br/>
        <w:t xml:space="preserve">         e.firstName,</w:t>
        <w:br/>
        <w:t xml:space="preserve">         e.lastName,</w:t>
        <w:br/>
        <w:t xml:space="preserve">         er.operationalAreaId,</w:t>
        <w:br/>
        <w:t xml:space="preserve">         r.roleName</w:t>
        <w:br/>
        <w:t xml:space="preserve">  FROM employee e</w:t>
        <w:br/>
        <w:t xml:space="preserve">  JOIN employeerole er ON er.employeeId = e.employeeId</w:t>
        <w:br/>
        <w:t xml:space="preserve">  JOIN role r ON r.roleId = er.roleId</w:t>
        <w:br/>
        <w:t xml:space="preserve">  WHERE e.employmentStartDate &lt;= CURRENT_DATE</w:t>
        <w:br/>
        <w:t xml:space="preserve">    AND (e.employmentEndDate IS NULL OR e.employmentEndDate &gt;= CURRENT_DATE)</w:t>
        <w:br/>
        <w:t xml:space="preserve">    AND er.startDateTime &lt;= NOW()</w:t>
        <w:br/>
        <w:t xml:space="preserve">    AND (er.endDateTime IS NULL OR er.endDateTime &gt;= NOW())</w:t>
        <w:br/>
        <w:t>), assignmenthours AS (</w:t>
        <w:br/>
        <w:t xml:space="preserve">  SELECT sa.employeeId,</w:t>
        <w:br/>
        <w:t xml:space="preserve">         GREATEST(</w:t>
        <w:br/>
        <w:t xml:space="preserve">           TIMESTAMPDIFF(MINUTE, sa.actualStartTime, sa.actualEndTime) - sa.breakMinutes,</w:t>
        <w:br/>
        <w:t xml:space="preserve">           0</w:t>
        <w:br/>
        <w:t xml:space="preserve">         ) / 60.0 AS workedHours</w:t>
        <w:br/>
        <w:t xml:space="preserve">  FROM shiftassignment sa</w:t>
        <w:br/>
        <w:t xml:space="preserve">  JOIN shift s ON s.shiftId = sa.shiftId</w:t>
        <w:br/>
        <w:t xml:space="preserve">  WHERE s.shiftDate &gt;= DATE_SUB(CURRENT_DATE, INTERVAL 30 DAY)</w:t>
        <w:br/>
        <w:t>), workload AS (</w:t>
        <w:br/>
        <w:t xml:space="preserve">  SELECT employeeId,</w:t>
        <w:br/>
        <w:t xml:space="preserve">         ROUND(SUM(LEAST(workedHours, 8.0)), 2) AS regularHours,</w:t>
        <w:br/>
        <w:t xml:space="preserve">         ROUND(SUM(GREATEST(workedHours - 8.0, 0)), 2) AS overtimeHours</w:t>
        <w:br/>
        <w:t xml:space="preserve">  FROM assignmenthours</w:t>
        <w:br/>
        <w:t xml:space="preserve">  GROUP BY employeeId</w:t>
        <w:br/>
        <w:t>), recentincident AS (</w:t>
        <w:br/>
        <w:t xml:space="preserve">  SELECT ie.employeeId, COUNT(DISTINCT ie.incidentId) AS incidentCount</w:t>
        <w:br/>
        <w:t xml:space="preserve">  FROM incidentemployee ie</w:t>
        <w:br/>
        <w:t xml:space="preserve">  JOIN incident i ON i.incidentId = ie.incidentId</w:t>
        <w:br/>
        <w:t xml:space="preserve">  WHERE i.incidentDateTime &gt;= DATE_SUB(NOW(), INTERVAL 30 DAY)</w:t>
        <w:br/>
        <w:t xml:space="preserve">  GROUP BY ie.employeeId</w:t>
        <w:br/>
        <w:t>), recentconcern AS (</w:t>
        <w:br/>
        <w:t xml:space="preserve">  SELECT employeeId, COUNT(*) AS concernCount</w:t>
        <w:br/>
        <w:t xml:space="preserve">  FROM wellbeingcheckin</w:t>
        <w:br/>
        <w:t xml:space="preserve">  WHERE checkinDate &gt;= DATE_SUB(CURRENT_DATE, INTERVAL 30 DAY)</w:t>
        <w:br/>
        <w:t xml:space="preserve">    AND concernRaisedFlag = TRUE</w:t>
        <w:br/>
        <w:t xml:space="preserve">  GROUP BY employeeId</w:t>
        <w:br/>
        <w:t>)</w:t>
        <w:br/>
        <w:t>SELECT aw.employeeId,</w:t>
        <w:br/>
        <w:t xml:space="preserve">       CONCAT(aw.firstName, ' ', aw.lastName) AS employeeName,</w:t>
        <w:br/>
        <w:t xml:space="preserve">       oa.areaName,</w:t>
        <w:br/>
        <w:t xml:space="preserve">       aw.roleName,</w:t>
        <w:br/>
        <w:t xml:space="preserve">       COALESCE(w.regularHours, 0) AS regularHours,</w:t>
        <w:br/>
        <w:t xml:space="preserve">       COALESCE(w.overtimeHours, 0) AS overtimeHours,</w:t>
        <w:br/>
        <w:t xml:space="preserve">       COALESCE(ri.incidentCount, 0) AS recentIncidents,</w:t>
        <w:br/>
        <w:t xml:space="preserve">       COALESCE(rc.concernCount, 0) AS wellbeingConcernCount,</w:t>
        <w:br/>
        <w:t xml:space="preserve">       CASE</w:t>
        <w:br/>
        <w:t xml:space="preserve">         WHEN COALESCE(ri.incidentCount, 0) &gt; 0</w:t>
        <w:br/>
        <w:t xml:space="preserve">           OR COALESCE(rc.concernCount, 0) &gt; 0</w:t>
        <w:br/>
        <w:t xml:space="preserve">           OR COALESCE(w.overtimeHours, 0) &gt; 0</w:t>
        <w:br/>
        <w:t xml:space="preserve">         THEN 'SUPERVISOR REVIEW'</w:t>
        <w:br/>
        <w:t xml:space="preserve">         ELSE 'NO RECENT INDICATOR'</w:t>
        <w:br/>
        <w:t xml:space="preserve">       END AS recommendedAction</w:t>
        <w:br/>
        <w:t>FROM activeworkforce aw</w:t>
        <w:br/>
        <w:t>JOIN operationalarea oa ON oa.operationalAreaId = aw.operationalAreaId</w:t>
        <w:br/>
        <w:t>LEFT JOIN workload w ON w.employeeId = aw.employeeId</w:t>
        <w:br/>
        <w:t>LEFT JOIN recentincident ri ON ri.employeeId = aw.employeeId</w:t>
        <w:br/>
        <w:t>LEFT JOIN recentconcern rc ON rc.employeeId = aw.employeeId</w:t>
        <w:br/>
        <w:t>ORDER BY (COALESCE(ri.incidentCount, 0) &gt; 0) DESC,</w:t>
        <w:br/>
        <w:t xml:space="preserve">         (COALESCE(rc.concernCount, 0) &gt; 0) DESC,</w:t>
        <w:br/>
        <w:t xml:space="preserve">         COALESCE(w.overtimeHours, 0) DESC,</w:t>
        <w:br/>
        <w:t xml:space="preserve">         employeeName;</w:t>
      </w:r>
    </w:p>
    <w:p>
      <w:pPr>
        <w:widowControl/>
      </w:pPr>
      <w:r>
        <w:rPr>
          <w:rFonts w:ascii="Times New Roman" w:hAnsi="Times New Roman"/>
          <w:i w:val="0"/>
          <w:sz w:val="24"/>
        </w:rPr>
        <w:t>Query 4: actual MySQL 8.4.11 output, 2026-10-08. Combined supplied + test database; HR results use synthetic assessment records.</w:t>
      </w:r>
    </w:p>
    <w:tbl>
      <w:tblPr>
        <w:tblStyle w:val="TableGrid"/>
        <w:tblW w:type="dxa" w:w="13965"/>
        <w:tblLayout w:type="fixed"/>
        <w:tblLook w:firstColumn="1" w:firstRow="1" w:lastColumn="0" w:lastRow="0" w:noHBand="0" w:noVBand="1" w:val="04A0"/>
        <w:tblInd w:w="120" w:type="dxa"/>
      </w:tblPr>
      <w:tblGrid>
        <w:gridCol w:w="1012"/>
        <w:gridCol w:w="1518"/>
        <w:gridCol w:w="1417"/>
        <w:gridCol w:w="1923"/>
        <w:gridCol w:w="1214"/>
        <w:gridCol w:w="1315"/>
        <w:gridCol w:w="1518"/>
        <w:gridCol w:w="2125"/>
        <w:gridCol w:w="1923"/>
      </w:tblGrid>
      <w:tr>
        <w:trPr>
          <w:tblHeader w:val="true"/>
          <w:cantSplit/>
        </w:trPr>
        <w:tc>
          <w:tcPr>
            <w:tcW w:type="dxa" w:w="1012"/>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1518"/>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1923"/>
            <w:shd w:fill="DCE6F1"/>
            <w:vAlign w:val="center"/>
            <w:tcMar>
              <w:top w:w="80" w:type="dxa"/>
              <w:start w:w="100" w:type="dxa"/>
              <w:bottom w:w="80" w:type="dxa"/>
              <w:end w:w="100" w:type="dxa"/>
            </w:tcMar>
          </w:tcPr>
          <w:p>
            <w:pPr>
              <w:keepNext/>
              <w:jc w:val="center"/>
            </w:pPr>
            <w:r>
              <w:rPr>
                <w:rFonts w:ascii="Times New Roman" w:hAnsi="Times New Roman"/>
                <w:b/>
                <w:color w:val="1F2937"/>
                <w:sz w:val="16"/>
              </w:rPr>
              <w:t>roleName</w:t>
            </w:r>
          </w:p>
        </w:tc>
        <w:tc>
          <w:tcPr>
            <w:tcW w:type="dxa" w:w="1214"/>
            <w:shd w:fill="DCE6F1"/>
            <w:vAlign w:val="center"/>
            <w:tcMar>
              <w:top w:w="80" w:type="dxa"/>
              <w:start w:w="100" w:type="dxa"/>
              <w:bottom w:w="80" w:type="dxa"/>
              <w:end w:w="100" w:type="dxa"/>
            </w:tcMar>
          </w:tcPr>
          <w:p>
            <w:pPr>
              <w:keepNext/>
              <w:jc w:val="center"/>
            </w:pPr>
            <w:r>
              <w:rPr>
                <w:rFonts w:ascii="Times New Roman" w:hAnsi="Times New Roman"/>
                <w:b/>
                <w:color w:val="1F2937"/>
                <w:sz w:val="16"/>
              </w:rPr>
              <w:t>regularHours</w:t>
            </w:r>
          </w:p>
        </w:tc>
        <w:tc>
          <w:tcPr>
            <w:tcW w:type="dxa" w:w="1315"/>
            <w:shd w:fill="DCE6F1"/>
            <w:vAlign w:val="center"/>
            <w:tcMar>
              <w:top w:w="80" w:type="dxa"/>
              <w:start w:w="100" w:type="dxa"/>
              <w:bottom w:w="80" w:type="dxa"/>
              <w:end w:w="100" w:type="dxa"/>
            </w:tcMar>
          </w:tcPr>
          <w:p>
            <w:pPr>
              <w:keepNext/>
              <w:jc w:val="center"/>
            </w:pPr>
            <w:r>
              <w:rPr>
                <w:rFonts w:ascii="Times New Roman" w:hAnsi="Times New Roman"/>
                <w:b/>
                <w:color w:val="1F2937"/>
                <w:sz w:val="16"/>
              </w:rPr>
              <w:t>overtimeHours</w:t>
            </w:r>
          </w:p>
        </w:tc>
        <w:tc>
          <w:tcPr>
            <w:tcW w:type="dxa" w:w="1518"/>
            <w:shd w:fill="DCE6F1"/>
            <w:vAlign w:val="center"/>
            <w:tcMar>
              <w:top w:w="80" w:type="dxa"/>
              <w:start w:w="100" w:type="dxa"/>
              <w:bottom w:w="80" w:type="dxa"/>
              <w:end w:w="100" w:type="dxa"/>
            </w:tcMar>
          </w:tcPr>
          <w:p>
            <w:pPr>
              <w:keepNext/>
              <w:jc w:val="center"/>
            </w:pPr>
            <w:r>
              <w:rPr>
                <w:rFonts w:ascii="Times New Roman" w:hAnsi="Times New Roman"/>
                <w:b/>
                <w:color w:val="1F2937"/>
                <w:sz w:val="16"/>
              </w:rPr>
              <w:t>recentIncidents</w:t>
            </w:r>
          </w:p>
        </w:tc>
        <w:tc>
          <w:tcPr>
            <w:tcW w:type="dxa" w:w="2125"/>
            <w:shd w:fill="DCE6F1"/>
            <w:vAlign w:val="center"/>
            <w:tcMar>
              <w:top w:w="80" w:type="dxa"/>
              <w:start w:w="100" w:type="dxa"/>
              <w:bottom w:w="80" w:type="dxa"/>
              <w:end w:w="100" w:type="dxa"/>
            </w:tcMar>
          </w:tcPr>
          <w:p>
            <w:pPr>
              <w:keepNext/>
              <w:jc w:val="center"/>
            </w:pPr>
            <w:r>
              <w:rPr>
                <w:rFonts w:ascii="Times New Roman" w:hAnsi="Times New Roman"/>
                <w:b/>
                <w:color w:val="1F2937"/>
                <w:sz w:val="16"/>
              </w:rPr>
              <w:t>wellbeingConcernCount</w:t>
            </w:r>
          </w:p>
        </w:tc>
        <w:tc>
          <w:tcPr>
            <w:tcW w:type="dxa" w:w="1923"/>
            <w:shd w:fill="DCE6F1"/>
            <w:vAlign w:val="center"/>
            <w:tcMar>
              <w:top w:w="80" w:type="dxa"/>
              <w:start w:w="100" w:type="dxa"/>
              <w:bottom w:w="80" w:type="dxa"/>
              <w:end w:w="100" w:type="dxa"/>
            </w:tcMar>
          </w:tcPr>
          <w:p>
            <w:pPr>
              <w:keepNext/>
              <w:jc w:val="center"/>
            </w:pPr>
            <w:r>
              <w:rPr>
                <w:rFonts w:ascii="Times New Roman" w:hAnsi="Times New Roman"/>
                <w:b/>
                <w:color w:val="1F2937"/>
                <w:sz w:val="16"/>
              </w:rPr>
              <w:t>recommendedAction</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EMP0011</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Jack Moore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Cellar Hand</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7.00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EMP0009</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Leo Wilson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7.00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EMP0005</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Liam Singh</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Winemaker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3.00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EMP0008</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Mia Taylor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3.00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EMP0013</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Finn Walker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16.00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1.00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SUPERVISOR REVIEW</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EMP0002</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Amelia Hart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Vineyard Supervisor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EMP0006</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Ava Martin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Administration</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HR Manager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EMP0001</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Christine Cloud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Administration</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Owner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EMP0007</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Ethan Brown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Administration</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Safety Officer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EMP0004</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Isla Chen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Winemaker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EMP0003</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Noah Reed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Grape Farmer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EMP0012</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Ruby Thomas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Cellar Hand</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12.00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r>
        <w:trPr>
          <w:cantSplit/>
        </w:trPr>
        <w:tc>
          <w:tcPr>
            <w:tcW w:type="dxa" w:w="1012"/>
            <w:vAlign w:val="center"/>
            <w:tcMar>
              <w:top w:w="80" w:type="dxa"/>
              <w:start w:w="100" w:type="dxa"/>
              <w:bottom w:w="80" w:type="dxa"/>
              <w:end w:w="100" w:type="dxa"/>
            </w:tcMar>
          </w:tcPr>
          <w:p>
            <w:pPr>
              <w:keepNext w:val="0"/>
              <w:spacing w:after="0"/>
            </w:pPr>
            <w:r>
              <w:rPr>
                <w:rFonts w:ascii="Times New Roman" w:hAnsi="Times New Roman"/>
                <w:sz w:val="16"/>
              </w:rPr>
              <w:t>EMP0010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Zoe Davis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16"/>
              </w:rPr>
              <w:t>Vineyard</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Seasonal Picker</w:t>
            </w:r>
          </w:p>
        </w:tc>
        <w:tc>
          <w:tcPr>
            <w:tcW w:type="dxa" w:w="1214"/>
            <w:vAlign w:val="center"/>
            <w:tcMar>
              <w:top w:w="80" w:type="dxa"/>
              <w:start w:w="100" w:type="dxa"/>
              <w:bottom w:w="80" w:type="dxa"/>
              <w:end w:w="100" w:type="dxa"/>
            </w:tcMar>
          </w:tcPr>
          <w:p>
            <w:pPr>
              <w:keepNext w:val="0"/>
              <w:spacing w:after="0"/>
            </w:pPr>
            <w:r>
              <w:rPr>
                <w:rFonts w:ascii="Times New Roman" w:hAnsi="Times New Roman"/>
                <w:sz w:val="16"/>
              </w:rPr>
              <w:t>13.00</w:t>
            </w:r>
          </w:p>
        </w:tc>
        <w:tc>
          <w:tcPr>
            <w:tcW w:type="dxa" w:w="1315"/>
            <w:vAlign w:val="center"/>
            <w:tcMar>
              <w:top w:w="80" w:type="dxa"/>
              <w:start w:w="100" w:type="dxa"/>
              <w:bottom w:w="80" w:type="dxa"/>
              <w:end w:w="100" w:type="dxa"/>
            </w:tcMar>
          </w:tcPr>
          <w:p>
            <w:pPr>
              <w:keepNext w:val="0"/>
              <w:spacing w:after="0"/>
            </w:pPr>
            <w:r>
              <w:rPr>
                <w:rFonts w:ascii="Times New Roman" w:hAnsi="Times New Roman"/>
                <w:sz w:val="16"/>
              </w:rPr>
              <w:t>0.00</w:t>
            </w:r>
          </w:p>
        </w:tc>
        <w:tc>
          <w:tcPr>
            <w:tcW w:type="dxa" w:w="1518"/>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2125"/>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923"/>
            <w:vAlign w:val="center"/>
            <w:tcMar>
              <w:top w:w="80" w:type="dxa"/>
              <w:start w:w="100" w:type="dxa"/>
              <w:bottom w:w="80" w:type="dxa"/>
              <w:end w:w="100" w:type="dxa"/>
            </w:tcMar>
          </w:tcPr>
          <w:p>
            <w:pPr>
              <w:keepNext w:val="0"/>
              <w:spacing w:after="0"/>
            </w:pPr>
            <w:r>
              <w:rPr>
                <w:rFonts w:ascii="Times New Roman" w:hAnsi="Times New Roman"/>
                <w:sz w:val="16"/>
              </w:rPr>
              <w:t>NO RECENT INDICATOR</w:t>
            </w:r>
          </w:p>
        </w:tc>
      </w:tr>
    </w:tbl>
    <w:p>
      <w:pPr>
        <w:spacing w:after="0"/>
      </w:pPr>
    </w:p>
    <w:p>
      <w:pPr>
        <w:keepNext/>
        <w:jc w:val="center"/>
      </w:pPr>
      <w:r>
        <w:drawing>
          <wp:inline xmlns:a="http://schemas.openxmlformats.org/drawingml/2006/main" xmlns:pic="http://schemas.openxmlformats.org/drawingml/2006/picture">
            <wp:extent cx="6945421" cy="4937760"/>
            <wp:docPr id="27" name="Picture 27"/>
            <wp:cNvGraphicFramePr>
              <a:graphicFrameLocks noChangeAspect="1"/>
            </wp:cNvGraphicFramePr>
            <a:graphic>
              <a:graphicData uri="http://schemas.openxmlformats.org/drawingml/2006/picture">
                <pic:pic>
                  <pic:nvPicPr>
                    <pic:cNvPr id="0" name="query04-left.png"/>
                    <pic:cNvPicPr/>
                  </pic:nvPicPr>
                  <pic:blipFill>
                    <a:blip r:embed="rId33"/>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4: genuine Workbench query04-left, combined supplied + test database, 2026-10-08</w:t>
      </w:r>
    </w:p>
    <w:p>
      <w:pPr>
        <w:pStyle w:val="Heading2"/>
      </w:pPr>
      <w:r>
        <w:t>Query 5 — Expiring qualifications stored procedure</w:t>
      </w:r>
    </w:p>
    <w:p>
      <w:pPr>
        <w:pStyle w:val="Heading3"/>
      </w:pPr>
      <w:r>
        <w:t>How the query works</w:t>
      </w:r>
    </w:p>
    <w:p>
      <w:pPr>
        <w:widowControl/>
      </w:pPr>
      <w:r>
        <w:rPr>
          <w:rFonts w:ascii="Times New Roman" w:hAnsi="Times New Roman"/>
          <w:i w:val="0"/>
          <w:sz w:val="24"/>
        </w:rPr>
        <w:t>getExpiringQualifications(daysAhead) validates that the parameter is non-NULL and from 0 to 730. It joins employeequalification, employee and qualification, filters expiry dates between today and today plus the requested horizon, calculates daysUntilExpiry, and sorts by expiry date.</w:t>
      </w:r>
    </w:p>
    <w:p>
      <w:pPr>
        <w:widowControl/>
      </w:pPr>
      <w:r>
        <w:rPr>
          <w:rFonts w:ascii="Times New Roman" w:hAnsi="Times New Roman"/>
          <w:i w:val="0"/>
          <w:sz w:val="24"/>
        </w:rPr>
        <w:t>The demonstration calls the same procedure with 30 and 90 days, proving that the database logic is reusable rather than hard-coded to one report period.</w:t>
      </w:r>
    </w:p>
    <w:p>
      <w:pPr>
        <w:pStyle w:val="Heading3"/>
      </w:pPr>
      <w:r>
        <w:t>Business use and action</w:t>
      </w:r>
    </w:p>
    <w:p>
      <w:pPr>
        <w:widowControl/>
      </w:pPr>
      <w:r>
        <w:rPr>
          <w:rFonts w:ascii="Times New Roman" w:hAnsi="Times New Roman"/>
          <w:i w:val="0"/>
          <w:sz w:val="24"/>
        </w:rPr>
        <w:t>HR and supervisors use the short horizon for urgent renewal booking and the longer horizon for planning budgets, rosters and course capacity.</w:t>
      </w:r>
    </w:p>
    <w:p>
      <w:pPr>
        <w:pStyle w:val="Heading3"/>
      </w:pPr>
      <w:r>
        <w:t>Actual result — frozen MySQL 8.4.11 build, 2026-10-08</w:t>
      </w:r>
    </w:p>
    <w:p>
      <w:pPr>
        <w:widowControl/>
      </w:pPr>
      <w:r>
        <w:rPr>
          <w:rFonts w:ascii="Times New Roman" w:hAnsi="Times New Roman"/>
          <w:i w:val="0"/>
          <w:sz w:val="24"/>
        </w:rPr>
        <w:t>- CALL getExpiringQualifications(30) returns EMP0002 / First Aid Certificate / 25 days.</w:t>
      </w:r>
    </w:p>
    <w:p>
      <w:pPr>
        <w:widowControl/>
      </w:pPr>
      <w:r>
        <w:rPr>
          <w:rFonts w:ascii="Times New Roman" w:hAnsi="Times New Roman"/>
          <w:i w:val="0"/>
          <w:sz w:val="24"/>
        </w:rPr>
        <w:t>- CALL getExpiringQualifications(90) returns the same record plus EMP0003 / Chemical Handling Permit / 80 days.</w:t>
      </w:r>
    </w:p>
    <w:p>
      <w:pPr>
        <w:widowControl/>
      </w:pPr>
      <w:r>
        <w:rPr>
          <w:rFonts w:ascii="Times New Roman" w:hAnsi="Times New Roman"/>
          <w:i w:val="0"/>
          <w:sz w:val="24"/>
        </w:rPr>
        <w:t>The operational action is to book EMP0002 first and include EMP0003 in the next planning cycle.</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Expiry records require issuer validation; plan and confirm renewals before roster decisions.</w:t>
            </w:r>
          </w:p>
        </w:tc>
      </w:tr>
    </w:tbl>
    <w:p>
      <w:pPr>
        <w:spacing w:after="0"/>
      </w:pPr>
    </w:p>
    <w:p>
      <w:pPr>
        <w:spacing w:after="60"/>
      </w:pPr>
      <w:r>
        <w:rPr>
          <w:rFonts w:ascii="Times New Roman" w:hAnsi="Times New Roman"/>
          <w:b/>
          <w:color w:val="5B6573"/>
          <w:sz w:val="18"/>
        </w:rPr>
        <w:t>Query 5 SQL</w:t>
      </w:r>
    </w:p>
    <w:p>
      <w:pPr>
        <w:spacing w:after="120"/>
        <w:ind w:left="173" w:right="173"/>
        <w:shd w:fill="F2F4F7"/>
      </w:pPr>
      <w:r>
        <w:rPr>
          <w:rFonts w:ascii="Menlo" w:hAnsi="Menlo"/>
          <w:color w:val="111827"/>
          <w:sz w:val="15"/>
        </w:rPr>
        <w:t>USE cloudrestwines;</w:t>
        <w:br/>
        <w:t>-- Video demonstration must call both parameter values.</w:t>
        <w:br/>
        <w:t>CALL getExpiringQualifications(30);</w:t>
        <w:br/>
        <w:t>CALL getExpiringQualifications(90);</w:t>
      </w:r>
    </w:p>
    <w:p>
      <w:pPr>
        <w:widowControl/>
      </w:pPr>
      <w:r>
        <w:rPr>
          <w:rFonts w:ascii="Times New Roman" w:hAnsi="Times New Roman"/>
          <w:i w:val="0"/>
          <w:sz w:val="24"/>
        </w:rPr>
        <w:t>Query 5: actual MySQL 8.4.11 output, 2026-10-08. Combined supplied + test database; HR results use synthetic assessment records.</w:t>
      </w:r>
    </w:p>
    <w:tbl>
      <w:tblPr>
        <w:tblStyle w:val="TableGrid"/>
        <w:tblW w:type="dxa" w:w="13965"/>
        <w:tblLayout w:type="fixed"/>
        <w:tblLook w:firstColumn="1" w:firstRow="1" w:lastColumn="0" w:lastRow="0" w:noHBand="0" w:noVBand="1" w:val="04A0"/>
        <w:tblInd w:w="120" w:type="dxa"/>
      </w:tblPr>
      <w:tblGrid>
        <w:gridCol w:w="1662"/>
        <w:gridCol w:w="1995"/>
        <w:gridCol w:w="3492"/>
        <w:gridCol w:w="2660"/>
        <w:gridCol w:w="1662"/>
        <w:gridCol w:w="2494"/>
      </w:tblGrid>
      <w:tr>
        <w:trPr>
          <w:tblHeader w:val="true"/>
          <w:cantSplit/>
        </w:trPr>
        <w:tc>
          <w:tcPr>
            <w:tcW w:type="dxa" w:w="1662"/>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1995"/>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3492"/>
            <w:shd w:fill="DCE6F1"/>
            <w:vAlign w:val="center"/>
            <w:tcMar>
              <w:top w:w="80" w:type="dxa"/>
              <w:start w:w="100" w:type="dxa"/>
              <w:bottom w:w="80" w:type="dxa"/>
              <w:end w:w="100" w:type="dxa"/>
            </w:tcMar>
          </w:tcPr>
          <w:p>
            <w:pPr>
              <w:keepNext/>
              <w:jc w:val="center"/>
            </w:pPr>
            <w:r>
              <w:rPr>
                <w:rFonts w:ascii="Times New Roman" w:hAnsi="Times New Roman"/>
                <w:b/>
                <w:color w:val="1F2937"/>
                <w:sz w:val="16"/>
              </w:rPr>
              <w:t>qualificationName</w:t>
            </w:r>
          </w:p>
        </w:tc>
        <w:tc>
          <w:tcPr>
            <w:tcW w:type="dxa" w:w="2660"/>
            <w:shd w:fill="DCE6F1"/>
            <w:vAlign w:val="center"/>
            <w:tcMar>
              <w:top w:w="80" w:type="dxa"/>
              <w:start w:w="100" w:type="dxa"/>
              <w:bottom w:w="80" w:type="dxa"/>
              <w:end w:w="100" w:type="dxa"/>
            </w:tcMar>
          </w:tcPr>
          <w:p>
            <w:pPr>
              <w:keepNext/>
              <w:jc w:val="center"/>
            </w:pPr>
            <w:r>
              <w:rPr>
                <w:rFonts w:ascii="Times New Roman" w:hAnsi="Times New Roman"/>
                <w:b/>
                <w:color w:val="1F2937"/>
                <w:sz w:val="16"/>
              </w:rPr>
              <w:t>isSafetyCritical</w:t>
            </w:r>
          </w:p>
        </w:tc>
        <w:tc>
          <w:tcPr>
            <w:tcW w:type="dxa" w:w="1662"/>
            <w:shd w:fill="DCE6F1"/>
            <w:vAlign w:val="center"/>
            <w:tcMar>
              <w:top w:w="80" w:type="dxa"/>
              <w:start w:w="100" w:type="dxa"/>
              <w:bottom w:w="80" w:type="dxa"/>
              <w:end w:w="100" w:type="dxa"/>
            </w:tcMar>
          </w:tcPr>
          <w:p>
            <w:pPr>
              <w:keepNext/>
              <w:jc w:val="center"/>
            </w:pPr>
            <w:r>
              <w:rPr>
                <w:rFonts w:ascii="Times New Roman" w:hAnsi="Times New Roman"/>
                <w:b/>
                <w:color w:val="1F2937"/>
                <w:sz w:val="16"/>
              </w:rPr>
              <w:t>expiryDate</w:t>
            </w:r>
          </w:p>
        </w:tc>
        <w:tc>
          <w:tcPr>
            <w:tcW w:type="dxa" w:w="2494"/>
            <w:shd w:fill="DCE6F1"/>
            <w:vAlign w:val="center"/>
            <w:tcMar>
              <w:top w:w="80" w:type="dxa"/>
              <w:start w:w="100" w:type="dxa"/>
              <w:bottom w:w="80" w:type="dxa"/>
              <w:end w:w="100" w:type="dxa"/>
            </w:tcMar>
          </w:tcPr>
          <w:p>
            <w:pPr>
              <w:keepNext/>
              <w:jc w:val="center"/>
            </w:pPr>
            <w:r>
              <w:rPr>
                <w:rFonts w:ascii="Times New Roman" w:hAnsi="Times New Roman"/>
                <w:b/>
                <w:color w:val="1F2937"/>
                <w:sz w:val="16"/>
              </w:rPr>
              <w:t>daysUntilExpiry</w:t>
            </w:r>
          </w:p>
        </w:tc>
      </w:tr>
      <w:tr>
        <w:trPr>
          <w:cantSplit/>
        </w:trPr>
        <w:tc>
          <w:tcPr>
            <w:tcW w:type="dxa" w:w="1662"/>
            <w:vAlign w:val="center"/>
            <w:tcMar>
              <w:top w:w="80" w:type="dxa"/>
              <w:start w:w="100" w:type="dxa"/>
              <w:bottom w:w="80" w:type="dxa"/>
              <w:end w:w="100" w:type="dxa"/>
            </w:tcMar>
          </w:tcPr>
          <w:p>
            <w:pPr>
              <w:keepNext w:val="0"/>
              <w:spacing w:after="0"/>
            </w:pPr>
            <w:r>
              <w:rPr>
                <w:rFonts w:ascii="Times New Roman" w:hAnsi="Times New Roman"/>
                <w:sz w:val="16"/>
              </w:rPr>
              <w:t>EMP0002</w:t>
            </w:r>
          </w:p>
        </w:tc>
        <w:tc>
          <w:tcPr>
            <w:tcW w:type="dxa" w:w="1995"/>
            <w:vAlign w:val="center"/>
            <w:tcMar>
              <w:top w:w="80" w:type="dxa"/>
              <w:start w:w="100" w:type="dxa"/>
              <w:bottom w:w="80" w:type="dxa"/>
              <w:end w:w="100" w:type="dxa"/>
            </w:tcMar>
          </w:tcPr>
          <w:p>
            <w:pPr>
              <w:keepNext w:val="0"/>
              <w:spacing w:after="0"/>
            </w:pPr>
            <w:r>
              <w:rPr>
                <w:rFonts w:ascii="Times New Roman" w:hAnsi="Times New Roman"/>
                <w:sz w:val="16"/>
              </w:rPr>
              <w:t>Amelia Hart</w:t>
            </w:r>
          </w:p>
        </w:tc>
        <w:tc>
          <w:tcPr>
            <w:tcW w:type="dxa" w:w="3492"/>
            <w:vAlign w:val="center"/>
            <w:tcMar>
              <w:top w:w="80" w:type="dxa"/>
              <w:start w:w="100" w:type="dxa"/>
              <w:bottom w:w="80" w:type="dxa"/>
              <w:end w:w="100" w:type="dxa"/>
            </w:tcMar>
          </w:tcPr>
          <w:p>
            <w:pPr>
              <w:keepNext w:val="0"/>
              <w:spacing w:after="0"/>
            </w:pPr>
            <w:r>
              <w:rPr>
                <w:rFonts w:ascii="Times New Roman" w:hAnsi="Times New Roman"/>
                <w:sz w:val="16"/>
              </w:rPr>
              <w:t>First Aid Certificate</w:t>
            </w:r>
          </w:p>
        </w:tc>
        <w:tc>
          <w:tcPr>
            <w:tcW w:type="dxa" w:w="2660"/>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662"/>
            <w:vAlign w:val="center"/>
            <w:tcMar>
              <w:top w:w="80" w:type="dxa"/>
              <w:start w:w="100" w:type="dxa"/>
              <w:bottom w:w="80" w:type="dxa"/>
              <w:end w:w="100" w:type="dxa"/>
            </w:tcMar>
          </w:tcPr>
          <w:p>
            <w:pPr>
              <w:keepNext w:val="0"/>
              <w:spacing w:after="0"/>
            </w:pPr>
            <w:r>
              <w:rPr>
                <w:rFonts w:ascii="Times New Roman" w:hAnsi="Times New Roman"/>
                <w:sz w:val="16"/>
              </w:rPr>
              <w:t>2026-11-02</w:t>
            </w:r>
          </w:p>
        </w:tc>
        <w:tc>
          <w:tcPr>
            <w:tcW w:type="dxa" w:w="2494"/>
            <w:vAlign w:val="center"/>
            <w:tcMar>
              <w:top w:w="80" w:type="dxa"/>
              <w:start w:w="100" w:type="dxa"/>
              <w:bottom w:w="80" w:type="dxa"/>
              <w:end w:w="100" w:type="dxa"/>
            </w:tcMar>
          </w:tcPr>
          <w:p>
            <w:pPr>
              <w:keepNext w:val="0"/>
              <w:spacing w:after="0"/>
            </w:pPr>
            <w:r>
              <w:rPr>
                <w:rFonts w:ascii="Times New Roman" w:hAnsi="Times New Roman"/>
                <w:sz w:val="16"/>
              </w:rPr>
              <w:t>25</w:t>
            </w:r>
          </w:p>
        </w:tc>
      </w:tr>
    </w:tbl>
    <w:p>
      <w:pPr>
        <w:spacing w:after="0"/>
      </w:pPr>
    </w:p>
    <w:tbl>
      <w:tblPr>
        <w:tblStyle w:val="TableGrid"/>
        <w:tblW w:type="dxa" w:w="13965"/>
        <w:tblLayout w:type="fixed"/>
        <w:tblLook w:firstColumn="1" w:firstRow="1" w:lastColumn="0" w:lastRow="0" w:noHBand="0" w:noVBand="1" w:val="04A0"/>
        <w:tblInd w:w="120" w:type="dxa"/>
      </w:tblPr>
      <w:tblGrid>
        <w:gridCol w:w="1605"/>
        <w:gridCol w:w="1926"/>
        <w:gridCol w:w="3853"/>
        <w:gridCol w:w="2568"/>
        <w:gridCol w:w="1605"/>
        <w:gridCol w:w="2408"/>
      </w:tblGrid>
      <w:tr>
        <w:trPr>
          <w:tblHeader w:val="true"/>
          <w:cantSplit/>
        </w:trPr>
        <w:tc>
          <w:tcPr>
            <w:tcW w:type="dxa" w:w="1605"/>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employeeId</w:t>
            </w:r>
          </w:p>
        </w:tc>
        <w:tc>
          <w:tcPr>
            <w:tcW w:type="dxa" w:w="1926"/>
            <w:shd w:fill="DCE6F1"/>
            <w:vAlign w:val="center"/>
            <w:tcMar>
              <w:top w:w="80" w:type="dxa"/>
              <w:start w:w="100" w:type="dxa"/>
              <w:bottom w:w="80" w:type="dxa"/>
              <w:end w:w="100" w:type="dxa"/>
            </w:tcMar>
          </w:tcPr>
          <w:p>
            <w:pPr>
              <w:keepNext/>
              <w:jc w:val="center"/>
            </w:pPr>
            <w:r>
              <w:rPr>
                <w:rFonts w:ascii="Times New Roman" w:hAnsi="Times New Roman"/>
                <w:b/>
                <w:color w:val="1F2937"/>
                <w:sz w:val="16"/>
              </w:rPr>
              <w:t>employeeName</w:t>
            </w:r>
          </w:p>
        </w:tc>
        <w:tc>
          <w:tcPr>
            <w:tcW w:type="dxa" w:w="3853"/>
            <w:shd w:fill="DCE6F1"/>
            <w:vAlign w:val="center"/>
            <w:tcMar>
              <w:top w:w="80" w:type="dxa"/>
              <w:start w:w="100" w:type="dxa"/>
              <w:bottom w:w="80" w:type="dxa"/>
              <w:end w:w="100" w:type="dxa"/>
            </w:tcMar>
          </w:tcPr>
          <w:p>
            <w:pPr>
              <w:keepNext/>
              <w:jc w:val="center"/>
            </w:pPr>
            <w:r>
              <w:rPr>
                <w:rFonts w:ascii="Times New Roman" w:hAnsi="Times New Roman"/>
                <w:b/>
                <w:color w:val="1F2937"/>
                <w:sz w:val="16"/>
              </w:rPr>
              <w:t>qualificationName</w:t>
            </w:r>
          </w:p>
        </w:tc>
        <w:tc>
          <w:tcPr>
            <w:tcW w:type="dxa" w:w="2568"/>
            <w:shd w:fill="DCE6F1"/>
            <w:vAlign w:val="center"/>
            <w:tcMar>
              <w:top w:w="80" w:type="dxa"/>
              <w:start w:w="100" w:type="dxa"/>
              <w:bottom w:w="80" w:type="dxa"/>
              <w:end w:w="100" w:type="dxa"/>
            </w:tcMar>
          </w:tcPr>
          <w:p>
            <w:pPr>
              <w:keepNext/>
              <w:jc w:val="center"/>
            </w:pPr>
            <w:r>
              <w:rPr>
                <w:rFonts w:ascii="Times New Roman" w:hAnsi="Times New Roman"/>
                <w:b/>
                <w:color w:val="1F2937"/>
                <w:sz w:val="16"/>
              </w:rPr>
              <w:t>isSafetyCritical</w:t>
            </w:r>
          </w:p>
        </w:tc>
        <w:tc>
          <w:tcPr>
            <w:tcW w:type="dxa" w:w="1605"/>
            <w:shd w:fill="DCE6F1"/>
            <w:vAlign w:val="center"/>
            <w:tcMar>
              <w:top w:w="80" w:type="dxa"/>
              <w:start w:w="100" w:type="dxa"/>
              <w:bottom w:w="80" w:type="dxa"/>
              <w:end w:w="100" w:type="dxa"/>
            </w:tcMar>
          </w:tcPr>
          <w:p>
            <w:pPr>
              <w:keepNext/>
              <w:jc w:val="center"/>
            </w:pPr>
            <w:r>
              <w:rPr>
                <w:rFonts w:ascii="Times New Roman" w:hAnsi="Times New Roman"/>
                <w:b/>
                <w:color w:val="1F2937"/>
                <w:sz w:val="16"/>
              </w:rPr>
              <w:t>expiryDate</w:t>
            </w:r>
          </w:p>
        </w:tc>
        <w:tc>
          <w:tcPr>
            <w:tcW w:type="dxa" w:w="2408"/>
            <w:shd w:fill="DCE6F1"/>
            <w:vAlign w:val="center"/>
            <w:tcMar>
              <w:top w:w="80" w:type="dxa"/>
              <w:start w:w="100" w:type="dxa"/>
              <w:bottom w:w="80" w:type="dxa"/>
              <w:end w:w="100" w:type="dxa"/>
            </w:tcMar>
          </w:tcPr>
          <w:p>
            <w:pPr>
              <w:keepNext/>
              <w:jc w:val="center"/>
            </w:pPr>
            <w:r>
              <w:rPr>
                <w:rFonts w:ascii="Times New Roman" w:hAnsi="Times New Roman"/>
                <w:b/>
                <w:color w:val="1F2937"/>
                <w:sz w:val="16"/>
              </w:rPr>
              <w:t>daysUntilExpiry</w:t>
            </w:r>
          </w:p>
        </w:tc>
      </w:tr>
      <w:tr>
        <w:trPr>
          <w:cantSplit/>
        </w:trPr>
        <w:tc>
          <w:tcPr>
            <w:tcW w:type="dxa" w:w="1605"/>
            <w:vAlign w:val="center"/>
            <w:tcMar>
              <w:top w:w="80" w:type="dxa"/>
              <w:start w:w="100" w:type="dxa"/>
              <w:bottom w:w="80" w:type="dxa"/>
              <w:end w:w="100" w:type="dxa"/>
            </w:tcMar>
          </w:tcPr>
          <w:p>
            <w:pPr>
              <w:keepNext/>
              <w:spacing w:after="0"/>
            </w:pPr>
            <w:r>
              <w:rPr>
                <w:rFonts w:ascii="Times New Roman" w:hAnsi="Times New Roman"/>
                <w:sz w:val="16"/>
              </w:rPr>
              <w:t>EMP0002</w:t>
            </w:r>
          </w:p>
        </w:tc>
        <w:tc>
          <w:tcPr>
            <w:tcW w:type="dxa" w:w="1926"/>
            <w:vAlign w:val="center"/>
            <w:tcMar>
              <w:top w:w="80" w:type="dxa"/>
              <w:start w:w="100" w:type="dxa"/>
              <w:bottom w:w="80" w:type="dxa"/>
              <w:end w:w="100" w:type="dxa"/>
            </w:tcMar>
          </w:tcPr>
          <w:p>
            <w:pPr>
              <w:keepNext/>
              <w:spacing w:after="0"/>
            </w:pPr>
            <w:r>
              <w:rPr>
                <w:rFonts w:ascii="Times New Roman" w:hAnsi="Times New Roman"/>
                <w:sz w:val="16"/>
              </w:rPr>
              <w:t>Amelia Hart</w:t>
            </w:r>
          </w:p>
        </w:tc>
        <w:tc>
          <w:tcPr>
            <w:tcW w:type="dxa" w:w="3853"/>
            <w:vAlign w:val="center"/>
            <w:tcMar>
              <w:top w:w="80" w:type="dxa"/>
              <w:start w:w="100" w:type="dxa"/>
              <w:bottom w:w="80" w:type="dxa"/>
              <w:end w:w="100" w:type="dxa"/>
            </w:tcMar>
          </w:tcPr>
          <w:p>
            <w:pPr>
              <w:keepNext/>
              <w:spacing w:after="0"/>
            </w:pPr>
            <w:r>
              <w:rPr>
                <w:rFonts w:ascii="Times New Roman" w:hAnsi="Times New Roman"/>
                <w:sz w:val="16"/>
              </w:rPr>
              <w:t>First Aid Certificate</w:t>
            </w:r>
          </w:p>
        </w:tc>
        <w:tc>
          <w:tcPr>
            <w:tcW w:type="dxa" w:w="2568"/>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1605"/>
            <w:vAlign w:val="center"/>
            <w:tcMar>
              <w:top w:w="80" w:type="dxa"/>
              <w:start w:w="100" w:type="dxa"/>
              <w:bottom w:w="80" w:type="dxa"/>
              <w:end w:w="100" w:type="dxa"/>
            </w:tcMar>
          </w:tcPr>
          <w:p>
            <w:pPr>
              <w:keepNext/>
              <w:spacing w:after="0"/>
            </w:pPr>
            <w:r>
              <w:rPr>
                <w:rFonts w:ascii="Times New Roman" w:hAnsi="Times New Roman"/>
                <w:sz w:val="16"/>
              </w:rPr>
              <w:t>2026-11-02</w:t>
            </w:r>
          </w:p>
        </w:tc>
        <w:tc>
          <w:tcPr>
            <w:tcW w:type="dxa" w:w="2408"/>
            <w:vAlign w:val="center"/>
            <w:tcMar>
              <w:top w:w="80" w:type="dxa"/>
              <w:start w:w="100" w:type="dxa"/>
              <w:bottom w:w="80" w:type="dxa"/>
              <w:end w:w="100" w:type="dxa"/>
            </w:tcMar>
          </w:tcPr>
          <w:p>
            <w:pPr>
              <w:keepNext/>
              <w:spacing w:after="0"/>
            </w:pPr>
            <w:r>
              <w:rPr>
                <w:rFonts w:ascii="Times New Roman" w:hAnsi="Times New Roman"/>
                <w:sz w:val="16"/>
              </w:rPr>
              <w:t>25</w:t>
            </w:r>
          </w:p>
        </w:tc>
      </w:tr>
      <w:tr>
        <w:trPr>
          <w:cantSplit/>
        </w:trPr>
        <w:tc>
          <w:tcPr>
            <w:tcW w:type="dxa" w:w="1605"/>
            <w:vAlign w:val="center"/>
            <w:tcMar>
              <w:top w:w="80" w:type="dxa"/>
              <w:start w:w="100" w:type="dxa"/>
              <w:bottom w:w="80" w:type="dxa"/>
              <w:end w:w="100" w:type="dxa"/>
            </w:tcMar>
          </w:tcPr>
          <w:p>
            <w:pPr>
              <w:keepNext w:val="0"/>
              <w:spacing w:after="0"/>
            </w:pPr>
            <w:r>
              <w:rPr>
                <w:rFonts w:ascii="Times New Roman" w:hAnsi="Times New Roman"/>
                <w:sz w:val="16"/>
              </w:rPr>
              <w:t>EMP0003</w:t>
            </w:r>
          </w:p>
        </w:tc>
        <w:tc>
          <w:tcPr>
            <w:tcW w:type="dxa" w:w="1926"/>
            <w:vAlign w:val="center"/>
            <w:tcMar>
              <w:top w:w="80" w:type="dxa"/>
              <w:start w:w="100" w:type="dxa"/>
              <w:bottom w:w="80" w:type="dxa"/>
              <w:end w:w="100" w:type="dxa"/>
            </w:tcMar>
          </w:tcPr>
          <w:p>
            <w:pPr>
              <w:keepNext w:val="0"/>
              <w:spacing w:after="0"/>
            </w:pPr>
            <w:r>
              <w:rPr>
                <w:rFonts w:ascii="Times New Roman" w:hAnsi="Times New Roman"/>
                <w:sz w:val="16"/>
              </w:rPr>
              <w:t>Noah Reed</w:t>
            </w:r>
          </w:p>
        </w:tc>
        <w:tc>
          <w:tcPr>
            <w:tcW w:type="dxa" w:w="3853"/>
            <w:vAlign w:val="center"/>
            <w:tcMar>
              <w:top w:w="80" w:type="dxa"/>
              <w:start w:w="100" w:type="dxa"/>
              <w:bottom w:w="80" w:type="dxa"/>
              <w:end w:w="100" w:type="dxa"/>
            </w:tcMar>
          </w:tcPr>
          <w:p>
            <w:pPr>
              <w:keepNext w:val="0"/>
              <w:spacing w:after="0"/>
            </w:pPr>
            <w:r>
              <w:rPr>
                <w:rFonts w:ascii="Times New Roman" w:hAnsi="Times New Roman"/>
                <w:sz w:val="16"/>
              </w:rPr>
              <w:t>Chemical Handling Permit</w:t>
            </w:r>
          </w:p>
        </w:tc>
        <w:tc>
          <w:tcPr>
            <w:tcW w:type="dxa" w:w="2568"/>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1605"/>
            <w:vAlign w:val="center"/>
            <w:tcMar>
              <w:top w:w="80" w:type="dxa"/>
              <w:start w:w="100" w:type="dxa"/>
              <w:bottom w:w="80" w:type="dxa"/>
              <w:end w:w="100" w:type="dxa"/>
            </w:tcMar>
          </w:tcPr>
          <w:p>
            <w:pPr>
              <w:keepNext w:val="0"/>
              <w:spacing w:after="0"/>
            </w:pPr>
            <w:r>
              <w:rPr>
                <w:rFonts w:ascii="Times New Roman" w:hAnsi="Times New Roman"/>
                <w:sz w:val="16"/>
              </w:rPr>
              <w:t>2026-12-27</w:t>
            </w:r>
          </w:p>
        </w:tc>
        <w:tc>
          <w:tcPr>
            <w:tcW w:type="dxa" w:w="2408"/>
            <w:vAlign w:val="center"/>
            <w:tcMar>
              <w:top w:w="80" w:type="dxa"/>
              <w:start w:w="100" w:type="dxa"/>
              <w:bottom w:w="80" w:type="dxa"/>
              <w:end w:w="100" w:type="dxa"/>
            </w:tcMar>
          </w:tcPr>
          <w:p>
            <w:pPr>
              <w:keepNext w:val="0"/>
              <w:spacing w:after="0"/>
            </w:pPr>
            <w:r>
              <w:rPr>
                <w:rFonts w:ascii="Times New Roman" w:hAnsi="Times New Roman"/>
                <w:sz w:val="16"/>
              </w:rPr>
              <w:t>80</w:t>
            </w:r>
          </w:p>
        </w:tc>
      </w:tr>
    </w:tbl>
    <w:p>
      <w:pPr>
        <w:spacing w:after="0"/>
      </w:pPr>
    </w:p>
    <w:p>
      <w:pPr>
        <w:keepNext/>
        <w:jc w:val="center"/>
      </w:pPr>
      <w:r>
        <w:drawing>
          <wp:inline xmlns:a="http://schemas.openxmlformats.org/drawingml/2006/main" xmlns:pic="http://schemas.openxmlformats.org/drawingml/2006/picture">
            <wp:extent cx="6945421" cy="4937760"/>
            <wp:docPr id="28" name="Picture 28"/>
            <wp:cNvGraphicFramePr>
              <a:graphicFrameLocks noChangeAspect="1"/>
            </wp:cNvGraphicFramePr>
            <a:graphic>
              <a:graphicData uri="http://schemas.openxmlformats.org/drawingml/2006/picture">
                <pic:pic>
                  <pic:nvPicPr>
                    <pic:cNvPr id="0" name="query05-30days.png"/>
                    <pic:cNvPicPr/>
                  </pic:nvPicPr>
                  <pic:blipFill>
                    <a:blip r:embed="rId34"/>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5: genuine Workbench query05-30days, combined supplied + test database, 2026-10-08</w:t>
      </w:r>
    </w:p>
    <w:p>
      <w:pPr>
        <w:keepNext/>
        <w:jc w:val="center"/>
      </w:pPr>
      <w:r>
        <w:drawing>
          <wp:inline xmlns:a="http://schemas.openxmlformats.org/drawingml/2006/main" xmlns:pic="http://schemas.openxmlformats.org/drawingml/2006/picture">
            <wp:extent cx="6945421" cy="4937760"/>
            <wp:docPr id="29" name="Picture 29"/>
            <wp:cNvGraphicFramePr>
              <a:graphicFrameLocks noChangeAspect="1"/>
            </wp:cNvGraphicFramePr>
            <a:graphic>
              <a:graphicData uri="http://schemas.openxmlformats.org/drawingml/2006/picture">
                <pic:pic>
                  <pic:nvPicPr>
                    <pic:cNvPr id="0" name="query05-90days.png"/>
                    <pic:cNvPicPr/>
                  </pic:nvPicPr>
                  <pic:blipFill>
                    <a:blip r:embed="rId35"/>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5: genuine Workbench query05-90days, combined supplied + test database, 2026-10-08</w:t>
      </w:r>
    </w:p>
    <w:p>
      <w:pPr>
        <w:pStyle w:val="Heading2"/>
      </w:pPr>
      <w:r>
        <w:t>Query 6 — Open corrective actions View and EXPLAIN</w:t>
      </w:r>
    </w:p>
    <w:p>
      <w:pPr>
        <w:pStyle w:val="Heading3"/>
      </w:pPr>
      <w:r>
        <w:t>How the query works</w:t>
      </w:r>
    </w:p>
    <w:p>
      <w:pPr>
        <w:widowControl/>
      </w:pPr>
      <w:r>
        <w:rPr>
          <w:rFonts w:ascii="Times New Roman" w:hAnsi="Times New Roman"/>
          <w:i w:val="0"/>
          <w:sz w:val="24"/>
        </w:rPr>
        <w:t>openincidentaction joins correctiveaction, incident, operationalarea and the responsible employee. It excludes COMPLETED and CANCELLED actions and calculates daysOverdue with GREATEST(DATEDIFF(...),0).</w:t>
      </w:r>
    </w:p>
    <w:p>
      <w:pPr>
        <w:widowControl/>
      </w:pPr>
      <w:r>
        <w:rPr>
          <w:rFonts w:ascii="Times New Roman" w:hAnsi="Times New Roman"/>
          <w:i w:val="0"/>
          <w:sz w:val="24"/>
        </w:rPr>
        <w:t>The management query reads the view and orders overdue rows first, then severity, overdue days and target date. EXPLAIN is executed on the same final query to inspect the access plan.</w:t>
      </w:r>
    </w:p>
    <w:p>
      <w:pPr>
        <w:pStyle w:val="Heading3"/>
      </w:pPr>
      <w:r>
        <w:t>Business use and action</w:t>
      </w:r>
    </w:p>
    <w:p>
      <w:pPr>
        <w:widowControl/>
      </w:pPr>
      <w:r>
        <w:rPr>
          <w:rFonts w:ascii="Times New Roman" w:hAnsi="Times New Roman"/>
          <w:i w:val="0"/>
          <w:sz w:val="24"/>
        </w:rPr>
        <w:t>The Safety Officer and managers use this list to prevent corrective actions from disappearing after an incident is recorded. Overdue actions should be escalated; high-severity actions approaching their target date should be resourced before they become overdue.</w:t>
      </w:r>
    </w:p>
    <w:p>
      <w:pPr>
        <w:pStyle w:val="Heading3"/>
      </w:pPr>
      <w:r>
        <w:t>Actual result — frozen MySQL 8.4.11 build, 2026-10-08</w:t>
      </w:r>
    </w:p>
    <w:p>
      <w:pPr>
        <w:widowControl/>
      </w:pPr>
      <w:r>
        <w:rPr>
          <w:rFonts w:ascii="Times New Roman" w:hAnsi="Times New Roman"/>
          <w:i w:val="0"/>
          <w:sz w:val="24"/>
        </w:rPr>
        <w:t>Two actions remain open:</w:t>
      </w:r>
    </w:p>
    <w:p>
      <w:pPr>
        <w:widowControl/>
      </w:pPr>
      <w:r>
        <w:rPr>
          <w:rFonts w:ascii="Times New Roman" w:hAnsi="Times New Roman"/>
          <w:i w:val="0"/>
          <w:sz w:val="24"/>
        </w:rPr>
        <w:t>- ACTN0001: 5 days overdue, Low-severity incident, status INPROGRESS.</w:t>
      </w:r>
    </w:p>
    <w:p>
      <w:pPr>
        <w:widowControl/>
      </w:pPr>
      <w:r>
        <w:rPr>
          <w:rFonts w:ascii="Times New Roman" w:hAnsi="Times New Roman"/>
          <w:i w:val="0"/>
          <w:sz w:val="24"/>
        </w:rPr>
        <w:t>- ACTN0002: not overdue (target in 14 days), High-severity incident, status OPEN.</w:t>
      </w:r>
    </w:p>
    <w:p>
      <w:pPr>
        <w:widowControl/>
      </w:pPr>
      <w:r>
        <w:rPr>
          <w:rFonts w:ascii="Times New Roman" w:hAnsi="Times New Roman"/>
          <w:i w:val="0"/>
          <w:sz w:val="24"/>
        </w:rPr>
        <w:t>The ordering places ACTN0001 first because it is already overdue. ACTN0002 still deserves attention because the underlying incident severity is High.</w:t>
      </w:r>
    </w:p>
    <w:p>
      <w:pPr>
        <w:pStyle w:val="Heading3"/>
      </w:pPr>
      <w:r>
        <w:t>EXPLAIN interpretation</w:t>
      </w:r>
    </w:p>
    <w:p>
      <w:pPr>
        <w:widowControl/>
      </w:pPr>
      <w:r>
        <w:rPr>
          <w:rFonts w:ascii="Times New Roman" w:hAnsi="Times New Roman"/>
          <w:i w:val="0"/>
          <w:sz w:val="24"/>
        </w:rPr>
        <w:t>The final Workbench and matching CLI EXPLAIN on 2026-10-08 starts with incident (i): ALL, estimated 3 rows, using temporary/filesort. correctiveaction (ca) uses ref on fk_action_incident, estimated 1 row and 66.67% filtered, using where. operationalarea and employee use eq_ref primary-key lookups, estimated 1 row. The plan remains ALL/ref/eq_ref after the combined-data rebuild. It does not establish production performance. Final screenshots and verification/final-query-results/06_openactions.tsv show the same plan.</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Risk / limitation: </w:t>
            </w:r>
            <w:r>
              <w:rPr>
                <w:rFonts w:ascii="Times New Roman" w:hAnsi="Times New Roman"/>
                <w:sz w:val="20"/>
              </w:rPr>
              <w:t>Open-action status needs timely updates; small-fixture EXPLAIN does not establish production performance.</w:t>
            </w:r>
          </w:p>
        </w:tc>
      </w:tr>
    </w:tbl>
    <w:p>
      <w:pPr>
        <w:spacing w:after="0"/>
      </w:pPr>
    </w:p>
    <w:p>
      <w:pPr>
        <w:spacing w:after="60"/>
      </w:pPr>
      <w:r>
        <w:rPr>
          <w:rFonts w:ascii="Times New Roman" w:hAnsi="Times New Roman"/>
          <w:b/>
          <w:color w:val="5B6573"/>
          <w:sz w:val="18"/>
        </w:rPr>
        <w:t>Query 6 SQL</w:t>
      </w:r>
    </w:p>
    <w:p>
      <w:pPr>
        <w:spacing w:after="120"/>
        <w:ind w:left="173" w:right="173"/>
        <w:shd w:fill="F2F4F7"/>
      </w:pPr>
      <w:r>
        <w:rPr>
          <w:rFonts w:ascii="Menlo" w:hAnsi="Menlo"/>
          <w:color w:val="111827"/>
          <w:sz w:val="15"/>
        </w:rPr>
        <w:t>USE cloudrestwines;</w:t>
        <w:br/>
        <w:t>-- View-based management query: prioritise overdue and high-severity corrective actions.</w:t>
        <w:br/>
        <w:t>SELECT correctiveActionId, incidentId, incidentDateTime, severity, areaName,</w:t>
        <w:br/>
        <w:t xml:space="preserve">       actionDescription, responsibleEmployee, targetDate, daysOverdue, actionStatus</w:t>
        <w:br/>
        <w:t>FROM openincidentaction</w:t>
        <w:br/>
        <w:t>ORDER BY (daysOverdue &gt; 0) DESC,</w:t>
        <w:br/>
        <w:t xml:space="preserve">         FIELD(severity,'CRITICAL','HIGH','MODERATE','LOW'),</w:t>
        <w:br/>
        <w:t xml:space="preserve">         daysOverdue DESC, targetDate;</w:t>
        <w:br/>
        <w:br/>
        <w:t>EXPLAIN</w:t>
        <w:br/>
        <w:t>SELECT correctiveActionId, incidentId, incidentDateTime, severity, areaName,</w:t>
        <w:br/>
        <w:t xml:space="preserve">       actionDescription, responsibleEmployee, targetDate, daysOverdue, actionStatus</w:t>
        <w:br/>
        <w:t>FROM openincidentaction</w:t>
        <w:br/>
        <w:t>ORDER BY (daysOverdue &gt; 0) DESC,</w:t>
        <w:br/>
        <w:t xml:space="preserve">         FIELD(severity,'CRITICAL','HIGH','MODERATE','LOW'),</w:t>
        <w:br/>
        <w:t xml:space="preserve">         daysOverdue DESC, targetDate;</w:t>
      </w:r>
    </w:p>
    <w:p>
      <w:pPr>
        <w:widowControl/>
      </w:pPr>
      <w:r>
        <w:rPr>
          <w:rFonts w:ascii="Times New Roman" w:hAnsi="Times New Roman"/>
          <w:i w:val="0"/>
          <w:sz w:val="24"/>
        </w:rPr>
        <w:t>Query 6: actual MySQL 8.4.11 output, 2026-10-08. Combined supplied + test database; HR results use synthetic assessment records.</w:t>
      </w:r>
    </w:p>
    <w:tbl>
      <w:tblPr>
        <w:tblStyle w:val="TableGrid"/>
        <w:tblW w:type="dxa" w:w="13964"/>
        <w:tblLayout w:type="fixed"/>
        <w:tblLook w:firstColumn="1" w:firstRow="1" w:lastColumn="0" w:lastRow="0" w:noHBand="0" w:noVBand="1" w:val="04A0"/>
        <w:tblInd w:w="120" w:type="dxa"/>
      </w:tblPr>
      <w:tblGrid>
        <w:gridCol w:w="1571"/>
        <w:gridCol w:w="873"/>
        <w:gridCol w:w="1658"/>
        <w:gridCol w:w="698"/>
        <w:gridCol w:w="698"/>
        <w:gridCol w:w="3928"/>
        <w:gridCol w:w="1658"/>
        <w:gridCol w:w="873"/>
        <w:gridCol w:w="960"/>
        <w:gridCol w:w="1047"/>
      </w:tblGrid>
      <w:tr>
        <w:trPr>
          <w:tblHeader w:val="true"/>
          <w:cantSplit/>
        </w:trPr>
        <w:tc>
          <w:tcPr>
            <w:tcW w:type="dxa" w:w="1571"/>
            <w:shd w:fill="DCE6F1"/>
            <w:vAlign w:val="center"/>
            <w:tcMar>
              <w:top w:w="80" w:type="dxa"/>
              <w:start w:w="100" w:type="dxa"/>
              <w:bottom w:w="80" w:type="dxa"/>
              <w:end w:w="100" w:type="dxa"/>
            </w:tcMar>
          </w:tcPr>
          <w:p>
            <w:pPr>
              <w:keepNext/>
              <w:jc w:val="center"/>
            </w:pPr>
            <w:r>
              <w:rPr>
                <w:rFonts w:ascii="Times New Roman" w:hAnsi="Times New Roman"/>
                <w:b/>
                <w:color w:val="1F2937"/>
                <w:sz w:val="16"/>
              </w:rPr>
              <w:t>correctiveActionId</w:t>
            </w:r>
          </w:p>
        </w:tc>
        <w:tc>
          <w:tcPr>
            <w:tcW w:type="dxa" w:w="873"/>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incidentId</w:t>
            </w:r>
          </w:p>
        </w:tc>
        <w:tc>
          <w:tcPr>
            <w:tcW w:type="dxa" w:w="1658"/>
            <w:shd w:fill="DCE6F1"/>
            <w:vAlign w:val="center"/>
            <w:tcMar>
              <w:top w:w="80" w:type="dxa"/>
              <w:start w:w="100" w:type="dxa"/>
              <w:bottom w:w="80" w:type="dxa"/>
              <w:end w:w="100" w:type="dxa"/>
            </w:tcMar>
          </w:tcPr>
          <w:p>
            <w:pPr>
              <w:keepNext/>
              <w:jc w:val="center"/>
            </w:pPr>
            <w:r>
              <w:rPr>
                <w:rFonts w:ascii="Times New Roman" w:hAnsi="Times New Roman"/>
                <w:b/>
                <w:color w:val="1F2937"/>
                <w:sz w:val="16"/>
              </w:rPr>
              <w:t>incidentDateTime</w:t>
            </w:r>
          </w:p>
        </w:tc>
        <w:tc>
          <w:tcPr>
            <w:tcW w:type="dxa" w:w="698"/>
            <w:shd w:fill="DCE6F1"/>
            <w:vAlign w:val="center"/>
            <w:tcMar>
              <w:top w:w="80" w:type="dxa"/>
              <w:start w:w="100" w:type="dxa"/>
              <w:bottom w:w="80" w:type="dxa"/>
              <w:end w:w="100" w:type="dxa"/>
            </w:tcMar>
          </w:tcPr>
          <w:p>
            <w:pPr>
              <w:keepNext/>
              <w:jc w:val="center"/>
            </w:pPr>
            <w:r>
              <w:rPr>
                <w:rFonts w:ascii="Times New Roman" w:hAnsi="Times New Roman"/>
                <w:b/>
                <w:color w:val="1F2937"/>
                <w:sz w:val="16"/>
              </w:rPr>
              <w:t>severity</w:t>
            </w:r>
          </w:p>
        </w:tc>
        <w:tc>
          <w:tcPr>
            <w:tcW w:type="dxa" w:w="698"/>
            <w:shd w:fill="DCE6F1"/>
            <w:vAlign w:val="center"/>
            <w:tcMar>
              <w:top w:w="80" w:type="dxa"/>
              <w:start w:w="100" w:type="dxa"/>
              <w:bottom w:w="80" w:type="dxa"/>
              <w:end w:w="100" w:type="dxa"/>
            </w:tcMar>
          </w:tcPr>
          <w:p>
            <w:pPr>
              <w:keepNext/>
              <w:jc w:val="center"/>
            </w:pPr>
            <w:r>
              <w:rPr>
                <w:rFonts w:ascii="Times New Roman" w:hAnsi="Times New Roman"/>
                <w:b/>
                <w:color w:val="1F2937"/>
                <w:sz w:val="16"/>
              </w:rPr>
              <w:t>areaName</w:t>
            </w:r>
          </w:p>
        </w:tc>
        <w:tc>
          <w:tcPr>
            <w:tcW w:type="dxa" w:w="3928"/>
            <w:shd w:fill="DCE6F1"/>
            <w:vAlign w:val="center"/>
            <w:tcMar>
              <w:top w:w="80" w:type="dxa"/>
              <w:start w:w="100" w:type="dxa"/>
              <w:bottom w:w="80" w:type="dxa"/>
              <w:end w:w="100" w:type="dxa"/>
            </w:tcMar>
          </w:tcPr>
          <w:p>
            <w:pPr>
              <w:keepNext/>
              <w:jc w:val="center"/>
            </w:pPr>
            <w:r>
              <w:rPr>
                <w:rFonts w:ascii="Times New Roman" w:hAnsi="Times New Roman"/>
                <w:b/>
                <w:color w:val="1F2937"/>
                <w:sz w:val="16"/>
              </w:rPr>
              <w:t>actionDescription</w:t>
            </w:r>
          </w:p>
        </w:tc>
        <w:tc>
          <w:tcPr>
            <w:tcW w:type="dxa" w:w="1658"/>
            <w:shd w:fill="DCE6F1"/>
            <w:vAlign w:val="center"/>
            <w:tcMar>
              <w:top w:w="80" w:type="dxa"/>
              <w:start w:w="100" w:type="dxa"/>
              <w:bottom w:w="80" w:type="dxa"/>
              <w:end w:w="100" w:type="dxa"/>
            </w:tcMar>
          </w:tcPr>
          <w:p>
            <w:pPr>
              <w:keepNext/>
              <w:jc w:val="center"/>
            </w:pPr>
            <w:r>
              <w:rPr>
                <w:rFonts w:ascii="Times New Roman" w:hAnsi="Times New Roman"/>
                <w:b/>
                <w:color w:val="1F2937"/>
                <w:sz w:val="16"/>
              </w:rPr>
              <w:t>responsibleEmployee</w:t>
            </w:r>
          </w:p>
        </w:tc>
        <w:tc>
          <w:tcPr>
            <w:tcW w:type="dxa" w:w="873"/>
            <w:shd w:fill="DCE6F1"/>
            <w:vAlign w:val="center"/>
            <w:tcMar>
              <w:top w:w="80" w:type="dxa"/>
              <w:start w:w="100" w:type="dxa"/>
              <w:bottom w:w="80" w:type="dxa"/>
              <w:end w:w="100" w:type="dxa"/>
            </w:tcMar>
          </w:tcPr>
          <w:p>
            <w:pPr>
              <w:keepNext/>
              <w:jc w:val="center"/>
            </w:pPr>
            <w:r>
              <w:rPr>
                <w:rFonts w:ascii="Times New Roman" w:hAnsi="Times New Roman"/>
                <w:b/>
                <w:color w:val="1F2937"/>
                <w:sz w:val="16"/>
              </w:rPr>
              <w:t>targetDate</w:t>
            </w:r>
          </w:p>
        </w:tc>
        <w:tc>
          <w:tcPr>
            <w:tcW w:type="dxa" w:w="960"/>
            <w:shd w:fill="DCE6F1"/>
            <w:vAlign w:val="center"/>
            <w:tcMar>
              <w:top w:w="80" w:type="dxa"/>
              <w:start w:w="100" w:type="dxa"/>
              <w:bottom w:w="80" w:type="dxa"/>
              <w:end w:w="100" w:type="dxa"/>
            </w:tcMar>
          </w:tcPr>
          <w:p>
            <w:pPr>
              <w:keepNext/>
              <w:jc w:val="center"/>
            </w:pPr>
            <w:r>
              <w:rPr>
                <w:rFonts w:ascii="Times New Roman" w:hAnsi="Times New Roman"/>
                <w:b/>
                <w:color w:val="1F2937"/>
                <w:sz w:val="16"/>
              </w:rPr>
              <w:t>daysOverdue</w:t>
            </w:r>
          </w:p>
        </w:tc>
        <w:tc>
          <w:tcPr>
            <w:tcW w:type="dxa" w:w="1047"/>
            <w:shd w:fill="DCE6F1"/>
            <w:vAlign w:val="center"/>
            <w:tcMar>
              <w:top w:w="80" w:type="dxa"/>
              <w:start w:w="100" w:type="dxa"/>
              <w:bottom w:w="80" w:type="dxa"/>
              <w:end w:w="100" w:type="dxa"/>
            </w:tcMar>
          </w:tcPr>
          <w:p>
            <w:pPr>
              <w:keepNext/>
              <w:jc w:val="center"/>
            </w:pPr>
            <w:r>
              <w:rPr>
                <w:rFonts w:ascii="Times New Roman" w:hAnsi="Times New Roman"/>
                <w:b/>
                <w:color w:val="1F2937"/>
                <w:sz w:val="16"/>
              </w:rPr>
              <w:t>actionStatus</w:t>
            </w:r>
          </w:p>
        </w:tc>
      </w:tr>
      <w:tr>
        <w:trPr>
          <w:cantSplit/>
        </w:trPr>
        <w:tc>
          <w:tcPr>
            <w:tcW w:type="dxa" w:w="1571"/>
            <w:vAlign w:val="center"/>
            <w:tcMar>
              <w:top w:w="80" w:type="dxa"/>
              <w:start w:w="100" w:type="dxa"/>
              <w:bottom w:w="80" w:type="dxa"/>
              <w:end w:w="100" w:type="dxa"/>
            </w:tcMar>
          </w:tcPr>
          <w:p>
            <w:pPr>
              <w:keepNext/>
              <w:spacing w:after="0"/>
            </w:pPr>
            <w:r>
              <w:rPr>
                <w:rFonts w:ascii="Times New Roman" w:hAnsi="Times New Roman"/>
                <w:sz w:val="16"/>
              </w:rPr>
              <w:t>ACTN0001</w:t>
            </w:r>
          </w:p>
        </w:tc>
        <w:tc>
          <w:tcPr>
            <w:tcW w:type="dxa" w:w="873"/>
            <w:vAlign w:val="center"/>
            <w:tcMar>
              <w:top w:w="80" w:type="dxa"/>
              <w:start w:w="100" w:type="dxa"/>
              <w:bottom w:w="80" w:type="dxa"/>
              <w:end w:w="100" w:type="dxa"/>
            </w:tcMar>
          </w:tcPr>
          <w:p>
            <w:pPr>
              <w:keepNext/>
              <w:spacing w:after="0"/>
            </w:pPr>
            <w:r>
              <w:rPr>
                <w:rFonts w:ascii="Times New Roman" w:hAnsi="Times New Roman"/>
                <w:sz w:val="16"/>
              </w:rPr>
              <w:t>INCD0001</w:t>
            </w:r>
          </w:p>
        </w:tc>
        <w:tc>
          <w:tcPr>
            <w:tcW w:type="dxa" w:w="1658"/>
            <w:vAlign w:val="center"/>
            <w:tcMar>
              <w:top w:w="80" w:type="dxa"/>
              <w:start w:w="100" w:type="dxa"/>
              <w:bottom w:w="80" w:type="dxa"/>
              <w:end w:w="100" w:type="dxa"/>
            </w:tcMar>
          </w:tcPr>
          <w:p>
            <w:pPr>
              <w:keepNext/>
              <w:spacing w:after="0"/>
            </w:pPr>
            <w:r>
              <w:rPr>
                <w:rFonts w:ascii="Times New Roman" w:hAnsi="Times New Roman"/>
                <w:sz w:val="16"/>
              </w:rPr>
              <w:t>2026-09-18 01:15:05</w:t>
            </w:r>
          </w:p>
        </w:tc>
        <w:tc>
          <w:tcPr>
            <w:tcW w:type="dxa" w:w="698"/>
            <w:vAlign w:val="center"/>
            <w:tcMar>
              <w:top w:w="80" w:type="dxa"/>
              <w:start w:w="100" w:type="dxa"/>
              <w:bottom w:w="80" w:type="dxa"/>
              <w:end w:w="100" w:type="dxa"/>
            </w:tcMar>
          </w:tcPr>
          <w:p>
            <w:pPr>
              <w:keepNext/>
              <w:spacing w:after="0"/>
            </w:pPr>
            <w:r>
              <w:rPr>
                <w:rFonts w:ascii="Times New Roman" w:hAnsi="Times New Roman"/>
                <w:sz w:val="16"/>
              </w:rPr>
              <w:t>LOW</w:t>
            </w:r>
          </w:p>
        </w:tc>
        <w:tc>
          <w:tcPr>
            <w:tcW w:type="dxa" w:w="698"/>
            <w:vAlign w:val="center"/>
            <w:tcMar>
              <w:top w:w="80" w:type="dxa"/>
              <w:start w:w="100" w:type="dxa"/>
              <w:bottom w:w="80" w:type="dxa"/>
              <w:end w:w="100" w:type="dxa"/>
            </w:tcMar>
          </w:tcPr>
          <w:p>
            <w:pPr>
              <w:keepNext/>
              <w:spacing w:after="0"/>
            </w:pPr>
            <w:r>
              <w:rPr>
                <w:rFonts w:ascii="Times New Roman" w:hAnsi="Times New Roman"/>
                <w:sz w:val="16"/>
              </w:rPr>
              <w:t>Vineyard</w:t>
            </w:r>
          </w:p>
        </w:tc>
        <w:tc>
          <w:tcPr>
            <w:tcW w:type="dxa" w:w="3928"/>
            <w:vAlign w:val="center"/>
            <w:tcMar>
              <w:top w:w="80" w:type="dxa"/>
              <w:start w:w="100" w:type="dxa"/>
              <w:bottom w:w="80" w:type="dxa"/>
              <w:end w:w="100" w:type="dxa"/>
            </w:tcMar>
          </w:tcPr>
          <w:p>
            <w:pPr>
              <w:keepNext/>
              <w:spacing w:after="0"/>
            </w:pPr>
            <w:r>
              <w:rPr>
                <w:rFonts w:ascii="Times New Roman" w:hAnsi="Times New Roman"/>
                <w:sz w:val="16"/>
              </w:rPr>
              <w:t>Install anti-slip surface and revise harvest briefing</w:t>
            </w:r>
          </w:p>
        </w:tc>
        <w:tc>
          <w:tcPr>
            <w:tcW w:type="dxa" w:w="1658"/>
            <w:vAlign w:val="center"/>
            <w:tcMar>
              <w:top w:w="80" w:type="dxa"/>
              <w:start w:w="100" w:type="dxa"/>
              <w:bottom w:w="80" w:type="dxa"/>
              <w:end w:w="100" w:type="dxa"/>
            </w:tcMar>
          </w:tcPr>
          <w:p>
            <w:pPr>
              <w:keepNext/>
              <w:spacing w:after="0"/>
            </w:pPr>
            <w:r>
              <w:rPr>
                <w:rFonts w:ascii="Times New Roman" w:hAnsi="Times New Roman"/>
                <w:sz w:val="16"/>
              </w:rPr>
              <w:t>Ethan Brown</w:t>
            </w:r>
          </w:p>
        </w:tc>
        <w:tc>
          <w:tcPr>
            <w:tcW w:type="dxa" w:w="873"/>
            <w:vAlign w:val="center"/>
            <w:tcMar>
              <w:top w:w="80" w:type="dxa"/>
              <w:start w:w="100" w:type="dxa"/>
              <w:bottom w:w="80" w:type="dxa"/>
              <w:end w:w="100" w:type="dxa"/>
            </w:tcMar>
          </w:tcPr>
          <w:p>
            <w:pPr>
              <w:keepNext/>
              <w:spacing w:after="0"/>
            </w:pPr>
            <w:r>
              <w:rPr>
                <w:rFonts w:ascii="Times New Roman" w:hAnsi="Times New Roman"/>
                <w:sz w:val="16"/>
              </w:rPr>
              <w:t>2026-10-03</w:t>
            </w:r>
          </w:p>
        </w:tc>
        <w:tc>
          <w:tcPr>
            <w:tcW w:type="dxa" w:w="960"/>
            <w:vAlign w:val="center"/>
            <w:tcMar>
              <w:top w:w="80" w:type="dxa"/>
              <w:start w:w="100" w:type="dxa"/>
              <w:bottom w:w="80" w:type="dxa"/>
              <w:end w:w="100" w:type="dxa"/>
            </w:tcMar>
          </w:tcPr>
          <w:p>
            <w:pPr>
              <w:keepNext/>
              <w:spacing w:after="0"/>
            </w:pPr>
            <w:r>
              <w:rPr>
                <w:rFonts w:ascii="Times New Roman" w:hAnsi="Times New Roman"/>
                <w:sz w:val="16"/>
              </w:rPr>
              <w:t>5</w:t>
            </w:r>
          </w:p>
        </w:tc>
        <w:tc>
          <w:tcPr>
            <w:tcW w:type="dxa" w:w="1047"/>
            <w:vAlign w:val="center"/>
            <w:tcMar>
              <w:top w:w="80" w:type="dxa"/>
              <w:start w:w="100" w:type="dxa"/>
              <w:bottom w:w="80" w:type="dxa"/>
              <w:end w:w="100" w:type="dxa"/>
            </w:tcMar>
          </w:tcPr>
          <w:p>
            <w:pPr>
              <w:keepNext/>
              <w:spacing w:after="0"/>
            </w:pPr>
            <w:r>
              <w:rPr>
                <w:rFonts w:ascii="Times New Roman" w:hAnsi="Times New Roman"/>
                <w:sz w:val="16"/>
              </w:rPr>
              <w:t>INPROGRESS</w:t>
            </w:r>
          </w:p>
        </w:tc>
      </w:tr>
      <w:tr>
        <w:trPr>
          <w:cantSplit/>
        </w:trPr>
        <w:tc>
          <w:tcPr>
            <w:tcW w:type="dxa" w:w="1571"/>
            <w:vAlign w:val="center"/>
            <w:tcMar>
              <w:top w:w="80" w:type="dxa"/>
              <w:start w:w="100" w:type="dxa"/>
              <w:bottom w:w="80" w:type="dxa"/>
              <w:end w:w="100" w:type="dxa"/>
            </w:tcMar>
          </w:tcPr>
          <w:p>
            <w:pPr>
              <w:keepNext w:val="0"/>
              <w:spacing w:after="0"/>
            </w:pPr>
            <w:r>
              <w:rPr>
                <w:rFonts w:ascii="Times New Roman" w:hAnsi="Times New Roman"/>
                <w:sz w:val="16"/>
              </w:rPr>
              <w:t>ACTN0002</w:t>
            </w:r>
          </w:p>
        </w:tc>
        <w:tc>
          <w:tcPr>
            <w:tcW w:type="dxa" w:w="873"/>
            <w:vAlign w:val="center"/>
            <w:tcMar>
              <w:top w:w="80" w:type="dxa"/>
              <w:start w:w="100" w:type="dxa"/>
              <w:bottom w:w="80" w:type="dxa"/>
              <w:end w:w="100" w:type="dxa"/>
            </w:tcMar>
          </w:tcPr>
          <w:p>
            <w:pPr>
              <w:keepNext w:val="0"/>
              <w:spacing w:after="0"/>
            </w:pPr>
            <w:r>
              <w:rPr>
                <w:rFonts w:ascii="Times New Roman" w:hAnsi="Times New Roman"/>
                <w:sz w:val="16"/>
              </w:rPr>
              <w:t>INCD0002</w:t>
            </w:r>
          </w:p>
        </w:tc>
        <w:tc>
          <w:tcPr>
            <w:tcW w:type="dxa" w:w="1658"/>
            <w:vAlign w:val="center"/>
            <w:tcMar>
              <w:top w:w="80" w:type="dxa"/>
              <w:start w:w="100" w:type="dxa"/>
              <w:bottom w:w="80" w:type="dxa"/>
              <w:end w:w="100" w:type="dxa"/>
            </w:tcMar>
          </w:tcPr>
          <w:p>
            <w:pPr>
              <w:keepNext w:val="0"/>
              <w:spacing w:after="0"/>
            </w:pPr>
            <w:r>
              <w:rPr>
                <w:rFonts w:ascii="Times New Roman" w:hAnsi="Times New Roman"/>
                <w:sz w:val="16"/>
              </w:rPr>
              <w:t>2026-09-28 01:15:05</w:t>
            </w:r>
          </w:p>
        </w:tc>
        <w:tc>
          <w:tcPr>
            <w:tcW w:type="dxa" w:w="698"/>
            <w:vAlign w:val="center"/>
            <w:tcMar>
              <w:top w:w="80" w:type="dxa"/>
              <w:start w:w="100" w:type="dxa"/>
              <w:bottom w:w="80" w:type="dxa"/>
              <w:end w:w="100" w:type="dxa"/>
            </w:tcMar>
          </w:tcPr>
          <w:p>
            <w:pPr>
              <w:keepNext w:val="0"/>
              <w:spacing w:after="0"/>
            </w:pPr>
            <w:r>
              <w:rPr>
                <w:rFonts w:ascii="Times New Roman" w:hAnsi="Times New Roman"/>
                <w:sz w:val="16"/>
              </w:rPr>
              <w:t>HIGH</w:t>
            </w:r>
          </w:p>
        </w:tc>
        <w:tc>
          <w:tcPr>
            <w:tcW w:type="dxa" w:w="698"/>
            <w:vAlign w:val="center"/>
            <w:tcMar>
              <w:top w:w="80" w:type="dxa"/>
              <w:start w:w="100" w:type="dxa"/>
              <w:bottom w:w="80" w:type="dxa"/>
              <w:end w:w="100" w:type="dxa"/>
            </w:tcMar>
          </w:tcPr>
          <w:p>
            <w:pPr>
              <w:keepNext w:val="0"/>
              <w:spacing w:after="0"/>
            </w:pPr>
            <w:r>
              <w:rPr>
                <w:rFonts w:ascii="Times New Roman" w:hAnsi="Times New Roman"/>
                <w:sz w:val="16"/>
              </w:rPr>
              <w:t>Cellar</w:t>
            </w:r>
          </w:p>
        </w:tc>
        <w:tc>
          <w:tcPr>
            <w:tcW w:type="dxa" w:w="3928"/>
            <w:vAlign w:val="center"/>
            <w:tcMar>
              <w:top w:w="80" w:type="dxa"/>
              <w:start w:w="100" w:type="dxa"/>
              <w:bottom w:w="80" w:type="dxa"/>
              <w:end w:w="100" w:type="dxa"/>
            </w:tcMar>
          </w:tcPr>
          <w:p>
            <w:pPr>
              <w:keepNext w:val="0"/>
              <w:spacing w:after="0"/>
            </w:pPr>
            <w:r>
              <w:rPr>
                <w:rFonts w:ascii="Times New Roman" w:hAnsi="Times New Roman"/>
                <w:sz w:val="16"/>
              </w:rPr>
              <w:t>Introduce mechanical lifting aid and refresher training</w:t>
            </w:r>
          </w:p>
        </w:tc>
        <w:tc>
          <w:tcPr>
            <w:tcW w:type="dxa" w:w="1658"/>
            <w:vAlign w:val="center"/>
            <w:tcMar>
              <w:top w:w="80" w:type="dxa"/>
              <w:start w:w="100" w:type="dxa"/>
              <w:bottom w:w="80" w:type="dxa"/>
              <w:end w:w="100" w:type="dxa"/>
            </w:tcMar>
          </w:tcPr>
          <w:p>
            <w:pPr>
              <w:keepNext w:val="0"/>
              <w:spacing w:after="0"/>
            </w:pPr>
            <w:r>
              <w:rPr>
                <w:rFonts w:ascii="Times New Roman" w:hAnsi="Times New Roman"/>
                <w:sz w:val="16"/>
              </w:rPr>
              <w:t>Ethan Brown</w:t>
            </w:r>
          </w:p>
        </w:tc>
        <w:tc>
          <w:tcPr>
            <w:tcW w:type="dxa" w:w="873"/>
            <w:vAlign w:val="center"/>
            <w:tcMar>
              <w:top w:w="80" w:type="dxa"/>
              <w:start w:w="100" w:type="dxa"/>
              <w:bottom w:w="80" w:type="dxa"/>
              <w:end w:w="100" w:type="dxa"/>
            </w:tcMar>
          </w:tcPr>
          <w:p>
            <w:pPr>
              <w:keepNext w:val="0"/>
              <w:spacing w:after="0"/>
            </w:pPr>
            <w:r>
              <w:rPr>
                <w:rFonts w:ascii="Times New Roman" w:hAnsi="Times New Roman"/>
                <w:sz w:val="16"/>
              </w:rPr>
              <w:t>2026-10-22</w:t>
            </w:r>
          </w:p>
        </w:tc>
        <w:tc>
          <w:tcPr>
            <w:tcW w:type="dxa" w:w="960"/>
            <w:vAlign w:val="center"/>
            <w:tcMar>
              <w:top w:w="80" w:type="dxa"/>
              <w:start w:w="100" w:type="dxa"/>
              <w:bottom w:w="80" w:type="dxa"/>
              <w:end w:w="100" w:type="dxa"/>
            </w:tcMar>
          </w:tcPr>
          <w:p>
            <w:pPr>
              <w:keepNext w:val="0"/>
              <w:spacing w:after="0"/>
            </w:pPr>
            <w:r>
              <w:rPr>
                <w:rFonts w:ascii="Times New Roman" w:hAnsi="Times New Roman"/>
                <w:sz w:val="16"/>
              </w:rPr>
              <w:t>0</w:t>
            </w:r>
          </w:p>
        </w:tc>
        <w:tc>
          <w:tcPr>
            <w:tcW w:type="dxa" w:w="1047"/>
            <w:vAlign w:val="center"/>
            <w:tcMar>
              <w:top w:w="80" w:type="dxa"/>
              <w:start w:w="100" w:type="dxa"/>
              <w:bottom w:w="80" w:type="dxa"/>
              <w:end w:w="100" w:type="dxa"/>
            </w:tcMar>
          </w:tcPr>
          <w:p>
            <w:pPr>
              <w:keepNext w:val="0"/>
              <w:spacing w:after="0"/>
            </w:pPr>
            <w:r>
              <w:rPr>
                <w:rFonts w:ascii="Times New Roman" w:hAnsi="Times New Roman"/>
                <w:sz w:val="16"/>
              </w:rPr>
              <w:t>OPEN</w:t>
            </w:r>
          </w:p>
        </w:tc>
      </w:tr>
    </w:tbl>
    <w:p>
      <w:pPr>
        <w:spacing w:after="0"/>
      </w:pPr>
    </w:p>
    <w:tbl>
      <w:tblPr>
        <w:tblStyle w:val="TableGrid"/>
        <w:tblW w:type="dxa" w:w="13962"/>
        <w:tblLayout w:type="fixed"/>
        <w:tblLook w:firstColumn="1" w:firstRow="1" w:lastColumn="0" w:lastRow="0" w:noHBand="0" w:noVBand="1" w:val="04A0"/>
        <w:tblInd w:w="120" w:type="dxa"/>
      </w:tblPr>
      <w:tblGrid>
        <w:gridCol w:w="150"/>
        <w:gridCol w:w="826"/>
        <w:gridCol w:w="375"/>
        <w:gridCol w:w="750"/>
        <w:gridCol w:w="450"/>
        <w:gridCol w:w="3379"/>
        <w:gridCol w:w="1351"/>
        <w:gridCol w:w="525"/>
        <w:gridCol w:w="2928"/>
        <w:gridCol w:w="300"/>
        <w:gridCol w:w="600"/>
        <w:gridCol w:w="2328"/>
      </w:tblGrid>
      <w:tr>
        <w:trPr>
          <w:tblHeader w:val="true"/>
          <w:cantSplit/>
        </w:trPr>
        <w:tc>
          <w:tcPr>
            <w:tcW w:type="dxa" w:w="150"/>
            <w:shd w:fill="DCE6F1"/>
            <w:vAlign w:val="center"/>
            <w:tcMar>
              <w:top w:w="80" w:type="dxa"/>
              <w:start w:w="100" w:type="dxa"/>
              <w:bottom w:w="80" w:type="dxa"/>
              <w:end w:w="100" w:type="dxa"/>
            </w:tcMar>
          </w:tcPr>
          <w:p>
            <w:pPr>
              <w:keepNext/>
              <w:jc w:val="center"/>
            </w:pPr>
            <w:r>
              <w:rPr>
                <w:rFonts w:ascii="Times New Roman" w:hAnsi="Times New Roman"/>
                <w:b/>
                <w:color w:val="1F2937"/>
                <w:sz w:val="16"/>
              </w:rPr>
              <w:t>id</w:t>
            </w:r>
          </w:p>
        </w:tc>
        <w:tc>
          <w:tcPr>
            <w:tcW w:type="dxa" w:w="826"/>
            <w:shd w:fill="DCE6F1"/>
            <w:vAlign w:val="center"/>
            <w:tcMar>
              <w:top w:w="80" w:type="dxa"/>
              <w:start w:w="100" w:type="dxa"/>
              <w:bottom w:w="80" w:type="dxa"/>
              <w:end w:w="100" w:type="dxa"/>
            </w:tcMar>
          </w:tcPr>
          <w:p>
            <w:pPr>
              <w:keepNext/>
              <w:jc w:val="center"/>
            </w:pPr>
            <w:r>
              <w:rPr>
                <w:rFonts w:ascii="Times New Roman" w:hAnsi="Times New Roman"/>
                <w:b/>
                <w:color w:val="1F2937"/>
                <w:sz w:val="16"/>
              </w:rPr>
              <w:t>select_type</w:t>
            </w:r>
          </w:p>
        </w:tc>
        <w:tc>
          <w:tcPr>
            <w:tcW w:type="dxa" w:w="375"/>
            <w:shd w:fill="DCE6F1"/>
            <w:vAlign w:val="center"/>
            <w:tcMar>
              <w:top w:w="80" w:type="dxa"/>
              <w:start w:w="100" w:type="dxa"/>
              <w:bottom w:w="80" w:type="dxa"/>
              <w:end w:w="100" w:type="dxa"/>
            </w:tcMar>
          </w:tcPr>
          <w:p>
            <w:pPr>
              <w:keepNext/>
              <w:jc w:val="center"/>
            </w:pPr>
            <w:r>
              <w:rPr>
                <w:rFonts w:ascii="Times New Roman" w:hAnsi="Times New Roman"/>
                <w:b/>
                <w:color w:val="1F2937"/>
                <w:sz w:val="16"/>
              </w:rPr>
              <w:t>table</w:t>
            </w:r>
          </w:p>
        </w:tc>
        <w:tc>
          <w:tcPr>
            <w:tcW w:type="dxa" w:w="750"/>
            <w:shd w:fill="DCE6F1"/>
            <w:vAlign w:val="center"/>
            <w:tcMar>
              <w:top w:w="80" w:type="dxa"/>
              <w:start w:w="100" w:type="dxa"/>
              <w:bottom w:w="80" w:type="dxa"/>
              <w:end w:w="100" w:type="dxa"/>
            </w:tcMar>
          </w:tcPr>
          <w:p>
            <w:pPr>
              <w:keepNext/>
              <w:jc w:val="center"/>
            </w:pPr>
            <w:r>
              <w:rPr>
                <w:rFonts w:ascii="Times New Roman" w:hAnsi="Times New Roman"/>
                <w:b/>
                <w:color w:val="1F2937"/>
                <w:sz w:val="16"/>
              </w:rPr>
              <w:t>partitions</w:t>
            </w:r>
          </w:p>
        </w:tc>
        <w:tc>
          <w:tcPr>
            <w:tcW w:type="dxa" w:w="450"/>
            <w:shd w:fill="DCE6F1"/>
            <w:vAlign w:val="center"/>
            <w:tcMar>
              <w:top w:w="80" w:type="dxa"/>
              <w:start w:w="100" w:type="dxa"/>
              <w:bottom w:w="80" w:type="dxa"/>
              <w:end w:w="100" w:type="dxa"/>
            </w:tcMar>
          </w:tcPr>
          <w:p>
            <w:pPr>
              <w:keepNext/>
              <w:jc w:val="center"/>
            </w:pPr>
            <w:r>
              <w:rPr>
                <w:rFonts w:ascii="Times New Roman" w:hAnsi="Times New Roman"/>
                <w:b/>
                <w:color w:val="1F2937"/>
                <w:sz w:val="16"/>
              </w:rPr>
              <w:t>type</w:t>
            </w:r>
          </w:p>
        </w:tc>
        <w:tc>
          <w:tcPr>
            <w:tcW w:type="dxa" w:w="3379"/>
            <w:shd w:fill="DCE6F1"/>
            <w:vAlign w:val="center"/>
            <w:tcMar>
              <w:top w:w="80" w:type="dxa"/>
              <w:start w:w="100" w:type="dxa"/>
              <w:bottom w:w="80" w:type="dxa"/>
              <w:end w:w="100" w:type="dxa"/>
            </w:tcMar>
          </w:tcPr>
          <w:p>
            <w:pPr>
              <w:keepNext/>
              <w:jc w:val="center"/>
            </w:pPr>
            <w:r>
              <w:rPr>
                <w:rFonts w:ascii="Times New Roman" w:hAnsi="Times New Roman"/>
                <w:b/>
                <w:color w:val="1F2937"/>
                <w:sz w:val="16"/>
              </w:rPr>
              <w:t>possible_keys</w:t>
            </w:r>
          </w:p>
        </w:tc>
        <w:tc>
          <w:tcPr>
            <w:tcW w:type="dxa" w:w="1351"/>
            <w:shd w:fill="DCE6F1"/>
            <w:vAlign w:val="center"/>
            <w:tcMar>
              <w:top w:w="80" w:type="dxa"/>
              <w:start w:w="100" w:type="dxa"/>
              <w:bottom w:w="80" w:type="dxa"/>
              <w:end w:w="100" w:type="dxa"/>
            </w:tcMar>
          </w:tcPr>
          <w:p>
            <w:pPr>
              <w:keepNext/>
              <w:jc w:val="center"/>
            </w:pPr>
            <w:r>
              <w:rPr>
                <w:rFonts w:ascii="Times New Roman" w:hAnsi="Times New Roman"/>
                <w:b/>
                <w:color w:val="1F2937"/>
                <w:sz w:val="16"/>
              </w:rPr>
              <w:t>key</w:t>
            </w:r>
          </w:p>
        </w:tc>
        <w:tc>
          <w:tcPr>
            <w:tcW w:type="dxa" w:w="525"/>
            <w:shd w:fill="DCE6F1"/>
            <w:vAlign w:val="center"/>
            <w:tcMar>
              <w:top w:w="80" w:type="dxa"/>
              <w:start w:w="100" w:type="dxa"/>
              <w:bottom w:w="80" w:type="dxa"/>
              <w:end w:w="100" w:type="dxa"/>
            </w:tcMar>
          </w:tcPr>
          <w:p>
            <w:pPr>
              <w:keepNext/>
              <w:jc w:val="center"/>
            </w:pPr>
            <w:r>
              <w:rPr>
                <w:rFonts w:ascii="Times New Roman" w:hAnsi="Times New Roman"/>
                <w:b/>
                <w:color w:val="1F2937"/>
                <w:sz w:val="16"/>
              </w:rPr>
              <w:t>key_len</w:t>
            </w:r>
          </w:p>
        </w:tc>
        <w:tc>
          <w:tcPr>
            <w:tcW w:type="dxa" w:w="2928"/>
            <w:shd w:fill="DCE6F1"/>
            <w:vAlign w:val="center"/>
            <w:tcMar>
              <w:top w:w="80" w:type="dxa"/>
              <w:start w:w="100" w:type="dxa"/>
              <w:bottom w:w="80" w:type="dxa"/>
              <w:end w:w="100" w:type="dxa"/>
            </w:tcMar>
          </w:tcPr>
          <w:p>
            <w:pPr>
              <w:keepNext/>
              <w:jc w:val="center"/>
            </w:pPr>
            <w:r>
              <w:rPr>
                <w:rFonts w:ascii="Times New Roman" w:hAnsi="Times New Roman"/>
                <w:b/>
                <w:color w:val="1F2937"/>
                <w:sz w:val="16"/>
              </w:rPr>
              <w:t>ref</w:t>
            </w:r>
          </w:p>
        </w:tc>
        <w:tc>
          <w:tcPr>
            <w:tcW w:type="dxa" w:w="300"/>
            <w:shd w:fill="DCE6F1"/>
            <w:vAlign w:val="center"/>
            <w:tcMar>
              <w:top w:w="80" w:type="dxa"/>
              <w:start w:w="100" w:type="dxa"/>
              <w:bottom w:w="80" w:type="dxa"/>
              <w:end w:w="100" w:type="dxa"/>
            </w:tcMar>
          </w:tcPr>
          <w:p>
            <w:pPr>
              <w:keepNext/>
              <w:jc w:val="center"/>
            </w:pPr>
            <w:r>
              <w:rPr>
                <w:rFonts w:ascii="Times New Roman" w:hAnsi="Times New Roman"/>
                <w:b/>
                <w:color w:val="1F2937"/>
                <w:sz w:val="16"/>
              </w:rPr>
              <w:t>rows</w:t>
            </w:r>
          </w:p>
        </w:tc>
        <w:tc>
          <w:tcPr>
            <w:tcW w:type="dxa" w:w="600"/>
            <w:shd w:fill="DCE6F1"/>
            <w:vAlign w:val="center"/>
            <w:tcMar>
              <w:top w:w="80" w:type="dxa"/>
              <w:start w:w="100" w:type="dxa"/>
              <w:bottom w:w="80" w:type="dxa"/>
              <w:end w:w="100" w:type="dxa"/>
            </w:tcMar>
          </w:tcPr>
          <w:p>
            <w:pPr>
              <w:keepNext/>
              <w:jc w:val="center"/>
            </w:pPr>
            <w:r>
              <w:rPr>
                <w:rFonts w:ascii="Times New Roman" w:hAnsi="Times New Roman"/>
                <w:b/>
                <w:color w:val="1F2937"/>
                <w:sz w:val="16"/>
              </w:rPr>
              <w:t>filtered</w:t>
            </w:r>
          </w:p>
        </w:tc>
        <w:tc>
          <w:tcPr>
            <w:tcW w:type="dxa" w:w="2328"/>
            <w:shd w:fill="DCE6F1"/>
            <w:vAlign w:val="center"/>
            <w:tcMar>
              <w:top w:w="80" w:type="dxa"/>
              <w:start w:w="100" w:type="dxa"/>
              <w:bottom w:w="80" w:type="dxa"/>
              <w:end w:w="100" w:type="dxa"/>
            </w:tcMar>
          </w:tcPr>
          <w:p>
            <w:pPr>
              <w:keepNext/>
              <w:jc w:val="center"/>
            </w:pPr>
            <w:r>
              <w:rPr>
                <w:rFonts w:ascii="Times New Roman" w:hAnsi="Times New Roman"/>
                <w:b/>
                <w:color w:val="1F2937"/>
                <w:sz w:val="16"/>
              </w:rPr>
              <w:t>Extra</w:t>
            </w:r>
          </w:p>
        </w:tc>
      </w:tr>
      <w:tr>
        <w:trPr>
          <w:cantSplit/>
        </w:trPr>
        <w:tc>
          <w:tcPr>
            <w:tcW w:type="dxa" w:w="15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spacing w:after="0"/>
            </w:pPr>
            <w:r>
              <w:rPr>
                <w:rFonts w:ascii="Times New Roman" w:hAnsi="Times New Roman"/>
                <w:sz w:val="16"/>
              </w:rPr>
              <w:t>i</w:t>
            </w:r>
          </w:p>
        </w:tc>
        <w:tc>
          <w:tcPr>
            <w:tcW w:type="dxa" w:w="750"/>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spacing w:after="0"/>
            </w:pPr>
            <w:r>
              <w:rPr>
                <w:rFonts w:ascii="Times New Roman" w:hAnsi="Times New Roman"/>
                <w:sz w:val="16"/>
              </w:rPr>
              <w:t>ALL</w:t>
            </w:r>
          </w:p>
        </w:tc>
        <w:tc>
          <w:tcPr>
            <w:tcW w:type="dxa" w:w="3379"/>
            <w:vAlign w:val="center"/>
            <w:tcMar>
              <w:top w:w="80" w:type="dxa"/>
              <w:start w:w="100" w:type="dxa"/>
              <w:bottom w:w="80" w:type="dxa"/>
              <w:end w:w="100" w:type="dxa"/>
            </w:tcMar>
          </w:tcPr>
          <w:p>
            <w:pPr>
              <w:keepNext/>
              <w:spacing w:after="0"/>
            </w:pPr>
            <w:r>
              <w:rPr>
                <w:rFonts w:ascii="Times New Roman" w:hAnsi="Times New Roman"/>
                <w:sz w:val="16"/>
              </w:rPr>
              <w:t>PRIMARY,fk_incident_area</w:t>
            </w:r>
          </w:p>
        </w:tc>
        <w:tc>
          <w:tcPr>
            <w:tcW w:type="dxa" w:w="1351"/>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525"/>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300"/>
            <w:vAlign w:val="center"/>
            <w:tcMar>
              <w:top w:w="80" w:type="dxa"/>
              <w:start w:w="100" w:type="dxa"/>
              <w:bottom w:w="80" w:type="dxa"/>
              <w:end w:w="100" w:type="dxa"/>
            </w:tcMar>
          </w:tcPr>
          <w:p>
            <w:pPr>
              <w:keepNext/>
              <w:spacing w:after="0"/>
            </w:pPr>
            <w:r>
              <w:rPr>
                <w:rFonts w:ascii="Times New Roman" w:hAnsi="Times New Roman"/>
                <w:sz w:val="16"/>
              </w:rPr>
              <w:t>3</w:t>
            </w:r>
          </w:p>
        </w:tc>
        <w:tc>
          <w:tcPr>
            <w:tcW w:type="dxa" w:w="600"/>
            <w:vAlign w:val="center"/>
            <w:tcMar>
              <w:top w:w="80" w:type="dxa"/>
              <w:start w:w="100" w:type="dxa"/>
              <w:bottom w:w="80" w:type="dxa"/>
              <w:end w:w="100" w:type="dxa"/>
            </w:tcMar>
          </w:tcPr>
          <w:p>
            <w:pPr>
              <w:keepNext/>
              <w:spacing w:after="0"/>
            </w:pPr>
            <w:r>
              <w:rPr>
                <w:rFonts w:ascii="Times New Roman" w:hAnsi="Times New Roman"/>
                <w:sz w:val="16"/>
              </w:rPr>
              <w:t>100.00</w:t>
            </w:r>
          </w:p>
        </w:tc>
        <w:tc>
          <w:tcPr>
            <w:tcW w:type="dxa" w:w="2328"/>
            <w:vAlign w:val="center"/>
            <w:tcMar>
              <w:top w:w="80" w:type="dxa"/>
              <w:start w:w="100" w:type="dxa"/>
              <w:bottom w:w="80" w:type="dxa"/>
              <w:end w:w="100" w:type="dxa"/>
            </w:tcMar>
          </w:tcPr>
          <w:p>
            <w:pPr>
              <w:keepNext/>
              <w:spacing w:after="0"/>
            </w:pPr>
            <w:r>
              <w:rPr>
                <w:rFonts w:ascii="Times New Roman" w:hAnsi="Times New Roman"/>
                <w:sz w:val="16"/>
              </w:rPr>
              <w:t>Using temporary; Using filesort</w:t>
            </w:r>
          </w:p>
        </w:tc>
      </w:tr>
      <w:tr>
        <w:trPr>
          <w:cantSplit/>
        </w:trPr>
        <w:tc>
          <w:tcPr>
            <w:tcW w:type="dxa" w:w="15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spacing w:after="0"/>
            </w:pPr>
            <w:r>
              <w:rPr>
                <w:rFonts w:ascii="Times New Roman" w:hAnsi="Times New Roman"/>
                <w:sz w:val="16"/>
              </w:rPr>
              <w:t>ca</w:t>
            </w:r>
          </w:p>
        </w:tc>
        <w:tc>
          <w:tcPr>
            <w:tcW w:type="dxa" w:w="750"/>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spacing w:after="0"/>
            </w:pPr>
            <w:r>
              <w:rPr>
                <w:rFonts w:ascii="Times New Roman" w:hAnsi="Times New Roman"/>
                <w:sz w:val="16"/>
              </w:rPr>
              <w:t>ref</w:t>
            </w:r>
          </w:p>
        </w:tc>
        <w:tc>
          <w:tcPr>
            <w:tcW w:type="dxa" w:w="3379"/>
            <w:vAlign w:val="center"/>
            <w:tcMar>
              <w:top w:w="80" w:type="dxa"/>
              <w:start w:w="100" w:type="dxa"/>
              <w:bottom w:w="80" w:type="dxa"/>
              <w:end w:w="100" w:type="dxa"/>
            </w:tcMar>
          </w:tcPr>
          <w:p>
            <w:pPr>
              <w:keepNext/>
              <w:spacing w:after="0"/>
            </w:pPr>
            <w:r>
              <w:rPr>
                <w:rFonts w:ascii="Times New Roman" w:hAnsi="Times New Roman"/>
                <w:sz w:val="16"/>
              </w:rPr>
              <w:t>fk_action_incident,fk_action_employee,idx_action_status_date</w:t>
            </w:r>
          </w:p>
        </w:tc>
        <w:tc>
          <w:tcPr>
            <w:tcW w:type="dxa" w:w="1351"/>
            <w:vAlign w:val="center"/>
            <w:tcMar>
              <w:top w:w="80" w:type="dxa"/>
              <w:start w:w="100" w:type="dxa"/>
              <w:bottom w:w="80" w:type="dxa"/>
              <w:end w:w="100" w:type="dxa"/>
            </w:tcMar>
          </w:tcPr>
          <w:p>
            <w:pPr>
              <w:keepNext/>
              <w:spacing w:after="0"/>
            </w:pPr>
            <w:r>
              <w:rPr>
                <w:rFonts w:ascii="Times New Roman" w:hAnsi="Times New Roman"/>
                <w:sz w:val="16"/>
              </w:rPr>
              <w:t>fk_action_incident</w:t>
            </w:r>
          </w:p>
        </w:tc>
        <w:tc>
          <w:tcPr>
            <w:tcW w:type="dxa" w:w="525"/>
            <w:vAlign w:val="center"/>
            <w:tcMar>
              <w:top w:w="80" w:type="dxa"/>
              <w:start w:w="100" w:type="dxa"/>
              <w:bottom w:w="80" w:type="dxa"/>
              <w:end w:w="100" w:type="dxa"/>
            </w:tcMar>
          </w:tcPr>
          <w:p>
            <w:pPr>
              <w:keepNext/>
              <w:spacing w:after="0"/>
            </w:pPr>
            <w:r>
              <w:rPr>
                <w:rFonts w:ascii="Times New Roman" w:hAnsi="Times New Roman"/>
                <w:sz w:val="16"/>
              </w:rPr>
              <w:t>32</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cloudrestwines.i.incidentId</w:t>
            </w:r>
          </w:p>
        </w:tc>
        <w:tc>
          <w:tcPr>
            <w:tcW w:type="dxa" w:w="30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600"/>
            <w:vAlign w:val="center"/>
            <w:tcMar>
              <w:top w:w="80" w:type="dxa"/>
              <w:start w:w="100" w:type="dxa"/>
              <w:bottom w:w="80" w:type="dxa"/>
              <w:end w:w="100" w:type="dxa"/>
            </w:tcMar>
          </w:tcPr>
          <w:p>
            <w:pPr>
              <w:keepNext/>
              <w:spacing w:after="0"/>
            </w:pPr>
            <w:r>
              <w:rPr>
                <w:rFonts w:ascii="Times New Roman" w:hAnsi="Times New Roman"/>
                <w:sz w:val="16"/>
              </w:rPr>
              <w:t>66.67</w:t>
            </w:r>
          </w:p>
        </w:tc>
        <w:tc>
          <w:tcPr>
            <w:tcW w:type="dxa" w:w="2328"/>
            <w:vAlign w:val="center"/>
            <w:tcMar>
              <w:top w:w="80" w:type="dxa"/>
              <w:start w:w="100" w:type="dxa"/>
              <w:bottom w:w="80" w:type="dxa"/>
              <w:end w:w="100" w:type="dxa"/>
            </w:tcMar>
          </w:tcPr>
          <w:p>
            <w:pPr>
              <w:keepNext/>
              <w:spacing w:after="0"/>
            </w:pPr>
            <w:r>
              <w:rPr>
                <w:rFonts w:ascii="Times New Roman" w:hAnsi="Times New Roman"/>
                <w:sz w:val="16"/>
              </w:rPr>
              <w:t>Using where</w:t>
            </w:r>
          </w:p>
        </w:tc>
      </w:tr>
      <w:tr>
        <w:trPr>
          <w:cantSplit/>
        </w:trPr>
        <w:tc>
          <w:tcPr>
            <w:tcW w:type="dxa" w:w="15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spacing w:after="0"/>
            </w:pPr>
            <w:r>
              <w:rPr>
                <w:rFonts w:ascii="Times New Roman" w:hAnsi="Times New Roman"/>
                <w:sz w:val="16"/>
              </w:rPr>
              <w:t>oa</w:t>
            </w:r>
          </w:p>
        </w:tc>
        <w:tc>
          <w:tcPr>
            <w:tcW w:type="dxa" w:w="750"/>
            <w:vAlign w:val="center"/>
            <w:tcMar>
              <w:top w:w="80" w:type="dxa"/>
              <w:start w:w="100" w:type="dxa"/>
              <w:bottom w:w="80" w:type="dxa"/>
              <w:end w:w="100" w:type="dxa"/>
            </w:tcMar>
          </w:tcPr>
          <w:p>
            <w:pPr>
              <w:keepNext/>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spacing w:after="0"/>
            </w:pPr>
            <w:r>
              <w:rPr>
                <w:rFonts w:ascii="Times New Roman" w:hAnsi="Times New Roman"/>
                <w:sz w:val="16"/>
              </w:rPr>
              <w:t>eq_ref</w:t>
            </w:r>
          </w:p>
        </w:tc>
        <w:tc>
          <w:tcPr>
            <w:tcW w:type="dxa" w:w="3379"/>
            <w:vAlign w:val="center"/>
            <w:tcMar>
              <w:top w:w="80" w:type="dxa"/>
              <w:start w:w="100" w:type="dxa"/>
              <w:bottom w:w="80" w:type="dxa"/>
              <w:end w:w="100" w:type="dxa"/>
            </w:tcMar>
          </w:tcPr>
          <w:p>
            <w:pPr>
              <w:keepNext/>
              <w:spacing w:after="0"/>
            </w:pPr>
            <w:r>
              <w:rPr>
                <w:rFonts w:ascii="Times New Roman" w:hAnsi="Times New Roman"/>
                <w:sz w:val="16"/>
              </w:rPr>
              <w:t>PRIMARY</w:t>
            </w:r>
          </w:p>
        </w:tc>
        <w:tc>
          <w:tcPr>
            <w:tcW w:type="dxa" w:w="1351"/>
            <w:vAlign w:val="center"/>
            <w:tcMar>
              <w:top w:w="80" w:type="dxa"/>
              <w:start w:w="100" w:type="dxa"/>
              <w:bottom w:w="80" w:type="dxa"/>
              <w:end w:w="100" w:type="dxa"/>
            </w:tcMar>
          </w:tcPr>
          <w:p>
            <w:pPr>
              <w:keepNext/>
              <w:spacing w:after="0"/>
            </w:pPr>
            <w:r>
              <w:rPr>
                <w:rFonts w:ascii="Times New Roman" w:hAnsi="Times New Roman"/>
                <w:sz w:val="16"/>
              </w:rPr>
              <w:t>PRIMARY</w:t>
            </w:r>
          </w:p>
        </w:tc>
        <w:tc>
          <w:tcPr>
            <w:tcW w:type="dxa" w:w="525"/>
            <w:vAlign w:val="center"/>
            <w:tcMar>
              <w:top w:w="80" w:type="dxa"/>
              <w:start w:w="100" w:type="dxa"/>
              <w:bottom w:w="80" w:type="dxa"/>
              <w:end w:w="100" w:type="dxa"/>
            </w:tcMar>
          </w:tcPr>
          <w:p>
            <w:pPr>
              <w:keepNext/>
              <w:spacing w:after="0"/>
            </w:pPr>
            <w:r>
              <w:rPr>
                <w:rFonts w:ascii="Times New Roman" w:hAnsi="Times New Roman"/>
                <w:sz w:val="16"/>
              </w:rPr>
              <w:t>24</w:t>
            </w:r>
          </w:p>
        </w:tc>
        <w:tc>
          <w:tcPr>
            <w:tcW w:type="dxa" w:w="2928"/>
            <w:vAlign w:val="center"/>
            <w:tcMar>
              <w:top w:w="80" w:type="dxa"/>
              <w:start w:w="100" w:type="dxa"/>
              <w:bottom w:w="80" w:type="dxa"/>
              <w:end w:w="100" w:type="dxa"/>
            </w:tcMar>
          </w:tcPr>
          <w:p>
            <w:pPr>
              <w:keepNext/>
              <w:spacing w:after="0"/>
            </w:pPr>
            <w:r>
              <w:rPr>
                <w:rFonts w:ascii="Times New Roman" w:hAnsi="Times New Roman"/>
                <w:sz w:val="16"/>
              </w:rPr>
              <w:t>cloudrestwines.i.operationalAreaId</w:t>
            </w:r>
          </w:p>
        </w:tc>
        <w:tc>
          <w:tcPr>
            <w:tcW w:type="dxa" w:w="300"/>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600"/>
            <w:vAlign w:val="center"/>
            <w:tcMar>
              <w:top w:w="80" w:type="dxa"/>
              <w:start w:w="100" w:type="dxa"/>
              <w:bottom w:w="80" w:type="dxa"/>
              <w:end w:w="100" w:type="dxa"/>
            </w:tcMar>
          </w:tcPr>
          <w:p>
            <w:pPr>
              <w:keepNext/>
              <w:spacing w:after="0"/>
            </w:pPr>
            <w:r>
              <w:rPr>
                <w:rFonts w:ascii="Times New Roman" w:hAnsi="Times New Roman"/>
                <w:sz w:val="16"/>
              </w:rPr>
              <w:t>100.00</w:t>
            </w:r>
          </w:p>
        </w:tc>
        <w:tc>
          <w:tcPr>
            <w:tcW w:type="dxa" w:w="2328"/>
            <w:vAlign w:val="center"/>
            <w:tcMar>
              <w:top w:w="80" w:type="dxa"/>
              <w:start w:w="100" w:type="dxa"/>
              <w:bottom w:w="80" w:type="dxa"/>
              <w:end w:w="100" w:type="dxa"/>
            </w:tcMar>
          </w:tcPr>
          <w:p>
            <w:pPr>
              <w:keepNext/>
              <w:spacing w:after="0"/>
            </w:pPr>
            <w:r>
              <w:rPr>
                <w:rFonts w:ascii="Times New Roman" w:hAnsi="Times New Roman"/>
                <w:sz w:val="16"/>
              </w:rPr>
              <w:t>NULL</w:t>
            </w:r>
          </w:p>
        </w:tc>
      </w:tr>
      <w:tr>
        <w:trPr>
          <w:cantSplit/>
        </w:trPr>
        <w:tc>
          <w:tcPr>
            <w:tcW w:type="dxa" w:w="150"/>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826"/>
            <w:vAlign w:val="center"/>
            <w:tcMar>
              <w:top w:w="80" w:type="dxa"/>
              <w:start w:w="100" w:type="dxa"/>
              <w:bottom w:w="80" w:type="dxa"/>
              <w:end w:w="100" w:type="dxa"/>
            </w:tcMar>
          </w:tcPr>
          <w:p>
            <w:pPr>
              <w:keepNext w:val="0"/>
              <w:spacing w:after="0"/>
            </w:pPr>
            <w:r>
              <w:rPr>
                <w:rFonts w:ascii="Times New Roman" w:hAnsi="Times New Roman"/>
                <w:sz w:val="16"/>
              </w:rPr>
              <w:t>SIMPLE</w:t>
            </w:r>
          </w:p>
        </w:tc>
        <w:tc>
          <w:tcPr>
            <w:tcW w:type="dxa" w:w="375"/>
            <w:vAlign w:val="center"/>
            <w:tcMar>
              <w:top w:w="80" w:type="dxa"/>
              <w:start w:w="100" w:type="dxa"/>
              <w:bottom w:w="80" w:type="dxa"/>
              <w:end w:w="100" w:type="dxa"/>
            </w:tcMar>
          </w:tcPr>
          <w:p>
            <w:pPr>
              <w:keepNext w:val="0"/>
              <w:spacing w:after="0"/>
            </w:pPr>
            <w:r>
              <w:rPr>
                <w:rFonts w:ascii="Times New Roman" w:hAnsi="Times New Roman"/>
                <w:sz w:val="16"/>
              </w:rPr>
              <w:t>e</w:t>
            </w:r>
          </w:p>
        </w:tc>
        <w:tc>
          <w:tcPr>
            <w:tcW w:type="dxa" w:w="750"/>
            <w:vAlign w:val="center"/>
            <w:tcMar>
              <w:top w:w="80" w:type="dxa"/>
              <w:start w:w="100" w:type="dxa"/>
              <w:bottom w:w="80" w:type="dxa"/>
              <w:end w:w="100" w:type="dxa"/>
            </w:tcMar>
          </w:tcPr>
          <w:p>
            <w:pPr>
              <w:keepNext w:val="0"/>
              <w:spacing w:after="0"/>
            </w:pPr>
            <w:r>
              <w:rPr>
                <w:rFonts w:ascii="Times New Roman" w:hAnsi="Times New Roman"/>
                <w:sz w:val="16"/>
              </w:rPr>
              <w:t>NULL</w:t>
            </w:r>
          </w:p>
        </w:tc>
        <w:tc>
          <w:tcPr>
            <w:tcW w:type="dxa" w:w="450"/>
            <w:vAlign w:val="center"/>
            <w:tcMar>
              <w:top w:w="80" w:type="dxa"/>
              <w:start w:w="100" w:type="dxa"/>
              <w:bottom w:w="80" w:type="dxa"/>
              <w:end w:w="100" w:type="dxa"/>
            </w:tcMar>
          </w:tcPr>
          <w:p>
            <w:pPr>
              <w:keepNext w:val="0"/>
              <w:spacing w:after="0"/>
            </w:pPr>
            <w:r>
              <w:rPr>
                <w:rFonts w:ascii="Times New Roman" w:hAnsi="Times New Roman"/>
                <w:sz w:val="16"/>
              </w:rPr>
              <w:t>eq_ref</w:t>
            </w:r>
          </w:p>
        </w:tc>
        <w:tc>
          <w:tcPr>
            <w:tcW w:type="dxa" w:w="3379"/>
            <w:vAlign w:val="center"/>
            <w:tcMar>
              <w:top w:w="80" w:type="dxa"/>
              <w:start w:w="100" w:type="dxa"/>
              <w:bottom w:w="80" w:type="dxa"/>
              <w:end w:w="100" w:type="dxa"/>
            </w:tcMar>
          </w:tcPr>
          <w:p>
            <w:pPr>
              <w:keepNext w:val="0"/>
              <w:spacing w:after="0"/>
            </w:pPr>
            <w:r>
              <w:rPr>
                <w:rFonts w:ascii="Times New Roman" w:hAnsi="Times New Roman"/>
                <w:sz w:val="16"/>
              </w:rPr>
              <w:t>PRIMARY</w:t>
            </w:r>
          </w:p>
        </w:tc>
        <w:tc>
          <w:tcPr>
            <w:tcW w:type="dxa" w:w="1351"/>
            <w:vAlign w:val="center"/>
            <w:tcMar>
              <w:top w:w="80" w:type="dxa"/>
              <w:start w:w="100" w:type="dxa"/>
              <w:bottom w:w="80" w:type="dxa"/>
              <w:end w:w="100" w:type="dxa"/>
            </w:tcMar>
          </w:tcPr>
          <w:p>
            <w:pPr>
              <w:keepNext w:val="0"/>
              <w:spacing w:after="0"/>
            </w:pPr>
            <w:r>
              <w:rPr>
                <w:rFonts w:ascii="Times New Roman" w:hAnsi="Times New Roman"/>
                <w:sz w:val="16"/>
              </w:rPr>
              <w:t>PRIMARY</w:t>
            </w:r>
          </w:p>
        </w:tc>
        <w:tc>
          <w:tcPr>
            <w:tcW w:type="dxa" w:w="525"/>
            <w:vAlign w:val="center"/>
            <w:tcMar>
              <w:top w:w="80" w:type="dxa"/>
              <w:start w:w="100" w:type="dxa"/>
              <w:bottom w:w="80" w:type="dxa"/>
              <w:end w:w="100" w:type="dxa"/>
            </w:tcMar>
          </w:tcPr>
          <w:p>
            <w:pPr>
              <w:keepNext w:val="0"/>
              <w:spacing w:after="0"/>
            </w:pPr>
            <w:r>
              <w:rPr>
                <w:rFonts w:ascii="Times New Roman" w:hAnsi="Times New Roman"/>
                <w:sz w:val="16"/>
              </w:rPr>
              <w:t>28</w:t>
            </w:r>
          </w:p>
        </w:tc>
        <w:tc>
          <w:tcPr>
            <w:tcW w:type="dxa" w:w="2928"/>
            <w:vAlign w:val="center"/>
            <w:tcMar>
              <w:top w:w="80" w:type="dxa"/>
              <w:start w:w="100" w:type="dxa"/>
              <w:bottom w:w="80" w:type="dxa"/>
              <w:end w:w="100" w:type="dxa"/>
            </w:tcMar>
          </w:tcPr>
          <w:p>
            <w:pPr>
              <w:keepNext w:val="0"/>
              <w:spacing w:after="0"/>
            </w:pPr>
            <w:r>
              <w:rPr>
                <w:rFonts w:ascii="Times New Roman" w:hAnsi="Times New Roman"/>
                <w:sz w:val="16"/>
              </w:rPr>
              <w:t>cloudrestwines.ca.responsibleEmployeeId</w:t>
            </w:r>
          </w:p>
        </w:tc>
        <w:tc>
          <w:tcPr>
            <w:tcW w:type="dxa" w:w="300"/>
            <w:vAlign w:val="center"/>
            <w:tcMar>
              <w:top w:w="80" w:type="dxa"/>
              <w:start w:w="100" w:type="dxa"/>
              <w:bottom w:w="80" w:type="dxa"/>
              <w:end w:w="100" w:type="dxa"/>
            </w:tcMar>
          </w:tcPr>
          <w:p>
            <w:pPr>
              <w:keepNext w:val="0"/>
              <w:spacing w:after="0"/>
            </w:pPr>
            <w:r>
              <w:rPr>
                <w:rFonts w:ascii="Times New Roman" w:hAnsi="Times New Roman"/>
                <w:sz w:val="16"/>
              </w:rPr>
              <w:t>1</w:t>
            </w:r>
          </w:p>
        </w:tc>
        <w:tc>
          <w:tcPr>
            <w:tcW w:type="dxa" w:w="600"/>
            <w:vAlign w:val="center"/>
            <w:tcMar>
              <w:top w:w="80" w:type="dxa"/>
              <w:start w:w="100" w:type="dxa"/>
              <w:bottom w:w="80" w:type="dxa"/>
              <w:end w:w="100" w:type="dxa"/>
            </w:tcMar>
          </w:tcPr>
          <w:p>
            <w:pPr>
              <w:keepNext w:val="0"/>
              <w:spacing w:after="0"/>
            </w:pPr>
            <w:r>
              <w:rPr>
                <w:rFonts w:ascii="Times New Roman" w:hAnsi="Times New Roman"/>
                <w:sz w:val="16"/>
              </w:rPr>
              <w:t>100.00</w:t>
            </w:r>
          </w:p>
        </w:tc>
        <w:tc>
          <w:tcPr>
            <w:tcW w:type="dxa" w:w="2328"/>
            <w:vAlign w:val="center"/>
            <w:tcMar>
              <w:top w:w="80" w:type="dxa"/>
              <w:start w:w="100" w:type="dxa"/>
              <w:bottom w:w="80" w:type="dxa"/>
              <w:end w:w="100" w:type="dxa"/>
            </w:tcMar>
          </w:tcPr>
          <w:p>
            <w:pPr>
              <w:keepNext w:val="0"/>
              <w:spacing w:after="0"/>
            </w:pPr>
            <w:r>
              <w:rPr>
                <w:rFonts w:ascii="Times New Roman" w:hAnsi="Times New Roman"/>
                <w:sz w:val="16"/>
              </w:rPr>
              <w:t>NULL</w:t>
            </w:r>
          </w:p>
        </w:tc>
      </w:tr>
    </w:tbl>
    <w:p>
      <w:pPr>
        <w:spacing w:after="0"/>
      </w:pPr>
    </w:p>
    <w:p>
      <w:pPr>
        <w:keepNext/>
        <w:jc w:val="center"/>
      </w:pPr>
      <w:r>
        <w:drawing>
          <wp:inline xmlns:a="http://schemas.openxmlformats.org/drawingml/2006/main" xmlns:pic="http://schemas.openxmlformats.org/drawingml/2006/picture">
            <wp:extent cx="6945421" cy="4937760"/>
            <wp:docPr id="30" name="Picture 30"/>
            <wp:cNvGraphicFramePr>
              <a:graphicFrameLocks noChangeAspect="1"/>
            </wp:cNvGraphicFramePr>
            <a:graphic>
              <a:graphicData uri="http://schemas.openxmlformats.org/drawingml/2006/picture">
                <pic:pic>
                  <pic:nvPicPr>
                    <pic:cNvPr id="0" name="query06-results.png"/>
                    <pic:cNvPicPr/>
                  </pic:nvPicPr>
                  <pic:blipFill>
                    <a:blip r:embed="rId36"/>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query06-results, combined supplied + test database, 2026-10-08</w:t>
      </w:r>
    </w:p>
    <w:p>
      <w:pPr>
        <w:keepNext/>
        <w:jc w:val="center"/>
      </w:pPr>
      <w:r>
        <w:drawing>
          <wp:inline xmlns:a="http://schemas.openxmlformats.org/drawingml/2006/main" xmlns:pic="http://schemas.openxmlformats.org/drawingml/2006/picture">
            <wp:extent cx="6945421" cy="4937760"/>
            <wp:docPr id="31" name="Picture 31"/>
            <wp:cNvGraphicFramePr>
              <a:graphicFrameLocks noChangeAspect="1"/>
            </wp:cNvGraphicFramePr>
            <a:graphic>
              <a:graphicData uri="http://schemas.openxmlformats.org/drawingml/2006/picture">
                <pic:pic>
                  <pic:nvPicPr>
                    <pic:cNvPr id="0" name="query06-results-right.png"/>
                    <pic:cNvPicPr/>
                  </pic:nvPicPr>
                  <pic:blipFill>
                    <a:blip r:embed="rId37"/>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query06-results-right, combined supplied + test database, 2026-10-08</w:t>
      </w:r>
    </w:p>
    <w:p>
      <w:pPr>
        <w:keepNext/>
        <w:jc w:val="center"/>
      </w:pPr>
      <w:r>
        <w:drawing>
          <wp:inline xmlns:a="http://schemas.openxmlformats.org/drawingml/2006/main" xmlns:pic="http://schemas.openxmlformats.org/drawingml/2006/picture">
            <wp:extent cx="6945421" cy="4937760"/>
            <wp:docPr id="32" name="Picture 32"/>
            <wp:cNvGraphicFramePr>
              <a:graphicFrameLocks noChangeAspect="1"/>
            </wp:cNvGraphicFramePr>
            <a:graphic>
              <a:graphicData uri="http://schemas.openxmlformats.org/drawingml/2006/picture">
                <pic:pic>
                  <pic:nvPicPr>
                    <pic:cNvPr id="0" name="query06-explain-left.png"/>
                    <pic:cNvPicPr/>
                  </pic:nvPicPr>
                  <pic:blipFill>
                    <a:blip r:embed="rId38"/>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query06-explain-left, combined supplied + test database, 2026-10-08</w:t>
      </w:r>
    </w:p>
    <w:p>
      <w:pPr>
        <w:keepNext/>
        <w:jc w:val="center"/>
      </w:pPr>
      <w:r>
        <w:drawing>
          <wp:inline xmlns:a="http://schemas.openxmlformats.org/drawingml/2006/main" xmlns:pic="http://schemas.openxmlformats.org/drawingml/2006/picture">
            <wp:extent cx="6945421" cy="4937760"/>
            <wp:docPr id="33" name="Picture 33"/>
            <wp:cNvGraphicFramePr>
              <a:graphicFrameLocks noChangeAspect="1"/>
            </wp:cNvGraphicFramePr>
            <a:graphic>
              <a:graphicData uri="http://schemas.openxmlformats.org/drawingml/2006/picture">
                <pic:pic>
                  <pic:nvPicPr>
                    <pic:cNvPr id="0" name="query06-explain-right.png"/>
                    <pic:cNvPicPr/>
                  </pic:nvPicPr>
                  <pic:blipFill>
                    <a:blip r:embed="rId39"/>
                    <a:stretch>
                      <a:fillRect/>
                    </a:stretch>
                  </pic:blipFill>
                  <pic:spPr>
                    <a:xfrm>
                      <a:off x="0" y="0"/>
                      <a:ext cx="6945421" cy="4937760"/>
                    </a:xfrm>
                    <a:prstGeom prst="rect"/>
                  </pic:spPr>
                </pic:pic>
              </a:graphicData>
            </a:graphic>
          </wp:inline>
        </w:drawing>
      </w:r>
    </w:p>
    <w:p>
      <w:pPr>
        <w:spacing w:after="160"/>
        <w:jc w:val="center"/>
      </w:pPr>
      <w:r>
        <w:rPr>
          <w:rFonts w:ascii="Times New Roman" w:hAnsi="Times New Roman"/>
          <w:i/>
          <w:color w:val="5B6573"/>
          <w:sz w:val="18"/>
        </w:rPr>
        <w:t>Query 6: genuine Workbench query06-explain-right, combined supplied + test database, 2026-10-08</w:t>
      </w:r>
    </w:p>
    <w:p>
      <w:pPr>
        <w:pStyle w:val="Heading2"/>
      </w:pPr>
      <w:r>
        <w:t>Risks and limitations by query</w:t>
      </w:r>
    </w:p>
    <w:tbl>
      <w:tblPr>
        <w:tblStyle w:val="TableGrid"/>
        <w:tblW w:type="dxa" w:w="13968"/>
        <w:tblLayout w:type="fixed"/>
        <w:tblLook w:firstColumn="1" w:firstRow="1" w:lastColumn="0" w:lastRow="0" w:noHBand="0" w:noVBand="1" w:val="04A0"/>
        <w:tblInd w:w="120" w:type="dxa"/>
      </w:tblPr>
      <w:tblGrid>
        <w:gridCol w:w="6984"/>
        <w:gridCol w:w="6984"/>
      </w:tblGrid>
      <w:tr>
        <w:trPr>
          <w:tblHeader w:val="true"/>
          <w:cantSplit/>
        </w:trPr>
        <w:tc>
          <w:tcPr>
            <w:tcW w:type="dxa" w:w="6984"/>
            <w:shd w:fill="DCE6F1"/>
            <w:vAlign w:val="center"/>
            <w:tcMar>
              <w:top w:w="80" w:type="dxa"/>
              <w:start w:w="100" w:type="dxa"/>
              <w:bottom w:w="80" w:type="dxa"/>
              <w:end w:w="100" w:type="dxa"/>
            </w:tcMar>
          </w:tcPr>
          <w:p>
            <w:pPr>
              <w:keepNext/>
              <w:jc w:val="center"/>
            </w:pPr>
            <w:r>
              <w:rPr>
                <w:rFonts w:ascii="Times New Roman" w:hAnsi="Times New Roman"/>
                <w:b/>
                <w:color w:val="1F2937"/>
                <w:sz w:val="16"/>
              </w:rPr>
              <w:t>Query</w:t>
            </w:r>
          </w:p>
        </w:tc>
        <w:tc>
          <w:tcPr>
            <w:tcW w:type="dxa" w:w="6984"/>
            <w:shd w:fill="DCE6F1"/>
            <w:vAlign w:val="center"/>
            <w:tcMar>
              <w:top w:w="80" w:type="dxa"/>
              <w:start w:w="100" w:type="dxa"/>
              <w:bottom w:w="80" w:type="dxa"/>
              <w:end w:w="100" w:type="dxa"/>
            </w:tcMar>
          </w:tcPr>
          <w:p>
            <w:pPr>
              <w:keepNext/>
              <w:jc w:val="center"/>
            </w:pPr>
            <w:r>
              <w:rPr>
                <w:rFonts w:ascii="Times New Roman" w:hAnsi="Times New Roman"/>
                <w:b/>
                <w:color w:val="1F2937"/>
                <w:sz w:val="16"/>
              </w:rPr>
              <w:t>Risk / limitation</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1</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Current workforce membership differs from historical membership; both categories must be completed in the current calendar year.</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2</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Very small exposure denominators make rates unstable; missing assignments or incidents bias the metric.</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3</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Equal windows reduce exposure imbalance but do not control work mix or confounding; no causal claim is supported.</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4</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Eight hours per assignment is the demonstration rule, not an asserted payroll entitlement; flags require supervisor context.</w:t>
            </w:r>
          </w:p>
        </w:tc>
      </w:tr>
      <w:tr>
        <w:trPr>
          <w:cantSplit/>
        </w:trPr>
        <w:tc>
          <w:tcPr>
            <w:tcW w:type="dxa" w:w="6984"/>
            <w:vAlign w:val="center"/>
            <w:tcMar>
              <w:top w:w="80" w:type="dxa"/>
              <w:start w:w="100" w:type="dxa"/>
              <w:bottom w:w="80" w:type="dxa"/>
              <w:end w:w="100" w:type="dxa"/>
            </w:tcMar>
          </w:tcPr>
          <w:p>
            <w:pPr>
              <w:keepNext/>
              <w:spacing w:after="0"/>
            </w:pPr>
            <w:r>
              <w:rPr>
                <w:rFonts w:ascii="Times New Roman" w:hAnsi="Times New Roman"/>
                <w:sz w:val="16"/>
              </w:rPr>
              <w:t>5</w:t>
            </w:r>
          </w:p>
        </w:tc>
        <w:tc>
          <w:tcPr>
            <w:tcW w:type="dxa" w:w="6984"/>
            <w:vAlign w:val="center"/>
            <w:tcMar>
              <w:top w:w="80" w:type="dxa"/>
              <w:start w:w="100" w:type="dxa"/>
              <w:bottom w:w="80" w:type="dxa"/>
              <w:end w:w="100" w:type="dxa"/>
            </w:tcMar>
          </w:tcPr>
          <w:p>
            <w:pPr>
              <w:keepNext/>
              <w:spacing w:after="0"/>
            </w:pPr>
            <w:r>
              <w:rPr>
                <w:rFonts w:ascii="Times New Roman" w:hAnsi="Times New Roman"/>
                <w:sz w:val="16"/>
              </w:rPr>
              <w:t>Expiry is only as reliable as recorded qualification dates; book renewals and verify validity with the issuer.</w:t>
            </w:r>
          </w:p>
        </w:tc>
      </w:tr>
      <w:tr>
        <w:trPr>
          <w:cantSplit/>
        </w:trPr>
        <w:tc>
          <w:tcPr>
            <w:tcW w:type="dxa" w:w="6984"/>
            <w:vAlign w:val="center"/>
            <w:tcMar>
              <w:top w:w="80" w:type="dxa"/>
              <w:start w:w="100" w:type="dxa"/>
              <w:bottom w:w="80" w:type="dxa"/>
              <w:end w:w="100" w:type="dxa"/>
            </w:tcMar>
          </w:tcPr>
          <w:p>
            <w:pPr>
              <w:keepNext w:val="0"/>
              <w:spacing w:after="0"/>
            </w:pPr>
            <w:r>
              <w:rPr>
                <w:rFonts w:ascii="Times New Roman" w:hAnsi="Times New Roman"/>
                <w:sz w:val="16"/>
              </w:rPr>
              <w:t>6</w:t>
            </w:r>
          </w:p>
        </w:tc>
        <w:tc>
          <w:tcPr>
            <w:tcW w:type="dxa" w:w="6984"/>
            <w:vAlign w:val="center"/>
            <w:tcMar>
              <w:top w:w="80" w:type="dxa"/>
              <w:start w:w="100" w:type="dxa"/>
              <w:bottom w:w="80" w:type="dxa"/>
              <w:end w:w="100" w:type="dxa"/>
            </w:tcMar>
          </w:tcPr>
          <w:p>
            <w:pPr>
              <w:keepNext w:val="0"/>
              <w:spacing w:after="0"/>
            </w:pPr>
            <w:r>
              <w:rPr>
                <w:rFonts w:ascii="Times New Roman" w:hAnsi="Times New Roman"/>
                <w:sz w:val="16"/>
              </w:rPr>
              <w:t>Open actions depend on timely status updates; the small-fixture EXPLAIN does not establish production performance.</w:t>
            </w:r>
          </w:p>
        </w:tc>
      </w:tr>
    </w:tbl>
    <w:p>
      <w:pPr>
        <w:spacing w:after="0"/>
      </w:pPr>
    </w:p>
    <w:p>
      <w:pPr>
        <w:widowControl/>
      </w:pPr>
      <w:r>
        <w:rPr>
          <w:rFonts w:ascii="Times New Roman" w:hAnsi="Times New Roman"/>
          <w:i w:val="0"/>
          <w:sz w:val="24"/>
        </w:rPr>
        <w:t>All six outputs use synthetic assessment HR records and cannot describe actual winery performance.</w:t>
      </w:r>
    </w:p>
    <w:p>
      <w:pPr>
        <w:pStyle w:val="Heading2"/>
      </w:pPr>
      <w:r>
        <w:t>Final evidence rule</w:t>
      </w:r>
    </w:p>
    <w:p>
      <w:pPr>
        <w:widowControl/>
      </w:pPr>
      <w:r>
        <w:rPr>
          <w:rFonts w:ascii="Times New Roman" w:hAnsi="Times New Roman"/>
          <w:i w:val="0"/>
          <w:sz w:val="24"/>
        </w:rPr>
        <w:t>The numeric interpretations above are reproducible from the revised fixture, but final submission evidence must be captured after the final SQL build is frozen. If any fixture or query changes, all six outputs and the Query 6 EXPLAIN screenshot must be regenerated together.</w:t>
      </w:r>
    </w:p>
    <w:p>
      <w:pPr>
        <w:pStyle w:val="Heading1"/>
      </w:pPr>
      <w:r>
        <w:t>Conclusion</w:t>
      </w:r>
    </w:p>
    <w:p>
      <w:pPr>
        <w:widowControl/>
      </w:pPr>
      <w:r>
        <w:rPr>
          <w:rFonts w:ascii="Times New Roman" w:hAnsi="Times New Roman"/>
          <w:i w:val="0"/>
          <w:sz w:val="24"/>
        </w:rPr>
        <w:t>Cloudrest Wines now has a reproducible 3NF MySQL OLTP design covering the complete base case and a connected HR/workforce sustainability extension. Database constraints preserve critical history and transactional integrity, while six tested queries convert operational records into training, exposure, workload, renewal and corrective-action decisions. The current report, SQL and model package is ready for delivery. Video, RiPPlE, Buddycheck and personal contribution confirmation belong to the students. Task 8 awaits the tutor-supplied Week 11 scenario.</w:t>
      </w:r>
    </w:p>
    <w:p>
      <w:pPr>
        <w:pStyle w:val="Heading1"/>
      </w:pPr>
      <w:r>
        <w:t>References</w:t>
      </w:r>
    </w:p>
    <w:p>
      <w:pPr>
        <w:widowControl/>
      </w:pPr>
      <w:r>
        <w:rPr>
          <w:rFonts w:ascii="Times New Roman" w:hAnsi="Times New Roman"/>
          <w:i w:val="0"/>
          <w:sz w:val="24"/>
        </w:rPr>
        <w:t>BISM2207 teaching team. (2026a). Wine company case [Course case study]. The University of Queensland.</w:t>
      </w:r>
    </w:p>
    <w:p>
      <w:pPr>
        <w:widowControl/>
      </w:pPr>
      <w:r>
        <w:rPr>
          <w:rFonts w:ascii="Times New Roman" w:hAnsi="Times New Roman"/>
          <w:i w:val="0"/>
          <w:sz w:val="24"/>
        </w:rPr>
        <w:t>BISM2207 teaching team. (2026b). BISM2207 system development assessment specification [Course document]. The University of Queensland.</w:t>
      </w:r>
    </w:p>
    <w:p>
      <w:pPr>
        <w:widowControl/>
      </w:pPr>
      <w:r>
        <w:rPr>
          <w:rFonts w:ascii="Times New Roman" w:hAnsi="Times New Roman"/>
          <w:i w:val="0"/>
          <w:sz w:val="24"/>
        </w:rPr>
        <w:t>BISM2207 teaching team. (2026c). BISM2207 system development marking rubric [Course document]. The University of Queensland.</w:t>
      </w:r>
    </w:p>
    <w:p>
      <w:pPr>
        <w:widowControl/>
      </w:pPr>
      <w:r>
        <w:rPr>
          <w:rFonts w:ascii="Times New Roman" w:hAnsi="Times New Roman"/>
          <w:i w:val="0"/>
          <w:sz w:val="24"/>
        </w:rPr>
        <w:t>Oracle. (2026). MySQL 8.4 reference manual. https://dev.mysql.com/doc/refman/8.4/en/</w:t>
      </w:r>
    </w:p>
    <w:p>
      <w:pPr>
        <w:widowControl/>
      </w:pPr>
      <w:r>
        <w:rPr>
          <w:rFonts w:ascii="Times New Roman" w:hAnsi="Times New Roman"/>
          <w:i w:val="0"/>
          <w:sz w:val="24"/>
        </w:rPr>
        <w:t>Oracle. (2026). MySQL Workbench manual. https://dev.mysql.com/doc/workbench/en/</w:t>
      </w:r>
    </w:p>
    <w:p>
      <w:pPr>
        <w:sectPr>
          <w:pgSz w:w="16848" w:h="11952" w:orient="landscape"/>
          <w:pgMar w:top="1440" w:right="1440" w:bottom="1440" w:left="1440" w:header="708" w:footer="708" w:gutter="0"/>
          <w:cols w:space="720"/>
          <w:docGrid w:linePitch="360"/>
        </w:sectPr>
      </w:pPr>
    </w:p>
    <w:p>
      <w:pPr>
        <w:pStyle w:val="Heading1"/>
      </w:pPr>
      <w:r>
        <w:t>Appendix A — Workbench Domain EER Views</w:t>
      </w:r>
    </w:p>
    <w:p>
      <w:pPr>
        <w:pStyle w:val="Heading2"/>
      </w:pPr>
      <w:r>
        <w:t>Personnel History</w:t>
      </w:r>
    </w:p>
    <w:p>
      <w:pPr>
        <w:keepNext/>
        <w:jc w:val="center"/>
      </w:pPr>
      <w:r>
        <w:drawing>
          <wp:inline xmlns:a="http://schemas.openxmlformats.org/drawingml/2006/main" xmlns:pic="http://schemas.openxmlformats.org/drawingml/2006/picture">
            <wp:extent cx="4552865" cy="7498079"/>
            <wp:docPr id="34" name="Picture 34"/>
            <wp:cNvGraphicFramePr>
              <a:graphicFrameLocks noChangeAspect="1"/>
            </wp:cNvGraphicFramePr>
            <a:graphic>
              <a:graphicData uri="http://schemas.openxmlformats.org/drawingml/2006/picture">
                <pic:pic>
                  <pic:nvPicPr>
                    <pic:cNvPr id="0" name="ER_Personnel_History.png"/>
                    <pic:cNvPicPr/>
                  </pic:nvPicPr>
                  <pic:blipFill>
                    <a:blip r:embed="rId40"/>
                    <a:stretch>
                      <a:fillRect/>
                    </a:stretch>
                  </pic:blipFill>
                  <pic:spPr>
                    <a:xfrm>
                      <a:off x="0" y="0"/>
                      <a:ext cx="4552865" cy="7498079"/>
                    </a:xfrm>
                    <a:prstGeom prst="rect"/>
                  </pic:spPr>
                </pic:pic>
              </a:graphicData>
            </a:graphic>
          </wp:inline>
        </w:drawing>
      </w:r>
    </w:p>
    <w:p>
      <w:pPr>
        <w:spacing w:after="160"/>
        <w:jc w:val="center"/>
      </w:pPr>
      <w:r>
        <w:rPr>
          <w:rFonts w:ascii="Times New Roman" w:hAnsi="Times New Roman"/>
          <w:i/>
          <w:color w:val="5B6573"/>
          <w:sz w:val="18"/>
        </w:rPr>
        <w:t>UML domain view — authoritative revised schema, 2026-10-07</w:t>
      </w:r>
    </w:p>
    <w:p>
      <w:r>
        <w:br w:type="page"/>
      </w:r>
    </w:p>
    <w:p>
      <w:pPr>
        <w:pStyle w:val="Heading2"/>
      </w:pPr>
      <w:r>
        <w:t>HR Training Qualifications</w:t>
      </w:r>
    </w:p>
    <w:p>
      <w:pPr>
        <w:keepNext/>
        <w:jc w:val="center"/>
      </w:pPr>
      <w:r>
        <w:drawing>
          <wp:inline xmlns:a="http://schemas.openxmlformats.org/drawingml/2006/main" xmlns:pic="http://schemas.openxmlformats.org/drawingml/2006/picture">
            <wp:extent cx="4415113" cy="7498079"/>
            <wp:docPr id="35" name="Picture 35"/>
            <wp:cNvGraphicFramePr>
              <a:graphicFrameLocks noChangeAspect="1"/>
            </wp:cNvGraphicFramePr>
            <a:graphic>
              <a:graphicData uri="http://schemas.openxmlformats.org/drawingml/2006/picture">
                <pic:pic>
                  <pic:nvPicPr>
                    <pic:cNvPr id="0" name="ER_HR_Training_Qualifications.png"/>
                    <pic:cNvPicPr/>
                  </pic:nvPicPr>
                  <pic:blipFill>
                    <a:blip r:embed="rId41"/>
                    <a:stretch>
                      <a:fillRect/>
                    </a:stretch>
                  </pic:blipFill>
                  <pic:spPr>
                    <a:xfrm>
                      <a:off x="0" y="0"/>
                      <a:ext cx="4415113" cy="7498079"/>
                    </a:xfrm>
                    <a:prstGeom prst="rect"/>
                  </pic:spPr>
                </pic:pic>
              </a:graphicData>
            </a:graphic>
          </wp:inline>
        </w:drawing>
      </w:r>
    </w:p>
    <w:p>
      <w:pPr>
        <w:spacing w:after="160"/>
        <w:jc w:val="center"/>
      </w:pPr>
      <w:r>
        <w:rPr>
          <w:rFonts w:ascii="Times New Roman" w:hAnsi="Times New Roman"/>
          <w:i/>
          <w:color w:val="5B6573"/>
          <w:sz w:val="18"/>
        </w:rPr>
        <w:t>UML domain view — authoritative revised schema, 2026-10-07</w:t>
      </w:r>
    </w:p>
    <w:p>
      <w:r>
        <w:br w:type="page"/>
      </w:r>
    </w:p>
    <w:p>
      <w:pPr>
        <w:pStyle w:val="Heading2"/>
      </w:pPr>
      <w:r>
        <w:t>HR Shifts Safety Wellbeing</w:t>
      </w:r>
    </w:p>
    <w:p>
      <w:pPr>
        <w:keepNext/>
        <w:jc w:val="center"/>
      </w:pPr>
      <w:r>
        <w:drawing>
          <wp:inline xmlns:a="http://schemas.openxmlformats.org/drawingml/2006/main" xmlns:pic="http://schemas.openxmlformats.org/drawingml/2006/picture">
            <wp:extent cx="4289599" cy="7498079"/>
            <wp:docPr id="36" name="Picture 36"/>
            <wp:cNvGraphicFramePr>
              <a:graphicFrameLocks noChangeAspect="1"/>
            </wp:cNvGraphicFramePr>
            <a:graphic>
              <a:graphicData uri="http://schemas.openxmlformats.org/drawingml/2006/picture">
                <pic:pic>
                  <pic:nvPicPr>
                    <pic:cNvPr id="0" name="ER_HR_Shifts_Safety_Wellbeing.png"/>
                    <pic:cNvPicPr/>
                  </pic:nvPicPr>
                  <pic:blipFill>
                    <a:blip r:embed="rId42"/>
                    <a:stretch>
                      <a:fillRect/>
                    </a:stretch>
                  </pic:blipFill>
                  <pic:spPr>
                    <a:xfrm>
                      <a:off x="0" y="0"/>
                      <a:ext cx="4289599" cy="7498079"/>
                    </a:xfrm>
                    <a:prstGeom prst="rect"/>
                  </pic:spPr>
                </pic:pic>
              </a:graphicData>
            </a:graphic>
          </wp:inline>
        </w:drawing>
      </w:r>
    </w:p>
    <w:p>
      <w:pPr>
        <w:spacing w:after="160"/>
        <w:jc w:val="center"/>
      </w:pPr>
      <w:r>
        <w:rPr>
          <w:rFonts w:ascii="Times New Roman" w:hAnsi="Times New Roman"/>
          <w:i/>
          <w:color w:val="5B6573"/>
          <w:sz w:val="18"/>
        </w:rPr>
        <w:t>UML domain view — authoritative revised schema, 2026-10-07</w:t>
      </w:r>
    </w:p>
    <w:p>
      <w:r>
        <w:br w:type="page"/>
      </w:r>
    </w:p>
    <w:p>
      <w:pPr>
        <w:pStyle w:val="Heading2"/>
      </w:pPr>
      <w:r>
        <w:t>Vineyard Wine Production</w:t>
      </w:r>
    </w:p>
    <w:p>
      <w:pPr>
        <w:keepNext/>
        <w:jc w:val="center"/>
      </w:pPr>
      <w:r>
        <w:drawing>
          <wp:inline xmlns:a="http://schemas.openxmlformats.org/drawingml/2006/main" xmlns:pic="http://schemas.openxmlformats.org/drawingml/2006/picture">
            <wp:extent cx="4519641" cy="7498079"/>
            <wp:docPr id="37" name="Picture 37"/>
            <wp:cNvGraphicFramePr>
              <a:graphicFrameLocks noChangeAspect="1"/>
            </wp:cNvGraphicFramePr>
            <a:graphic>
              <a:graphicData uri="http://schemas.openxmlformats.org/drawingml/2006/picture">
                <pic:pic>
                  <pic:nvPicPr>
                    <pic:cNvPr id="0" name="ER_Vineyard_Wine_Production.png"/>
                    <pic:cNvPicPr/>
                  </pic:nvPicPr>
                  <pic:blipFill>
                    <a:blip r:embed="rId43"/>
                    <a:stretch>
                      <a:fillRect/>
                    </a:stretch>
                  </pic:blipFill>
                  <pic:spPr>
                    <a:xfrm>
                      <a:off x="0" y="0"/>
                      <a:ext cx="4519641" cy="7498079"/>
                    </a:xfrm>
                    <a:prstGeom prst="rect"/>
                  </pic:spPr>
                </pic:pic>
              </a:graphicData>
            </a:graphic>
          </wp:inline>
        </w:drawing>
      </w:r>
    </w:p>
    <w:p>
      <w:pPr>
        <w:spacing w:after="160"/>
        <w:jc w:val="center"/>
      </w:pPr>
      <w:r>
        <w:rPr>
          <w:rFonts w:ascii="Times New Roman" w:hAnsi="Times New Roman"/>
          <w:i/>
          <w:color w:val="5B6573"/>
          <w:sz w:val="18"/>
        </w:rPr>
        <w:t>UML domain view — authoritative revised schema, 2026-10-07</w:t>
      </w:r>
    </w:p>
    <w:p>
      <w:r>
        <w:br w:type="page"/>
      </w:r>
    </w:p>
    <w:p>
      <w:pPr>
        <w:pStyle w:val="Heading2"/>
      </w:pPr>
      <w:r>
        <w:t>Products Procurement</w:t>
      </w:r>
    </w:p>
    <w:p>
      <w:pPr>
        <w:keepNext/>
        <w:jc w:val="center"/>
      </w:pPr>
      <w:r>
        <w:drawing>
          <wp:inline xmlns:a="http://schemas.openxmlformats.org/drawingml/2006/main" xmlns:pic="http://schemas.openxmlformats.org/drawingml/2006/picture">
            <wp:extent cx="5669280" cy="7151239"/>
            <wp:docPr id="38" name="Picture 38"/>
            <wp:cNvGraphicFramePr>
              <a:graphicFrameLocks noChangeAspect="1"/>
            </wp:cNvGraphicFramePr>
            <a:graphic>
              <a:graphicData uri="http://schemas.openxmlformats.org/drawingml/2006/picture">
                <pic:pic>
                  <pic:nvPicPr>
                    <pic:cNvPr id="0" name="ER_Products_Procurement.png"/>
                    <pic:cNvPicPr/>
                  </pic:nvPicPr>
                  <pic:blipFill>
                    <a:blip r:embed="rId44"/>
                    <a:stretch>
                      <a:fillRect/>
                    </a:stretch>
                  </pic:blipFill>
                  <pic:spPr>
                    <a:xfrm>
                      <a:off x="0" y="0"/>
                      <a:ext cx="5669280" cy="7151239"/>
                    </a:xfrm>
                    <a:prstGeom prst="rect"/>
                  </pic:spPr>
                </pic:pic>
              </a:graphicData>
            </a:graphic>
          </wp:inline>
        </w:drawing>
      </w:r>
    </w:p>
    <w:p>
      <w:pPr>
        <w:spacing w:after="160"/>
        <w:jc w:val="center"/>
      </w:pPr>
      <w:r>
        <w:rPr>
          <w:rFonts w:ascii="Times New Roman" w:hAnsi="Times New Roman"/>
          <w:i/>
          <w:color w:val="5B6573"/>
          <w:sz w:val="18"/>
        </w:rPr>
        <w:t>UML domain view — authoritative revised schema, 2026-10-07</w:t>
      </w:r>
    </w:p>
    <w:p>
      <w:r>
        <w:br w:type="page"/>
      </w:r>
    </w:p>
    <w:p>
      <w:pPr>
        <w:pStyle w:val="Heading2"/>
      </w:pPr>
      <w:r>
        <w:t>Customers Orders</w:t>
      </w:r>
    </w:p>
    <w:p>
      <w:pPr>
        <w:keepNext/>
        <w:jc w:val="center"/>
      </w:pPr>
      <w:r>
        <w:drawing>
          <wp:inline xmlns:a="http://schemas.openxmlformats.org/drawingml/2006/main" xmlns:pic="http://schemas.openxmlformats.org/drawingml/2006/picture">
            <wp:extent cx="4497620" cy="7498079"/>
            <wp:docPr id="39" name="Picture 39"/>
            <wp:cNvGraphicFramePr>
              <a:graphicFrameLocks noChangeAspect="1"/>
            </wp:cNvGraphicFramePr>
            <a:graphic>
              <a:graphicData uri="http://schemas.openxmlformats.org/drawingml/2006/picture">
                <pic:pic>
                  <pic:nvPicPr>
                    <pic:cNvPr id="0" name="ER_Customers_Orders.png"/>
                    <pic:cNvPicPr/>
                  </pic:nvPicPr>
                  <pic:blipFill>
                    <a:blip r:embed="rId45"/>
                    <a:stretch>
                      <a:fillRect/>
                    </a:stretch>
                  </pic:blipFill>
                  <pic:spPr>
                    <a:xfrm>
                      <a:off x="0" y="0"/>
                      <a:ext cx="4497620" cy="7498079"/>
                    </a:xfrm>
                    <a:prstGeom prst="rect"/>
                  </pic:spPr>
                </pic:pic>
              </a:graphicData>
            </a:graphic>
          </wp:inline>
        </w:drawing>
      </w:r>
    </w:p>
    <w:p>
      <w:pPr>
        <w:spacing w:after="160"/>
        <w:jc w:val="center"/>
      </w:pPr>
      <w:r>
        <w:rPr>
          <w:rFonts w:ascii="Times New Roman" w:hAnsi="Times New Roman"/>
          <w:i/>
          <w:color w:val="5B6573"/>
          <w:sz w:val="18"/>
        </w:rPr>
        <w:t>UML domain view — authoritative revised schema, 2026-10-07</w:t>
      </w:r>
    </w:p>
    <w:p>
      <w:pPr>
        <w:sectPr>
          <w:pgSz w:w="11952" w:h="16848"/>
          <w:pgMar w:top="1440" w:right="1440" w:bottom="1440" w:left="1440" w:header="708" w:footer="708" w:gutter="0"/>
          <w:cols w:space="720"/>
          <w:docGrid w:linePitch="360"/>
        </w:sectPr>
      </w:pPr>
    </w:p>
    <w:p>
      <w:pPr>
        <w:pStyle w:val="Heading1"/>
      </w:pPr>
      <w:r>
        <w:t>Appendix B — Complete Data Dictionary</w:t>
      </w:r>
    </w:p>
    <w:tbl>
      <w:tblPr>
        <w:tblW w:type="dxa" w:w="9360"/>
        <w:tblLayout w:type="fixed"/>
        <w:tblLook w:firstColumn="1" w:firstRow="1" w:lastColumn="0" w:lastRow="0" w:noHBand="0" w:noVBand="1" w:val="04A0"/>
        <w:tblInd w:w="120" w:type="dxa"/>
      </w:tblPr>
      <w:tblGrid>
        <w:gridCol w:w="9360"/>
      </w:tblGrid>
      <w:tr>
        <w:tc>
          <w:tcPr>
            <w:tcW w:type="dxa" w:w="9360"/>
            <w:shd w:fill="FFF2CC"/>
            <w:tcMar>
              <w:top w:w="120" w:type="dxa"/>
              <w:start w:w="140" w:type="dxa"/>
              <w:bottom w:w="120" w:type="dxa"/>
              <w:end w:w="140" w:type="dxa"/>
            </w:tcMar>
          </w:tcPr>
          <w:p>
            <w:r>
              <w:rPr>
                <w:rFonts w:ascii="Times New Roman" w:hAnsi="Times New Roman"/>
                <w:b/>
                <w:color w:val="7A5A00"/>
                <w:sz w:val="20"/>
              </w:rPr>
              <w:t xml:space="preserve">Prepared and cross-checked: </w:t>
            </w:r>
            <w:r>
              <w:rPr>
                <w:rFonts w:ascii="Times New Roman" w:hAnsi="Times New Roman"/>
                <w:sz w:val="20"/>
              </w:rPr>
              <w:t>The data dictionary was prepared as Word tables and cross-checked against the implemented MySQL schema for consistency. Automation is used internally to prevent field/type/key drift.</w:t>
            </w:r>
          </w:p>
        </w:tc>
      </w:tr>
    </w:tbl>
    <w:p>
      <w:pPr>
        <w:spacing w:after="0"/>
      </w:pPr>
    </w:p>
    <w:p>
      <w:pPr>
        <w:pStyle w:val="Heading2"/>
      </w:pPr>
      <w:r>
        <w:t>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addressKind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enum('PHYSICAL','POSTAL')</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physical, postal.</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address kind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postalType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enum('POBOX','PRIVATEBAG','OTHER')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pobox, privatebag, other.</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postal type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unitType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unit type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unitNumber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unit number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levelType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level type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levelNumber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level number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buildingName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placeName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addressNumber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address number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streetName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locality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locality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stateCode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enum('ACT','NSW','NT','QLD','SA','TAS','VIC','WA')</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act, nsw, nt, qld, sa, tas, vic, wa.</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state code of the address.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postcode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char(4)</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Exactly 4 numeric digits.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postcode of the address.</w:t>
            </w:r>
          </w:p>
        </w:tc>
      </w:tr>
    </w:tbl>
    <w:p>
      <w:pPr>
        <w:spacing w:after="0"/>
      </w:pPr>
    </w:p>
    <w:p>
      <w:pPr>
        <w:pStyle w:val="Heading2"/>
      </w:pPr>
      <w:r>
        <w:t>bottletype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bottletype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capacityMl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capacity ml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bottleShape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bottle shape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material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enum('GLASS','PLASTIC')</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glass, plastic.</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material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bottleColour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bottle colour of the bottletype.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inventoryQuantity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Quantity recorded for the bottletype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usualUnitCost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decimal(8,2)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bottletype fact in Australian dollars.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reorderFlag</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Indicates whether this bottle type may be reordered.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reorderComment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Required explanation when a bottle type will not be reordered.</w:t>
            </w:r>
          </w:p>
        </w:tc>
      </w:tr>
    </w:tbl>
    <w:p>
      <w:pPr>
        <w:spacing w:after="0"/>
      </w:pPr>
    </w:p>
    <w:p>
      <w:pPr>
        <w:pStyle w:val="Heading2"/>
      </w:pPr>
      <w:r>
        <w:t>businesscustomer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companyName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businesscustomer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australianBusinessNumber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char(11)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Exactly 11 numeric digits.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Eleven-digit ABN identifying an Australian business customer.</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businesscustomer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businesscustomer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businessType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enum('RESTAURANT','WINESHOP','EXPORTCOMPANY','OTHER')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restaurant, wineshop, exportcompany, other.</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business type of the businesscustomer.</w:t>
            </w:r>
          </w:p>
        </w:tc>
      </w:tr>
    </w:tbl>
    <w:p>
      <w:pPr>
        <w:spacing w:after="0"/>
      </w:pPr>
    </w:p>
    <w:p>
      <w:pPr>
        <w:pStyle w:val="Heading2"/>
      </w:pPr>
      <w:r>
        <w:t>checkintopic</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wellbeingCheckinId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wellbeingcheckin.wellbeingCheckinId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wellbeingcheckin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wellbeingTopicId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wellbeingtopic.wellbeingTopicId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wellbeingtopic record.</w:t>
            </w:r>
          </w:p>
        </w:tc>
      </w:tr>
    </w:tbl>
    <w:p>
      <w:pPr>
        <w:spacing w:after="0"/>
      </w:pPr>
    </w:p>
    <w:p>
      <w:pPr>
        <w:pStyle w:val="Heading2"/>
      </w:pPr>
      <w:r>
        <w:t>correctiveaction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correctiveActionId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correctiveaction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incident.incidentId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actionDescription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description of the correctiveaction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responsibleEmployeeId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targetDate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correctiveaction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completedDate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correctiveaction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enum('OPEN','INPROGRESS','COMPLETED','CANCELLED')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open, inprogress, completed,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action status of the correctiveaction.</w:t>
            </w:r>
          </w:p>
        </w:tc>
      </w:tr>
    </w:tbl>
    <w:p>
      <w:pPr>
        <w:spacing w:after="0"/>
      </w:pPr>
    </w:p>
    <w:p>
      <w:pPr>
        <w:pStyle w:val="Heading2"/>
      </w:pPr>
      <w:r>
        <w:t>customer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enum('INDIVIDUAL','BUSINESS')</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individual, business.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customer type of the customer.</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emailAddress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varchar(254)</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varchar(254)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email address of the customer.</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isActive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active on the customer record.</w:t>
            </w:r>
          </w:p>
        </w:tc>
      </w:tr>
    </w:tbl>
    <w:p>
      <w:pPr>
        <w:spacing w:after="0"/>
      </w:pPr>
    </w:p>
    <w:p>
      <w:pPr>
        <w:pStyle w:val="Heading2"/>
      </w:pPr>
      <w:r>
        <w:t>customeraddress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addressPurpose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enum('PRIMARY','DELIVERY','BILLING','CORRESPONDENCE')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primary, delivery, billing, correspondence.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purpose of the customer address history row: primary, delivery, billing or correspondence.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customeraddress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customeraddress history period; NULL identifies the current row.</w:t>
            </w:r>
          </w:p>
        </w:tc>
      </w:tr>
    </w:tbl>
    <w:p>
      <w:pPr>
        <w:spacing w:after="0"/>
      </w:pPr>
    </w:p>
    <w:p>
      <w:pPr>
        <w:pStyle w:val="Heading2"/>
      </w:pPr>
      <w:r>
        <w:t>customerorder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customerorder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receivedDate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customerorder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paidFlag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Indicates accounting confirmation that shipment may proceed.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orderStatus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enum('PENDING','SHIPPED','CANCELLED')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pending, shipped,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order status of the customerorder.</w:t>
            </w:r>
          </w:p>
        </w:tc>
      </w:tr>
    </w:tbl>
    <w:p>
      <w:pPr>
        <w:spacing w:after="0"/>
      </w:pPr>
    </w:p>
    <w:p>
      <w:pPr>
        <w:pStyle w:val="Heading2"/>
      </w:pPr>
      <w:r>
        <w:t>customerphone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phone.phoneId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customerphone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customerphone history period; NULL identifies the current row.</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isPrimary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primary on the customerphone record.</w:t>
            </w:r>
          </w:p>
        </w:tc>
      </w:tr>
    </w:tbl>
    <w:p>
      <w:pPr>
        <w:spacing w:after="0"/>
      </w:pPr>
    </w:p>
    <w:p>
      <w:pPr>
        <w:pStyle w:val="Heading2"/>
      </w:pPr>
      <w:r>
        <w:t>employee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taxFileNumber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char(9)</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Exactly 9 numeric digits.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Australian tax file number; sensitive HR identifier.</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employmentStartDate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employee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employmentEndDate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employee record or validity period.</w:t>
            </w:r>
          </w:p>
        </w:tc>
      </w:tr>
    </w:tbl>
    <w:p>
      <w:pPr>
        <w:spacing w:after="0"/>
      </w:pPr>
    </w:p>
    <w:p>
      <w:pPr>
        <w:pStyle w:val="Heading2"/>
      </w:pPr>
      <w:r>
        <w:t>employeeaddress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employeeaddress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employeeaddress history period; NULL identifies the current row.</w:t>
            </w:r>
          </w:p>
        </w:tc>
      </w:tr>
    </w:tbl>
    <w:p>
      <w:pPr>
        <w:spacing w:after="0"/>
      </w:pPr>
    </w:p>
    <w:p>
      <w:pPr>
        <w:pStyle w:val="Heading2"/>
      </w:pPr>
      <w:r>
        <w:t>employeephone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phone.phoneId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employeephone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employeephone history period; NULL identifies the current row.</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isPrimary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primary on the employeephone record.</w:t>
            </w:r>
          </w:p>
        </w:tc>
      </w:tr>
    </w:tbl>
    <w:p>
      <w:pPr>
        <w:spacing w:after="0"/>
      </w:pPr>
    </w:p>
    <w:p>
      <w:pPr>
        <w:pStyle w:val="Heading2"/>
      </w:pPr>
      <w:r>
        <w:t>employeequalification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qualificationId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qualification.qualificationId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awardedDate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employeequalification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expiryDate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employeequalification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certificateReference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certificate reference of the employeequalification.</w:t>
            </w:r>
          </w:p>
        </w:tc>
      </w:tr>
    </w:tbl>
    <w:p>
      <w:pPr>
        <w:spacing w:after="0"/>
      </w:pPr>
    </w:p>
    <w:p>
      <w:pPr>
        <w:pStyle w:val="Heading2"/>
      </w:pPr>
      <w:r>
        <w:t>employeerole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roleId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role.roleId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role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employeerole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employeerole history period; NULL identifies the current row.</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workTimeType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enum('FULLTIME','PARTTIME')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fulltime, parttime.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Indicates whether the appointment is full-time or part-time.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employmentType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enum('PERMANENT','CASUAL')</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permanent, casual.</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Legal engagement category: permanent or casual.</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employmentPattern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enum('ONGOING','SEASONAL')</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ongoing, seasonal.</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Indicates ongoing or seasonal work pattern independently of employment type.</w:t>
            </w:r>
          </w:p>
        </w:tc>
      </w:tr>
    </w:tbl>
    <w:p>
      <w:pPr>
        <w:spacing w:after="0"/>
      </w:pPr>
    </w:p>
    <w:p>
      <w:pPr>
        <w:pStyle w:val="Heading2"/>
      </w:pPr>
      <w:r>
        <w:t>grapevariety</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grapevariety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varietyName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grapevariety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juiceConversionPercent</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decimal(5,2)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Expected percentage of grape weight converted to juice.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storageContainer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enum('STAINLESSSTEEL','OAKBARREL','OTHER')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stainlesssteel, oakbarrel, other.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storage container of the grapevariety.</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agingDays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aging days of the grapevariety.</w:t>
            </w:r>
          </w:p>
        </w:tc>
      </w:tr>
    </w:tbl>
    <w:p>
      <w:pPr>
        <w:spacing w:after="0"/>
      </w:pPr>
    </w:p>
    <w:p>
      <w:pPr>
        <w:pStyle w:val="Heading2"/>
      </w:pPr>
      <w:r>
        <w:t>harvest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harvestId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harvest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vineyardplanting.vineyardId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vineyardplanting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vintageYear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vineyardplanting.vintageYear</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vintage year of the harvest.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vineyardplanting.grapeVarietyId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vineyardplanting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harvestedDate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harvest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weightKg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decimal(12,2)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weight kg of the harvest.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ripenessSugarPercent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decimal(5,2)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Harvest ripeness expressed as percentage sugar.</w:t>
            </w:r>
          </w:p>
        </w:tc>
      </w:tr>
    </w:tbl>
    <w:p>
      <w:pPr>
        <w:spacing w:after="0"/>
      </w:pPr>
    </w:p>
    <w:p>
      <w:pPr>
        <w:pStyle w:val="Heading2"/>
      </w:pPr>
      <w:r>
        <w:t>incident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incident date time of the incident.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enum('INJURY','NEARMISS','ILLNESS','EQUIPMENT','ENVIRONMENTAL','OTHER')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injury, nearmiss, illness, equipment, environmental, other.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incident type of the incident.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severity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enum('LOW','MODERATE','HIGH','CRITICAL')</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low, moderate, high, critical.</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Classifies incident seriousness for safety follow-up and reporting.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incidentDescription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varchar(1000)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varchar(1000)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description of the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totalLostHours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decimal(7,2)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Non-negative total labour hours lost because of an incident; may be zero for a serious near miss.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reportableFlag</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reportable flag on the incident record.</w:t>
            </w:r>
          </w:p>
        </w:tc>
      </w:tr>
    </w:tbl>
    <w:p>
      <w:pPr>
        <w:spacing w:after="0"/>
      </w:pPr>
    </w:p>
    <w:p>
      <w:pPr>
        <w:pStyle w:val="Heading2"/>
      </w:pPr>
      <w:r>
        <w:t>incidentemployee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incident.incidentId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incident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involvementRole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enum('AFFECTED','WITNESS','REPORTER')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affected, witness, reporter.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involvement role of the incidentemployee.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employeeLostHours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decimal(7,2)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 default 0.00.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employee lost hours of the incidentemployee.</w:t>
            </w:r>
          </w:p>
        </w:tc>
      </w:tr>
    </w:tbl>
    <w:p>
      <w:pPr>
        <w:spacing w:after="0"/>
      </w:pPr>
    </w:p>
    <w:p>
      <w:pPr>
        <w:pStyle w:val="Heading2"/>
      </w:pPr>
      <w:r>
        <w:t>individualcustomer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customer.customerId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individualcustomer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individualcustomer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dateOfBirth</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Birth date retained to demonstrate an individual customer's legal age.</w:t>
            </w:r>
          </w:p>
        </w:tc>
      </w:tr>
    </w:tbl>
    <w:p>
      <w:pPr>
        <w:spacing w:after="0"/>
      </w:pPr>
    </w:p>
    <w:p>
      <w:pPr>
        <w:pStyle w:val="Heading2"/>
      </w:pPr>
      <w:r>
        <w:t>medal</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medalId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medal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wine.wineId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medalType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enum('BRONZE','SILVER','GOLD','TROPHY')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bronze, silver, gold, trophy.</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medal type of the medal.</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awardYear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award year of the medal.</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awardingOrganisation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awarding organisation of the medal.</w:t>
            </w:r>
          </w:p>
        </w:tc>
      </w:tr>
    </w:tbl>
    <w:p>
      <w:pPr>
        <w:spacing w:after="0"/>
      </w:pPr>
    </w:p>
    <w:p>
      <w:pPr>
        <w:pStyle w:val="Heading2"/>
      </w:pPr>
      <w:r>
        <w:t>openincidentaction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correctiveActionId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incidentId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Stable identifier for a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incidentDateTime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incident date time of the openincidentaction.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severity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enum('LOW','MODERATE','HIGH','CRITICAL')</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low, moderate, high, critical.</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Classifies incident seriousness for safety follow-up and reporting.</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areaName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actionDescription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Business description of the openincidentaction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targetDate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openincidentaction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enum('OPEN','INPROGRESS','COMPLETED','CANCELLED')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open, inprogress, completed,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action status of the openincidentaction.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responsibleEmployee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varchar(101)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responsible employee of the openincidentaction.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daysOverdue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int</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days overdue of the openincidentaction.</w:t>
            </w:r>
          </w:p>
        </w:tc>
      </w:tr>
    </w:tbl>
    <w:p>
      <w:pPr>
        <w:spacing w:after="0"/>
      </w:pPr>
    </w:p>
    <w:p>
      <w:pPr>
        <w:pStyle w:val="Heading2"/>
      </w:pPr>
      <w:r>
        <w:t>operationalarea</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areaName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operationalarea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areaDescription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varchar(255)</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varchar(255)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Business description of the operationalarea record.</w:t>
            </w:r>
          </w:p>
        </w:tc>
      </w:tr>
    </w:tbl>
    <w:p>
      <w:pPr>
        <w:spacing w:after="0"/>
      </w:pPr>
    </w:p>
    <w:p>
      <w:pPr>
        <w:pStyle w:val="Heading2"/>
      </w:pPr>
      <w:r>
        <w:t>orderline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customerorder.customerOrderId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customerorder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wineproduct.productId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wineproduct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caseQuantity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Quantity recorded for the orderline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agreedCasePrice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decimal(10,2)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orderline fact in Australian dollars.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deliveryRecipientName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Recipient named by the buyer for the particular ordered product; may not be the customer.</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deliveryStreetAddress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varchar(220)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varchar(220)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of the recipient street address at order placement, independent of future customer address changes.</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deliveryLocality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suburb/locality for the product recipient.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deliveryStateCode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char(3)</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char(3)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Australian state/territory for product delivery.</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deliveryPostcode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char(4)</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char(4)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Snapshot postcode for product delivery.</w:t>
            </w:r>
          </w:p>
        </w:tc>
      </w:tr>
    </w:tbl>
    <w:p>
      <w:pPr>
        <w:spacing w:after="0"/>
      </w:pPr>
    </w:p>
    <w:p>
      <w:pPr>
        <w:pStyle w:val="Heading2"/>
      </w:pPr>
      <w:r>
        <w:t>packmember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pickerPackId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pickerpack.pickerPackId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pickerpack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joinedDate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packmember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leftDate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packmember record or validity period.</w:t>
            </w:r>
          </w:p>
        </w:tc>
      </w:tr>
    </w:tbl>
    <w:p>
      <w:pPr>
        <w:spacing w:after="0"/>
      </w:pPr>
    </w:p>
    <w:p>
      <w:pPr>
        <w:pStyle w:val="Heading2"/>
      </w:pPr>
      <w:r>
        <w:t>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countryCode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varchar(4)</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varchar(4) size; default +61.</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country code of the phone.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phoneNumber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phone number of the phone.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phoneType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enum('MOBILE','WORK','HOME','OTHER')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mobile, work, home, other.</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phone type of the phone.</w:t>
            </w:r>
          </w:p>
        </w:tc>
      </w:tr>
    </w:tbl>
    <w:p>
      <w:pPr>
        <w:spacing w:after="0"/>
      </w:pPr>
    </w:p>
    <w:p>
      <w:pPr>
        <w:pStyle w:val="Heading2"/>
      </w:pPr>
      <w:r>
        <w:t>pickerpack</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pickerPackId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pickerpack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packName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pickerpack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seasonYear</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season year of the pickerpack.</w:t>
            </w:r>
          </w:p>
        </w:tc>
      </w:tr>
    </w:tbl>
    <w:p>
      <w:pPr>
        <w:spacing w:after="0"/>
      </w:pPr>
    </w:p>
    <w:p>
      <w:pPr>
        <w:pStyle w:val="Heading2"/>
      </w:pPr>
      <w:r>
        <w:t>productprice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wineproduct.productId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wineproduct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effectiveDate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productprice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the corresponding start/effective date.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productprice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casePrice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decimal(10,2)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productprice fact in Australian dollars.</w:t>
            </w:r>
          </w:p>
        </w:tc>
      </w:tr>
    </w:tbl>
    <w:p>
      <w:pPr>
        <w:spacing w:after="0"/>
      </w:pPr>
    </w:p>
    <w:p>
      <w:pPr>
        <w:pStyle w:val="Heading2"/>
      </w:pPr>
      <w:r>
        <w:t>purchaseorder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purchaseOrderId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purchaseorder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orderedDate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purchaseorder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orderStatus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enum('PLACED','PARTRECEIVED','RECEIVED','CANCELLED')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placed, partreceived, received,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order status of the purchaseorder.</w:t>
            </w:r>
          </w:p>
        </w:tc>
      </w:tr>
    </w:tbl>
    <w:p>
      <w:pPr>
        <w:spacing w:after="0"/>
      </w:pPr>
    </w:p>
    <w:p>
      <w:pPr>
        <w:pStyle w:val="Heading2"/>
      </w:pPr>
      <w:r>
        <w:t>purchaseorderline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purchaseOrderId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purchaseorder.purchaseOrderId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purchaseorder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orderedQuantity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Quantity recorded for the purchaseorderline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quotedUnitPrice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decimal(8,2)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purchaseorderline fact in Australian dollars.</w:t>
            </w:r>
          </w:p>
        </w:tc>
      </w:tr>
    </w:tbl>
    <w:p>
      <w:pPr>
        <w:spacing w:after="0"/>
      </w:pPr>
    </w:p>
    <w:p>
      <w:pPr>
        <w:pStyle w:val="Heading2"/>
      </w:pPr>
      <w:r>
        <w:t>qualification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qualificationId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qualificationName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issuingAuthority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TRUE/FALSE indicator for issuing authority on the qualification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defaultValidityMonths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default validity months of the qualification.</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isSafetyCritical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safety critical on the qualification record.</w:t>
            </w:r>
          </w:p>
        </w:tc>
      </w:tr>
    </w:tbl>
    <w:p>
      <w:pPr>
        <w:spacing w:after="0"/>
      </w:pPr>
    </w:p>
    <w:p>
      <w:pPr>
        <w:pStyle w:val="Heading2"/>
      </w:pPr>
      <w:r>
        <w:t>receipt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receiptId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receipt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purchaseOrderId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purchaseorder.purchaseOrderId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purchaseorder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receivedDate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receipt record or validity period.</w:t>
            </w:r>
          </w:p>
        </w:tc>
      </w:tr>
    </w:tbl>
    <w:p>
      <w:pPr>
        <w:spacing w:after="0"/>
      </w:pPr>
    </w:p>
    <w:p>
      <w:pPr>
        <w:pStyle w:val="Heading2"/>
      </w:pPr>
      <w:r>
        <w:t>receiptline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receiptId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receipt.receiptId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receipt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receivedQuantity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Quantity recorded for the receiptline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actualUnitPrice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decimal(8,2)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receiptline fact in Australian dollars.</w:t>
            </w:r>
          </w:p>
        </w:tc>
      </w:tr>
    </w:tbl>
    <w:p>
      <w:pPr>
        <w:spacing w:after="0"/>
      </w:pPr>
    </w:p>
    <w:p>
      <w:pPr>
        <w:pStyle w:val="Heading2"/>
      </w:pPr>
      <w:r>
        <w:t>refund</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refundId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refund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orderline.customerOrderId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orderline.productId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refundDate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refund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refundReason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enum('SHORTSUPPLY','TRANSITDAMAGE')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shortsupply, transitdamage.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refund reason of the refund.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verifiedFlag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TRUE/FALSE indicator for verified flag on the refund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refundAmount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decimal(10,2)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Monetary value recorded for the refund fact in Australian dollars.</w:t>
            </w:r>
          </w:p>
        </w:tc>
      </w:tr>
    </w:tbl>
    <w:p>
      <w:pPr>
        <w:spacing w:after="0"/>
      </w:pPr>
    </w:p>
    <w:p>
      <w:pPr>
        <w:pStyle w:val="Heading2"/>
      </w:pPr>
      <w:r>
        <w:t>role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roleId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role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roleName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role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roleDescription</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varchar(255)</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varchar(255)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Business description of the role record.</w:t>
            </w:r>
          </w:p>
        </w:tc>
      </w:tr>
    </w:tbl>
    <w:p>
      <w:pPr>
        <w:spacing w:after="0"/>
      </w:pPr>
    </w:p>
    <w:p>
      <w:pPr>
        <w:pStyle w:val="Heading2"/>
      </w:pPr>
      <w:r>
        <w:t>seasonalrating</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seasonYear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season year of the seasonalrating.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ratingValue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Integer from 1 to 5.</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rating value of the seasonalrating.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recommendReemployment</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recommend reemployment of the seasonalrating.</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ratingComment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rating comment of the seasonalrating.</w:t>
            </w:r>
          </w:p>
        </w:tc>
      </w:tr>
    </w:tbl>
    <w:p>
      <w:pPr>
        <w:spacing w:after="0"/>
      </w:pPr>
    </w:p>
    <w:p>
      <w:pPr>
        <w:pStyle w:val="Heading2"/>
      </w:pPr>
      <w:r>
        <w:t>shift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shiftId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shift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shiftDate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shift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start time of the shift.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end time of the shift.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taskCategoryId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taskcategory.taskCategoryId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taskcategory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employee record.</w:t>
            </w:r>
          </w:p>
        </w:tc>
      </w:tr>
    </w:tbl>
    <w:p>
      <w:pPr>
        <w:spacing w:after="0"/>
      </w:pPr>
    </w:p>
    <w:p>
      <w:pPr>
        <w:pStyle w:val="Heading2"/>
      </w:pPr>
      <w:r>
        <w:t>shiftassignment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shiftId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shift.shiftId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shift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actualStartTime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Actual employee start time for this shift assignment.</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actualEndTime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Actual employee end time for this shift assignment.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breakMinutes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Non-negative numeric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Unpaid break minutes deducted when deriving labour hours.</w:t>
            </w:r>
          </w:p>
        </w:tc>
      </w:tr>
    </w:tbl>
    <w:p>
      <w:pPr>
        <w:spacing w:after="0"/>
      </w:pPr>
    </w:p>
    <w:p>
      <w:pPr>
        <w:pStyle w:val="Heading2"/>
      </w:pPr>
      <w:r>
        <w:t>shipment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shipmentId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shipment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customerOrderId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orderline.customerOrderId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orderline.productId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orderline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shippedDate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shipment record or validity period.</w:t>
            </w:r>
          </w:p>
        </w:tc>
      </w:tr>
    </w:tbl>
    <w:p>
      <w:pPr>
        <w:spacing w:after="0"/>
      </w:pPr>
    </w:p>
    <w:p>
      <w:pPr>
        <w:pStyle w:val="Heading2"/>
      </w:pPr>
      <w:r>
        <w:t>supervision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supervisorId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supervision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supervision history period; NULL identifies the current row.</w:t>
            </w:r>
          </w:p>
        </w:tc>
      </w:tr>
    </w:tbl>
    <w:p>
      <w:pPr>
        <w:spacing w:after="0"/>
      </w:pPr>
    </w:p>
    <w:p>
      <w:pPr>
        <w:pStyle w:val="Heading2"/>
      </w:pPr>
      <w:r>
        <w:t>supplier</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contactFirstName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contactLastName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supplier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contactEmail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varchar(254)</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varchar(254)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contact email of the supplier.</w:t>
            </w:r>
          </w:p>
        </w:tc>
      </w:tr>
    </w:tbl>
    <w:p>
      <w:pPr>
        <w:spacing w:after="0"/>
      </w:pPr>
    </w:p>
    <w:p>
      <w:pPr>
        <w:pStyle w:val="Heading2"/>
      </w:pPr>
      <w:r>
        <w:t>supplieraddress</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address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supplieraddress history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Optional end date/time of the supplieraddress history period; NULL identifies the current row.</w:t>
            </w:r>
          </w:p>
        </w:tc>
      </w:tr>
    </w:tbl>
    <w:p>
      <w:pPr>
        <w:spacing w:after="0"/>
      </w:pPr>
    </w:p>
    <w:p>
      <w:pPr>
        <w:pStyle w:val="Heading2"/>
      </w:pPr>
      <w:r>
        <w:t>supplierbottle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supplierBottleCode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supplier bottle code of the supplierbottle.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isAvailable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available on the supplierbottle record.</w:t>
            </w:r>
          </w:p>
        </w:tc>
      </w:tr>
    </w:tbl>
    <w:p>
      <w:pPr>
        <w:spacing w:after="0"/>
      </w:pPr>
    </w:p>
    <w:p>
      <w:pPr>
        <w:pStyle w:val="Heading2"/>
      </w:pPr>
      <w:r>
        <w:t>supplierphone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supplierId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supplier.supplierId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supplier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phoneId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phone.phoneId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phone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startDateTime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datetime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Inclusive start date/time of the supplierphone history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endDateTime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datetime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NULL for current, otherwise not earlier than startDateTime.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Optional end date/time of the supplierphone history period; NULL identifies the current row.</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isPrimary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primary on the supplierphone record.</w:t>
            </w:r>
          </w:p>
        </w:tc>
      </w:tr>
    </w:tbl>
    <w:p>
      <w:pPr>
        <w:spacing w:after="0"/>
      </w:pPr>
    </w:p>
    <w:p>
      <w:pPr>
        <w:pStyle w:val="Heading2"/>
      </w:pPr>
      <w:r>
        <w:t>taskcategory</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taskCategoryId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taskcategory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categoryName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varchar(60)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varchar(60)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taskcategory record.</w:t>
            </w:r>
          </w:p>
        </w:tc>
      </w:tr>
    </w:tbl>
    <w:p>
      <w:pPr>
        <w:spacing w:after="0"/>
      </w:pPr>
    </w:p>
    <w:p>
      <w:pPr>
        <w:pStyle w:val="Heading2"/>
      </w:pPr>
      <w:r>
        <w:t>trainingattendance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trainingSessionId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trainingsession.trainingSessionId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trainingsession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attendanceStatus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enum('REGISTERED','COMPLETED','FAILED','ABSENT')</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registered, completed, failed, absent.</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attendance status of the trainingattendance.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completionDate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trainingattendance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renewalDate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trainingattendance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competencyLevel</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enum('AWARENESS','COMPETENT','ADVANCED')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awareness, competent, advanced.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competency level of the trainingattendance.</w:t>
            </w:r>
          </w:p>
        </w:tc>
      </w:tr>
    </w:tbl>
    <w:p>
      <w:pPr>
        <w:spacing w:after="0"/>
      </w:pPr>
    </w:p>
    <w:p>
      <w:pPr>
        <w:pStyle w:val="Heading2"/>
      </w:pPr>
      <w:r>
        <w:t>trainingcourse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trainingCourseId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trainingcourse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courseName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trainingcourse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courseProvider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varchar(120)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varchar(120)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course provider of the trainingcourse.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trainingCategory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enum('SAFETY','SUSTAINABILITY','TECHNICAL','WELLBEING','OTHER')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Permitted values: safety, sustainability, technical, wellbeing, other.</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training category of the trainingcourse.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renewalMonths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value within the implemented MySQL type.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renewal months of the trainingcourse.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isMandatory</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0.</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mandatory on the trainingcourse record.</w:t>
            </w:r>
          </w:p>
        </w:tc>
      </w:tr>
    </w:tbl>
    <w:p>
      <w:pPr>
        <w:spacing w:after="0"/>
      </w:pPr>
    </w:p>
    <w:p>
      <w:pPr>
        <w:pStyle w:val="Heading2"/>
      </w:pPr>
      <w:r>
        <w:t>trainingsession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trainingSessionId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trainingsession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trainingCourseId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trainingcourse.trainingCourseId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trainingcourse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sessionDate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trainingsession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operationalAreaId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operationalarea.operationalAreaId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operationalarea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trainerName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trainingsession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deliveryMode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enum('INPERSON','ONLINE','BLENDED')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inperson, online, blended.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delivery mode of the trainingsession.</w:t>
            </w:r>
          </w:p>
        </w:tc>
      </w:tr>
    </w:tbl>
    <w:p>
      <w:pPr>
        <w:spacing w:after="0"/>
      </w:pPr>
    </w:p>
    <w:p>
      <w:pPr>
        <w:pStyle w:val="Heading2"/>
      </w:pPr>
      <w:r>
        <w:t>vineyard</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vineyard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vineyard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areaHectares</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decimal(6,2)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decimal hectares.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area hectares of the vineyard.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latitude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decimal(9,6)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Decimal latitude from -90 to 90.</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latitude of the vineyard.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longitude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decimal(9,6)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Decimal longitude from -180 to 180.</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longitude of the vineyard.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managerId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addressId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address.addressId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address record.</w:t>
            </w:r>
          </w:p>
        </w:tc>
      </w:tr>
    </w:tbl>
    <w:p>
      <w:pPr>
        <w:spacing w:after="0"/>
      </w:pPr>
    </w:p>
    <w:p>
      <w:pPr>
        <w:pStyle w:val="Heading2"/>
      </w:pPr>
      <w:r>
        <w:t>vineyardplanting</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vineyardId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vineyard.vineyardId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vineyard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vintageYear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vintage year of the vineyardplanting.</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grapevariety.grapeVarietyId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grapevariety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plantedDate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Date associated with the vineyardplanting record or validity period.</w:t>
            </w:r>
          </w:p>
        </w:tc>
      </w:tr>
    </w:tbl>
    <w:p>
      <w:pPr>
        <w:spacing w:after="0"/>
      </w:pPr>
    </w:p>
    <w:p>
      <w:pPr>
        <w:pStyle w:val="Heading2"/>
      </w:pPr>
      <w:r>
        <w:t>wellbeingaction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wellbeingActionId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wellbeingaction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wellbeingCheckinId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wellbeingcheckin.wellbeingCheckinId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wellbeingcheckin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actionDescription</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varchar(500)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varchar(500)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Business description of the wellbeingaction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targetDate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wellbeingaction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completedDate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wellbeingaction record or validity period.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actionStatus</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enum('OPEN','INPROGRESS','COMPLETED','CANCELLED')</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Permitted values: open, inprogress, completed, cancelled.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Records the action status of the wellbeingaction.</w:t>
            </w:r>
          </w:p>
        </w:tc>
      </w:tr>
    </w:tbl>
    <w:p>
      <w:pPr>
        <w:spacing w:after="0"/>
      </w:pPr>
    </w:p>
    <w:p>
      <w:pPr>
        <w:pStyle w:val="Heading2"/>
      </w:pPr>
      <w:r>
        <w:t>wellbeingcheckin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wellbeingCheckinId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char(8)</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char(8)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wellbeingcheckin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employeeId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managerId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employee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checkinDate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date</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date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Date associated with the wellbeingcheckin record or validity period.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concernRaisedFlag</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TRUE/FALSE.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TRUE/FALSE indicator for concern raised flag on the wellbeingcheckin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confidentialNote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varchar(1000)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varchar(1000)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YES</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Restricted wellbeing note; excluded from routine management reporting.</w:t>
            </w:r>
          </w:p>
        </w:tc>
      </w:tr>
    </w:tbl>
    <w:p>
      <w:pPr>
        <w:spacing w:after="0"/>
      </w:pPr>
    </w:p>
    <w:p>
      <w:pPr>
        <w:pStyle w:val="Heading2"/>
      </w:pPr>
      <w:r>
        <w:t>wellbeingtopic</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wellbeingTopicId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char(6)</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char(6)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wellbeingtopic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topicName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varchar(80)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varchar(80)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wellbeingtopic record.</w:t>
            </w:r>
          </w:p>
        </w:tc>
      </w:tr>
    </w:tbl>
    <w:p>
      <w:pPr>
        <w:spacing w:after="0"/>
      </w:pPr>
    </w:p>
    <w:p>
      <w:pPr>
        <w:pStyle w:val="Heading2"/>
      </w:pPr>
      <w:r>
        <w:t>wine</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wineName</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varchar(100)</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varchar(100)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Human-readable name used for the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vintageYear</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year</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Valid MySQL year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vintage year of the wine.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char(5)</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char(5)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winecategory.wineCategoryId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winecategory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alcoholPercent</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decimal(4,2)</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Records the alcohol percent of the wine.</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winemakerId</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employee.employeeId</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Identifies the related employee record.</w:t>
            </w:r>
          </w:p>
        </w:tc>
      </w:tr>
    </w:tbl>
    <w:p>
      <w:pPr>
        <w:spacing w:after="0"/>
      </w:pPr>
    </w:p>
    <w:p>
      <w:pPr>
        <w:pStyle w:val="Heading2"/>
      </w:pPr>
      <w:r>
        <w:t>winecategory</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wineCategoryId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char(5)</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char(5)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winecategory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categoryName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varchar(40)</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Text up to the implemented varchar(40) size.</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Human-readable name used for the winecategory record.</w:t>
            </w:r>
          </w:p>
        </w:tc>
      </w:tr>
    </w:tbl>
    <w:p>
      <w:pPr>
        <w:spacing w:after="0"/>
      </w:pPr>
    </w:p>
    <w:p>
      <w:pPr>
        <w:pStyle w:val="Heading2"/>
      </w:pPr>
      <w:r>
        <w:t>winecomposition</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wine.wineId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grapeVarietyId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grapevariety.grapeVarietyId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grapevariety record.</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proportionPercent</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decimal(5,2)</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Numeric percentage greater than 0 and no more than 100, except alcohol is capped at 25 as implemented.</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Percentage contribution of a grape variety to a wine composition.</w:t>
            </w:r>
          </w:p>
        </w:tc>
      </w:tr>
    </w:tbl>
    <w:p>
      <w:pPr>
        <w:spacing w:after="0"/>
      </w:pPr>
    </w:p>
    <w:p>
      <w:pPr>
        <w:pStyle w:val="Heading2"/>
      </w:pPr>
      <w:r>
        <w:t>wineproduct</w:t>
      </w:r>
    </w:p>
    <w:tbl>
      <w:tblPr>
        <w:tblStyle w:val="TableGrid"/>
        <w:tblW w:type="dxa" w:w="13963"/>
        <w:tblLayout w:type="fixed"/>
        <w:tblLook w:firstColumn="1" w:firstRow="1" w:lastColumn="0" w:lastRow="0" w:noHBand="0" w:noVBand="1" w:val="04A0"/>
        <w:tblInd w:w="120" w:type="dxa"/>
      </w:tblPr>
      <w:tblGrid>
        <w:gridCol w:w="1566"/>
        <w:gridCol w:w="1417"/>
        <w:gridCol w:w="1641"/>
        <w:gridCol w:w="596"/>
        <w:gridCol w:w="596"/>
        <w:gridCol w:w="522"/>
        <w:gridCol w:w="1641"/>
        <w:gridCol w:w="5984"/>
      </w:tblGrid>
      <w:tr>
        <w:trPr>
          <w:tblHeader w:val="true"/>
          <w:cantSplit/>
        </w:trPr>
        <w:tc>
          <w:tcPr>
            <w:tcW w:type="dxa" w:w="1566"/>
            <w:shd w:fill="DCE6F1"/>
            <w:vAlign w:val="center"/>
            <w:tcMar>
              <w:top w:w="80" w:type="dxa"/>
              <w:start w:w="100" w:type="dxa"/>
              <w:bottom w:w="80" w:type="dxa"/>
              <w:end w:w="100" w:type="dxa"/>
            </w:tcMar>
          </w:tcPr>
          <w:p>
            <w:pPr>
              <w:keepNext/>
              <w:jc w:val="center"/>
            </w:pPr>
            <w:r>
              <w:rPr>
                <w:rFonts w:ascii="Times New Roman" w:hAnsi="Times New Roman"/>
                <w:b/>
                <w:color w:val="1F2937"/>
                <w:sz w:val="20"/>
              </w:rPr>
              <w:t>Attribute</w:t>
            </w:r>
          </w:p>
        </w:tc>
        <w:tc>
          <w:tcPr>
            <w:tcW w:type="dxa" w:w="1417"/>
            <w:shd w:fill="DCE6F1"/>
            <w:vAlign w:val="center"/>
            <w:tcMar>
              <w:top w:w="80" w:type="dxa"/>
              <w:start w:w="100" w:type="dxa"/>
              <w:bottom w:w="80" w:type="dxa"/>
              <w:end w:w="100" w:type="dxa"/>
            </w:tcMar>
          </w:tcPr>
          <w:p>
            <w:pPr>
              <w:keepNext/>
              <w:jc w:val="center"/>
            </w:pPr>
            <w:r>
              <w:rPr>
                <w:rFonts w:ascii="Times New Roman" w:hAnsi="Times New Roman"/>
                <w:b/>
                <w:color w:val="1F2937"/>
                <w:sz w:val="20"/>
              </w:rPr>
              <w:t>Type/size</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Domain/default</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Null</w:t>
            </w:r>
          </w:p>
        </w:tc>
        <w:tc>
          <w:tcPr>
            <w:tcW w:type="dxa" w:w="596"/>
            <w:shd w:fill="DCE6F1"/>
            <w:vAlign w:val="center"/>
            <w:tcMar>
              <w:top w:w="80" w:type="dxa"/>
              <w:start w:w="100" w:type="dxa"/>
              <w:bottom w:w="80" w:type="dxa"/>
              <w:end w:w="100" w:type="dxa"/>
            </w:tcMar>
          </w:tcPr>
          <w:p>
            <w:pPr>
              <w:keepNext/>
              <w:jc w:val="center"/>
            </w:pPr>
            <w:r>
              <w:rPr>
                <w:rFonts w:ascii="Times New Roman" w:hAnsi="Times New Roman"/>
                <w:b/>
                <w:color w:val="1F2937"/>
                <w:sz w:val="20"/>
              </w:rPr>
              <w:t>Unique</w:t>
            </w:r>
          </w:p>
        </w:tc>
        <w:tc>
          <w:tcPr>
            <w:tcW w:type="dxa" w:w="522"/>
            <w:shd w:fill="DCE6F1"/>
            <w:vAlign w:val="center"/>
            <w:tcMar>
              <w:top w:w="80" w:type="dxa"/>
              <w:start w:w="100" w:type="dxa"/>
              <w:bottom w:w="80" w:type="dxa"/>
              <w:end w:w="100" w:type="dxa"/>
            </w:tcMar>
          </w:tcPr>
          <w:p>
            <w:pPr>
              <w:keepNext/>
              <w:jc w:val="center"/>
            </w:pPr>
            <w:r>
              <w:rPr>
                <w:rFonts w:ascii="Times New Roman" w:hAnsi="Times New Roman"/>
                <w:b/>
                <w:color w:val="1F2937"/>
                <w:sz w:val="20"/>
              </w:rPr>
              <w:t>PK</w:t>
            </w:r>
          </w:p>
        </w:tc>
        <w:tc>
          <w:tcPr>
            <w:tcW w:type="dxa" w:w="1641"/>
            <w:shd w:fill="DCE6F1"/>
            <w:vAlign w:val="center"/>
            <w:tcMar>
              <w:top w:w="80" w:type="dxa"/>
              <w:start w:w="100" w:type="dxa"/>
              <w:bottom w:w="80" w:type="dxa"/>
              <w:end w:w="100" w:type="dxa"/>
            </w:tcMar>
          </w:tcPr>
          <w:p>
            <w:pPr>
              <w:keepNext/>
              <w:jc w:val="center"/>
            </w:pPr>
            <w:r>
              <w:rPr>
                <w:rFonts w:ascii="Times New Roman" w:hAnsi="Times New Roman"/>
                <w:b/>
                <w:color w:val="1F2937"/>
                <w:sz w:val="20"/>
              </w:rPr>
              <w:t>FK reference</w:t>
            </w:r>
          </w:p>
        </w:tc>
        <w:tc>
          <w:tcPr>
            <w:tcW w:type="dxa" w:w="5984"/>
            <w:shd w:fill="DCE6F1"/>
            <w:vAlign w:val="center"/>
            <w:tcMar>
              <w:top w:w="80" w:type="dxa"/>
              <w:start w:w="100" w:type="dxa"/>
              <w:bottom w:w="80" w:type="dxa"/>
              <w:end w:w="100" w:type="dxa"/>
            </w:tcMar>
          </w:tcPr>
          <w:p>
            <w:pPr>
              <w:keepNext/>
              <w:jc w:val="center"/>
            </w:pPr>
            <w:r>
              <w:rPr>
                <w:rFonts w:ascii="Times New Roman" w:hAnsi="Times New Roman"/>
                <w:b/>
                <w:color w:val="1F2937"/>
                <w:sz w:val="20"/>
              </w:rPr>
              <w:t>Definition / business purpose</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productId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Stable identifier for a wineproduct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wineId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wine.wineId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wine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bottleTypeId</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char(7)</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Text up to the implemented char(7) size.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bottletype.bottleTypeId</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Identifies the related bottletype record.</w:t>
            </w:r>
          </w:p>
        </w:tc>
      </w:tr>
      <w:tr>
        <w:trPr>
          <w:cantSplit/>
        </w:trPr>
        <w:tc>
          <w:tcPr>
            <w:tcW w:type="dxa" w:w="1566"/>
            <w:vAlign w:val="center"/>
            <w:tcMar>
              <w:top w:w="80" w:type="dxa"/>
              <w:start w:w="100" w:type="dxa"/>
              <w:bottom w:w="80" w:type="dxa"/>
              <w:end w:w="100" w:type="dxa"/>
            </w:tcMar>
          </w:tcPr>
          <w:p>
            <w:pPr>
              <w:keepNext/>
              <w:spacing w:after="0"/>
            </w:pPr>
            <w:r>
              <w:rPr>
                <w:rFonts w:ascii="Times New Roman" w:hAnsi="Times New Roman"/>
                <w:sz w:val="20"/>
              </w:rPr>
              <w:t>caseQuantity</w:t>
            </w:r>
          </w:p>
        </w:tc>
        <w:tc>
          <w:tcPr>
            <w:tcW w:type="dxa" w:w="1417"/>
            <w:vAlign w:val="center"/>
            <w:tcMar>
              <w:top w:w="80" w:type="dxa"/>
              <w:start w:w="100" w:type="dxa"/>
              <w:bottom w:w="80" w:type="dxa"/>
              <w:end w:w="100" w:type="dxa"/>
            </w:tcMar>
          </w:tcPr>
          <w:p>
            <w:pPr>
              <w:keepNext/>
              <w:spacing w:after="0"/>
            </w:pPr>
            <w:r>
              <w:rPr>
                <w:rFonts w:ascii="Times New Roman" w:hAnsi="Times New Roman"/>
                <w:sz w:val="20"/>
              </w:rPr>
              <w:t>smallint unsigned</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Positive numeric value.</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spacing w:after="0"/>
            </w:pPr>
            <w:r>
              <w:rPr>
                <w:rFonts w:ascii="Times New Roman" w:hAnsi="Times New Roman"/>
                <w:sz w:val="20"/>
              </w:rPr>
              <w:t>Y</w:t>
            </w:r>
          </w:p>
        </w:tc>
        <w:tc>
          <w:tcPr>
            <w:tcW w:type="dxa" w:w="522"/>
            <w:vAlign w:val="center"/>
            <w:tcMar>
              <w:top w:w="80" w:type="dxa"/>
              <w:start w:w="100" w:type="dxa"/>
              <w:bottom w:w="80" w:type="dxa"/>
              <w:end w:w="100" w:type="dxa"/>
            </w:tcMar>
          </w:tcPr>
          <w:p>
            <w:pPr>
              <w:keepNext/>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spacing w:after="0"/>
            </w:pPr>
            <w:r>
              <w:rPr>
                <w:rFonts w:ascii="Times New Roman" w:hAnsi="Times New Roman"/>
                <w:sz w:val="20"/>
              </w:rPr>
              <w:t>Quantity recorded for the wineproduct transaction or inventory fact.</w:t>
            </w:r>
          </w:p>
        </w:tc>
      </w:tr>
      <w:tr>
        <w:trPr>
          <w:cantSplit/>
        </w:trPr>
        <w:tc>
          <w:tcPr>
            <w:tcW w:type="dxa" w:w="1566"/>
            <w:vAlign w:val="center"/>
            <w:tcMar>
              <w:top w:w="80" w:type="dxa"/>
              <w:start w:w="100" w:type="dxa"/>
              <w:bottom w:w="80" w:type="dxa"/>
              <w:end w:w="100" w:type="dxa"/>
            </w:tcMar>
          </w:tcPr>
          <w:p>
            <w:pPr>
              <w:keepNext w:val="0"/>
              <w:spacing w:after="0"/>
            </w:pPr>
            <w:r>
              <w:rPr>
                <w:rFonts w:ascii="Times New Roman" w:hAnsi="Times New Roman"/>
                <w:sz w:val="20"/>
              </w:rPr>
              <w:t>isActive</w:t>
            </w:r>
          </w:p>
        </w:tc>
        <w:tc>
          <w:tcPr>
            <w:tcW w:type="dxa" w:w="1417"/>
            <w:vAlign w:val="center"/>
            <w:tcMar>
              <w:top w:w="80" w:type="dxa"/>
              <w:start w:w="100" w:type="dxa"/>
              <w:bottom w:w="80" w:type="dxa"/>
              <w:end w:w="100" w:type="dxa"/>
            </w:tcMar>
          </w:tcPr>
          <w:p>
            <w:pPr>
              <w:keepNext w:val="0"/>
              <w:spacing w:after="0"/>
            </w:pPr>
            <w:r>
              <w:rPr>
                <w:rFonts w:ascii="Times New Roman" w:hAnsi="Times New Roman"/>
                <w:sz w:val="20"/>
              </w:rPr>
              <w:t>tinyint(1)</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TRUE/FALSE; default 1.</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NO</w:t>
            </w:r>
          </w:p>
        </w:tc>
        <w:tc>
          <w:tcPr>
            <w:tcW w:type="dxa" w:w="596"/>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522"/>
            <w:vAlign w:val="center"/>
            <w:tcMar>
              <w:top w:w="80" w:type="dxa"/>
              <w:start w:w="100" w:type="dxa"/>
              <w:bottom w:w="80" w:type="dxa"/>
              <w:end w:w="100" w:type="dxa"/>
            </w:tcMar>
          </w:tcPr>
          <w:p>
            <w:pPr>
              <w:keepNext w:val="0"/>
              <w:spacing w:after="0"/>
            </w:pPr>
            <w:r>
              <w:rPr>
                <w:rFonts w:ascii="Times New Roman" w:hAnsi="Times New Roman"/>
                <w:sz w:val="20"/>
              </w:rPr>
              <w:t>N</w:t>
            </w:r>
          </w:p>
        </w:tc>
        <w:tc>
          <w:tcPr>
            <w:tcW w:type="dxa" w:w="1641"/>
            <w:vAlign w:val="center"/>
            <w:tcMar>
              <w:top w:w="80" w:type="dxa"/>
              <w:start w:w="100" w:type="dxa"/>
              <w:bottom w:w="80" w:type="dxa"/>
              <w:end w:w="100" w:type="dxa"/>
            </w:tcMar>
          </w:tcPr>
          <w:p>
            <w:pPr>
              <w:keepNext w:val="0"/>
              <w:spacing w:after="0"/>
            </w:pPr>
            <w:r>
              <w:rPr>
                <w:rFonts w:ascii="Times New Roman" w:hAnsi="Times New Roman"/>
                <w:sz w:val="20"/>
              </w:rPr>
              <w:t>—</w:t>
            </w:r>
          </w:p>
        </w:tc>
        <w:tc>
          <w:tcPr>
            <w:tcW w:type="dxa" w:w="5984"/>
            <w:vAlign w:val="center"/>
            <w:tcMar>
              <w:top w:w="80" w:type="dxa"/>
              <w:start w:w="100" w:type="dxa"/>
              <w:bottom w:w="80" w:type="dxa"/>
              <w:end w:w="100" w:type="dxa"/>
            </w:tcMar>
          </w:tcPr>
          <w:p>
            <w:pPr>
              <w:keepNext w:val="0"/>
              <w:spacing w:after="0"/>
            </w:pPr>
            <w:r>
              <w:rPr>
                <w:rFonts w:ascii="Times New Roman" w:hAnsi="Times New Roman"/>
                <w:sz w:val="20"/>
              </w:rPr>
              <w:t>TRUE/FALSE indicator for is active on the wineproduct record.</w:t>
            </w:r>
          </w:p>
        </w:tc>
      </w:tr>
    </w:tbl>
    <w:p>
      <w:pPr>
        <w:spacing w:after="0"/>
      </w:pPr>
    </w:p>
    <w:p>
      <w:pPr>
        <w:sectPr>
          <w:pgSz w:w="16848" w:h="11952" w:orient="landscape"/>
          <w:pgMar w:top="1440" w:right="1440" w:bottom="1440" w:left="1440" w:header="708" w:footer="708" w:gutter="0"/>
          <w:cols w:space="720"/>
          <w:docGrid w:linePitch="360"/>
        </w:sectPr>
      </w:pPr>
    </w:p>
    <w:p>
      <w:pPr>
        <w:pStyle w:val="Heading1"/>
      </w:pPr>
      <w:r>
        <w:t>Appendix C — Submission and Handoff Checklist</w:t>
      </w:r>
    </w:p>
    <w:tbl>
      <w:tblPr>
        <w:tblStyle w:val="TableGrid"/>
        <w:tblW w:type="dxa" w:w="9071"/>
        <w:tblLayout w:type="fixed"/>
        <w:tblLook w:firstColumn="1" w:firstRow="1" w:lastColumn="0" w:lastRow="0" w:noHBand="0" w:noVBand="1" w:val="04A0"/>
        <w:tblInd w:w="120" w:type="dxa"/>
      </w:tblPr>
      <w:tblGrid>
        <w:gridCol w:w="3489"/>
        <w:gridCol w:w="5582"/>
      </w:tblGrid>
      <w:tr>
        <w:trPr>
          <w:tblHeader w:val="true"/>
          <w:cantSplit/>
        </w:trPr>
        <w:tc>
          <w:tcPr>
            <w:tcW w:type="dxa" w:w="3489"/>
            <w:shd w:fill="DCE6F1"/>
            <w:vAlign w:val="center"/>
            <w:tcMar>
              <w:top w:w="80" w:type="dxa"/>
              <w:start w:w="100" w:type="dxa"/>
              <w:bottom w:w="80" w:type="dxa"/>
              <w:end w:w="100" w:type="dxa"/>
            </w:tcMar>
          </w:tcPr>
          <w:p>
            <w:pPr>
              <w:keepNext/>
              <w:jc w:val="center"/>
            </w:pPr>
            <w:r>
              <w:rPr>
                <w:rFonts w:ascii="Times New Roman" w:hAnsi="Times New Roman"/>
                <w:b/>
                <w:color w:val="1F2937"/>
                <w:sz w:val="18"/>
              </w:rPr>
              <w:t>Item</w:t>
            </w:r>
          </w:p>
        </w:tc>
        <w:tc>
          <w:tcPr>
            <w:tcW w:type="dxa" w:w="5582"/>
            <w:shd w:fill="DCE6F1"/>
            <w:vAlign w:val="center"/>
            <w:tcMar>
              <w:top w:w="80" w:type="dxa"/>
              <w:start w:w="100" w:type="dxa"/>
              <w:bottom w:w="80" w:type="dxa"/>
              <w:end w:w="100" w:type="dxa"/>
            </w:tcMar>
          </w:tcPr>
          <w:p>
            <w:pPr>
              <w:keepNext/>
              <w:jc w:val="center"/>
            </w:pPr>
            <w:r>
              <w:rPr>
                <w:rFonts w:ascii="Times New Roman" w:hAnsi="Times New Roman"/>
                <w:b/>
                <w:color w:val="1F2937"/>
                <w:sz w:val="18"/>
              </w:rPr>
              <w:t>Status</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Portable database SQL</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Completed and clean-build verified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Six query script</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Completed and executed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Five Task 3b violation blocks</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Completed and rejected as expected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Workbench model / EER views</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Regenerated from revised schema in Workbench; UML notation</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Official workbook cleaning</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132 accepted order lines / 79 orders; 50 customers / 102 addresses / 53 histories imported; 182-row reconciliation complete with disclosed quarantines</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Task 8 — Week 11 scenario</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WAITING FOR COURSE MATERIAL; students add the actual tutor scenario when supplied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Final Workbench screenshots</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Local capture complete; submitting students review evidence and recapture if course policy requires</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Four-person video</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Student recording required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RiPPlE prompt logs / peer review</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Genuine student activity required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Buddycheck / contribution confirmation</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Student activity required; no historical hours or completion dates invented</w:t>
            </w:r>
          </w:p>
        </w:tc>
      </w:tr>
      <w:tr>
        <w:trPr>
          <w:cantSplit/>
        </w:trPr>
        <w:tc>
          <w:tcPr>
            <w:tcW w:type="dxa" w:w="3489"/>
            <w:vAlign w:val="center"/>
            <w:tcMar>
              <w:top w:w="80" w:type="dxa"/>
              <w:start w:w="100" w:type="dxa"/>
              <w:bottom w:w="80" w:type="dxa"/>
              <w:end w:w="100" w:type="dxa"/>
            </w:tcMar>
          </w:tcPr>
          <w:p>
            <w:pPr>
              <w:keepNext w:val="0"/>
              <w:spacing w:after="0"/>
            </w:pPr>
            <w:r>
              <w:rPr>
                <w:rFonts w:ascii="Times New Roman" w:hAnsi="Times New Roman"/>
                <w:sz w:val="18"/>
              </w:rPr>
              <w:t>Draft alias mapping</w:t>
            </w:r>
          </w:p>
        </w:tc>
        <w:tc>
          <w:tcPr>
            <w:tcW w:type="dxa" w:w="5582"/>
            <w:vAlign w:val="center"/>
            <w:tcMar>
              <w:top w:w="80" w:type="dxa"/>
              <w:start w:w="100" w:type="dxa"/>
              <w:bottom w:w="80" w:type="dxa"/>
              <w:end w:w="100" w:type="dxa"/>
            </w:tcMar>
          </w:tcPr>
          <w:p>
            <w:pPr>
              <w:keepNext w:val="0"/>
              <w:spacing w:after="0"/>
            </w:pPr>
            <w:r>
              <w:rPr>
                <w:rFonts w:ascii="Times New Roman" w:hAnsi="Times New Roman"/>
                <w:sz w:val="18"/>
              </w:rPr>
              <w:t>Not supplied; no alias-to-real-name mapping guessed</w:t>
            </w:r>
          </w:p>
        </w:tc>
      </w:tr>
    </w:tbl>
    <w:p>
      <w:pPr>
        <w:spacing w:after="0"/>
      </w:pPr>
    </w:p>
    <w:sectPr w:rsidR="00FC693F" w:rsidRPr="0006063C" w:rsidSect="00034616">
      <w:pgSz w:w="11952" w:h="1684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573"/>
        <w:sz w:val="18"/>
      </w:rPr>
      <w:t xml:space="preserve">Cloudrest Wines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B6573"/>
        <w:sz w:val="18"/>
      </w:rPr>
      <w:t>Cloudrest Wines | BISM2207 System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