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Timeline App静态代码测试报告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（撰写人：方堃）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使用P3C进行代码规范检查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如下图所示，共5处不合规范，应该为每个类添加一个@author注释，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577080" cy="25812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41577" r="47263" b="5572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具体提示信息如下图，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036185" cy="221996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9894" t="39649" r="21944" b="14788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故按照提示为每个类添加注释信息，如下图：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25545" cy="3630930"/>
            <wp:effectExtent l="0" t="0" r="825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363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使用Sonarlint进行bug检查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如下图所示，检测出10处问题，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20105" cy="2889250"/>
            <wp:effectExtent l="0" t="0" r="1079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按错误类型分，共4种类型的问题：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缺陷1：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26"/>
        <w:gridCol w:w="6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缺陷名称</w:t>
            </w:r>
          </w:p>
        </w:tc>
        <w:tc>
          <w:tcPr>
            <w:tcW w:w="669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Remove this hard-coded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等级</w:t>
            </w:r>
          </w:p>
        </w:tc>
        <w:tc>
          <w:tcPr>
            <w:tcW w:w="669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Blocker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解决方案</w:t>
            </w:r>
          </w:p>
        </w:tc>
        <w:tc>
          <w:tcPr>
            <w:tcW w:w="669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定义新的变量以取代hard code的使用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33365" cy="1605915"/>
            <wp:effectExtent l="0" t="0" r="63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缺陷2：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6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缺陷名称</w:t>
            </w:r>
          </w:p>
        </w:tc>
        <w:tc>
          <w:tcPr>
            <w:tcW w:w="685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Refactor this method to reduce its Cognitive Complexity from 24 to the 15 allowed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等级</w:t>
            </w:r>
          </w:p>
        </w:tc>
        <w:tc>
          <w:tcPr>
            <w:tcW w:w="685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Critical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解决方案</w:t>
            </w:r>
          </w:p>
        </w:tc>
        <w:tc>
          <w:tcPr>
            <w:tcW w:w="685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将该方法重构，降低认知复杂度到规定的范围内</w:t>
            </w:r>
          </w:p>
        </w:tc>
      </w:tr>
    </w:tbl>
    <w:p>
      <w:pPr>
        <w:numPr>
          <w:numId w:val="0"/>
        </w:numPr>
      </w:pPr>
      <w:r>
        <w:drawing>
          <wp:inline distT="0" distB="0" distL="114300" distR="114300">
            <wp:extent cx="5271135" cy="1814830"/>
            <wp:effectExtent l="0" t="0" r="12065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缺陷3：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6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缺陷名称</w:t>
            </w:r>
          </w:p>
        </w:tc>
        <w:tc>
          <w:tcPr>
            <w:tcW w:w="686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Define a constant instead of duplicating this literal 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imageURL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等级</w:t>
            </w:r>
          </w:p>
        </w:tc>
        <w:tc>
          <w:tcPr>
            <w:tcW w:w="686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Critical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解决方案</w:t>
            </w:r>
          </w:p>
        </w:tc>
        <w:tc>
          <w:tcPr>
            <w:tcW w:w="68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将使用多次的值定义成新的常量，避免重复代码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618615"/>
            <wp:effectExtent l="0" t="0" r="9525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缺陷4：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7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缺陷名称</w:t>
            </w:r>
          </w:p>
        </w:tc>
        <w:tc>
          <w:tcPr>
            <w:tcW w:w="73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Use a variable binding mechanism to construct this query instead of concatenation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等级</w:t>
            </w:r>
          </w:p>
        </w:tc>
        <w:tc>
          <w:tcPr>
            <w:tcW w:w="732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Critical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解决方案</w:t>
            </w:r>
          </w:p>
        </w:tc>
        <w:tc>
          <w:tcPr>
            <w:tcW w:w="732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该缺陷指没有使用SQL的参数绑定机制，这样可能会有SQL注入攻击的隐患，因此，使用PreparedStatement来进行参数绑定：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565650" cy="1052195"/>
                  <wp:effectExtent l="0" t="0" r="6350" b="1905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650" cy="1052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382645"/>
            <wp:effectExtent l="0" t="0" r="11430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50ADFC"/>
    <w:multiLevelType w:val="singleLevel"/>
    <w:tmpl w:val="A550AD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21DB4"/>
    <w:rsid w:val="05472A09"/>
    <w:rsid w:val="2D7B537C"/>
    <w:rsid w:val="4560597A"/>
    <w:rsid w:val="5B721DB4"/>
    <w:rsid w:val="60087EC6"/>
    <w:rsid w:val="7072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2019-01-02T08:44:00Z</dcterms:created>
  <dc:creator>MonaLisa1412429210</dc:creator>
  <cp:lastModifiedBy>MonaLisa1412429210</cp:lastModifiedBy>
  <dcterms:modified xsi:type="dcterms:W3CDTF">2019-01-02T12:49:46Z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