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0"/>
      </w:r>
      <w:r>
        <w:rPr>
          <w:rStyle w:val="22"/>
          <w:rFonts w:hint="eastAsia" w:ascii="宋体" w:hAnsi="宋体" w:cs="宋体"/>
          <w:color w:val="000000"/>
          <w:kern w:val="2"/>
          <w:sz w:val="24"/>
          <w:szCs w:val="24"/>
        </w:rPr>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STYLEREF 1 \s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noBreakHyphen/>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SEQ HPS教学理念在课标必修课程部分中的体现 \* ARABIC \s 1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C27E15C">
      <w:pPr>
        <w:pStyle w:val="23"/>
        <w:widowControl w:val="0"/>
        <w:ind w:firstLine="460"/>
        <w:jc w:val="both"/>
        <w:rPr>
          <w:rFonts w:hint="eastAsia" w:ascii="宋体" w:hAnsi="宋体" w:cs="宋体"/>
          <w:color w:val="000000"/>
          <w:kern w:val="2"/>
          <w:sz w:val="24"/>
          <w:szCs w:val="24"/>
        </w:r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r>
      <w:r>
        <w:rPr>
          <w:rStyle w:val="22"/>
          <w:rFonts w:ascii="宋体" w:hAnsi="宋体" w:cs="宋体"/>
          <w:color w:val="000000"/>
          <w:kern w:val="2"/>
          <w:sz w:val="24"/>
          <w:szCs w:val="24"/>
        </w:rPr>
        <w:footnoteReference w:id="1"/>
      </w:r>
      <w:r>
        <w:rPr>
          <w:rStyle w:val="22"/>
          <w:rFonts w:ascii="宋体" w:hAnsi="宋体" w:cs="宋体"/>
          <w:color w:val="000000"/>
          <w:kern w:val="2"/>
          <w:sz w:val="24"/>
          <w:szCs w:val="24"/>
        </w:rPr>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r>
      <w:r>
        <w:rPr>
          <w:rFonts w:hint="eastAsia" w:ascii="宋体" w:hAnsi="宋体" w:cs="宋体"/>
          <w:color w:val="000000"/>
          <w:kern w:val="2"/>
          <w:sz w:val="24"/>
          <w:szCs w:val="24"/>
          <w:vertAlign w:val="superscript"/>
        </w:rPr>
        <w:footnoteReference w:id="2"/>
      </w:r>
      <w:r>
        <w:rPr>
          <w:rFonts w:hint="eastAsia" w:ascii="宋体" w:hAnsi="宋体" w:cs="宋体"/>
          <w:color w:val="000000"/>
          <w:kern w:val="2"/>
          <w:sz w:val="24"/>
          <w:szCs w:val="24"/>
          <w:vertAlign w:val="superscript"/>
        </w:rPr>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5"/>
      </w:r>
      <w:r>
        <w:rPr>
          <w:rStyle w:val="22"/>
          <w:rFonts w:hint="eastAsia" w:ascii="宋体" w:hAnsi="宋体" w:cs="宋体"/>
          <w:color w:val="000000"/>
          <w:kern w:val="2"/>
          <w:sz w:val="24"/>
          <w:szCs w:val="24"/>
        </w:rPr>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6"/>
      </w:r>
      <w:r>
        <w:rPr>
          <w:rFonts w:ascii="宋体" w:hAnsi="宋体" w:cs="宋体"/>
          <w:color w:val="000000"/>
          <w:kern w:val="2"/>
          <w:sz w:val="24"/>
          <w:szCs w:val="24"/>
          <w:vertAlign w:val="superscript"/>
        </w:rPr>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7"/>
      </w:r>
      <w:r>
        <w:rPr>
          <w:rFonts w:ascii="宋体" w:hAnsi="宋体" w:cs="宋体"/>
          <w:color w:val="000000"/>
          <w:kern w:val="2"/>
          <w:sz w:val="24"/>
          <w:szCs w:val="24"/>
          <w:vertAlign w:val="superscript"/>
        </w:rPr>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8"/>
      </w:r>
      <w:r>
        <w:rPr>
          <w:rFonts w:ascii="宋体" w:hAnsi="宋体" w:cs="宋体"/>
          <w:color w:val="000000"/>
          <w:kern w:val="2"/>
          <w:sz w:val="24"/>
          <w:szCs w:val="24"/>
          <w:vertAlign w:val="superscript"/>
        </w:rPr>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9"/>
      </w:r>
      <w:r>
        <w:rPr>
          <w:rStyle w:val="22"/>
          <w:rFonts w:hint="eastAsia" w:ascii="宋体" w:hAnsi="宋体" w:cs="宋体"/>
          <w:color w:val="000000"/>
          <w:kern w:val="2"/>
          <w:sz w:val="24"/>
          <w:szCs w:val="24"/>
        </w:rPr>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r>
      <w:r>
        <w:rPr>
          <w:rStyle w:val="22"/>
          <w:rFonts w:ascii="宋体" w:hAnsi="宋体" w:cs="宋体"/>
          <w:color w:val="000000"/>
          <w:kern w:val="2"/>
          <w:sz w:val="24"/>
          <w:szCs w:val="24"/>
        </w:rPr>
        <w:footnoteReference w:id="10"/>
      </w:r>
      <w:r>
        <w:rPr>
          <w:rStyle w:val="22"/>
          <w:rFonts w:ascii="宋体" w:hAnsi="宋体" w:cs="宋体"/>
          <w:color w:val="000000"/>
          <w:kern w:val="2"/>
          <w:sz w:val="24"/>
          <w:szCs w:val="24"/>
        </w:rPr>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1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3"/>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firstLine="0" w:firstLineChars="0"/>
        <w:jc w:val="center"/>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pageBreakBefore w:val="0"/>
        <w:numPr>
          <w:ilvl w:val="1"/>
          <w:numId w:val="15"/>
        </w:numPr>
        <w:kinsoku/>
        <w:wordWrap/>
        <w:overflowPunct/>
        <w:topLinePunct w:val="0"/>
        <w:autoSpaceDE/>
        <w:autoSpaceDN/>
        <w:bidi w:val="0"/>
        <w:adjustRightInd/>
        <w:snapToGrid/>
        <w:spacing w:line="400" w:lineRule="exact"/>
        <w:ind w:firstLine="0"/>
        <w:textAlignment w:val="auto"/>
        <w:rPr>
          <w:rFonts w:hint="eastAsia"/>
        </w:rPr>
      </w:pPr>
      <w:r>
        <w:rPr>
          <w:rFonts w:hint="eastAsia"/>
        </w:rPr>
        <w:t>研究方法</w:t>
      </w:r>
    </w:p>
    <w:p w14:paraId="782E50A7">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5"/>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5"/>
        </w:numPr>
        <w:ind w:left="0" w:leftChars="0" w:firstLine="402" w:firstLineChars="0"/>
      </w:pPr>
      <w:r>
        <w:rPr>
          <w:rFonts w:hint="eastAsia"/>
        </w:rPr>
        <w:t>科学本质观的研究现状</w:t>
      </w:r>
    </w:p>
    <w:p w14:paraId="0FDEE074">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r>
      <w:r>
        <w:rPr>
          <w:rFonts w:hint="eastAsia" w:ascii="宋体" w:hAnsi="宋体" w:cs="宋体"/>
          <w:bCs/>
          <w:color w:val="000000"/>
          <w:sz w:val="24"/>
          <w:szCs w:val="24"/>
          <w:vertAlign w:val="superscript"/>
        </w:rPr>
        <w:footnoteReference w:id="12"/>
      </w:r>
      <w:r>
        <w:rPr>
          <w:rFonts w:hint="eastAsia" w:ascii="宋体" w:hAnsi="宋体" w:cs="宋体"/>
          <w:bCs/>
          <w:color w:val="000000"/>
          <w:sz w:val="24"/>
          <w:szCs w:val="24"/>
          <w:vertAlign w:val="superscript"/>
        </w:rPr>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3"/>
      </w:r>
      <w:r>
        <w:rPr>
          <w:rStyle w:val="22"/>
          <w:rFonts w:hint="eastAsia" w:ascii="宋体" w:hAnsi="宋体" w:cs="宋体"/>
          <w:bCs/>
          <w:color w:val="000000"/>
          <w:sz w:val="24"/>
          <w:szCs w:val="24"/>
        </w:rPr>
        <w:t>］</w:t>
      </w:r>
      <w:r>
        <w:rPr>
          <w:rFonts w:hint="eastAsia" w:ascii="宋体" w:hAnsi="宋体" w:cs="宋体"/>
          <w:bCs/>
          <w:color w:val="000000"/>
          <w:sz w:val="24"/>
          <w:szCs w:val="24"/>
        </w:rPr>
        <w:t>。</w:t>
      </w:r>
    </w:p>
    <w:p w14:paraId="0EAD7324">
      <w:pPr>
        <w:pStyle w:val="23"/>
        <w:keepNext/>
        <w:keepLines w:val="0"/>
        <w:pageBreakBefore w:val="0"/>
        <w:widowControl w:val="0"/>
        <w:kinsoku/>
        <w:wordWrap/>
        <w:overflowPunct/>
        <w:topLinePunct w:val="0"/>
        <w:autoSpaceDE/>
        <w:autoSpaceDN/>
        <w:bidi w:val="0"/>
        <w:adjustRightInd/>
        <w:snapToGrid/>
        <w:ind w:firstLine="460"/>
        <w:jc w:val="both"/>
        <w:textAlignment w:val="auto"/>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4"/>
      </w:r>
      <w:r>
        <w:rPr>
          <w:rStyle w:val="22"/>
          <w:rFonts w:hint="eastAsia" w:ascii="宋体" w:hAnsi="宋体" w:cs="宋体"/>
          <w:bCs/>
          <w:color w:val="000000"/>
          <w:sz w:val="24"/>
          <w:szCs w:val="24"/>
        </w:rPr>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r>
      <w:r>
        <w:rPr>
          <w:rStyle w:val="22"/>
          <w:rFonts w:ascii="宋体" w:hAnsi="宋体" w:cs="宋体"/>
          <w:bCs/>
          <w:color w:val="000000"/>
          <w:sz w:val="24"/>
          <w:szCs w:val="24"/>
        </w:rPr>
        <w:footnoteReference w:id="15"/>
      </w:r>
      <w:r>
        <w:rPr>
          <w:rStyle w:val="22"/>
          <w:rFonts w:ascii="宋体" w:hAnsi="宋体" w:cs="宋体"/>
          <w:bCs/>
          <w:color w:val="000000"/>
          <w:sz w:val="24"/>
          <w:szCs w:val="24"/>
        </w:rPr>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6"/>
      </w:r>
      <w:r>
        <w:rPr>
          <w:rStyle w:val="22"/>
          <w:rFonts w:hint="eastAsia" w:ascii="宋体" w:hAnsi="宋体" w:cs="宋体"/>
          <w:bCs/>
          <w:color w:val="000000"/>
          <w:sz w:val="24"/>
          <w:szCs w:val="24"/>
        </w:rPr>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7"/>
      </w:r>
      <w:r>
        <w:rPr>
          <w:rStyle w:val="22"/>
          <w:rFonts w:hint="eastAsia" w:ascii="宋体" w:hAnsi="宋体" w:cs="宋体"/>
          <w:bCs/>
          <w:color w:val="000000"/>
          <w:sz w:val="24"/>
          <w:szCs w:val="24"/>
        </w:rPr>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8"/>
      </w:r>
      <w:r>
        <w:rPr>
          <w:rStyle w:val="22"/>
          <w:rFonts w:hint="eastAsia" w:ascii="宋体" w:hAnsi="宋体" w:cs="宋体"/>
          <w:bCs/>
          <w:color w:val="000000"/>
          <w:sz w:val="24"/>
          <w:szCs w:val="24"/>
        </w:rPr>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5"/>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9"/>
      </w:r>
      <w:r>
        <w:rPr>
          <w:rStyle w:val="22"/>
          <w:rFonts w:hint="eastAsia" w:ascii="宋体" w:hAnsi="宋体" w:cs="宋体"/>
          <w:bCs/>
          <w:color w:val="000000"/>
          <w:sz w:val="24"/>
          <w:szCs w:val="24"/>
        </w:rPr>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r>
      <w:r>
        <w:rPr>
          <w:rStyle w:val="22"/>
          <w:rFonts w:ascii="宋体" w:hAnsi="宋体" w:cs="宋体"/>
          <w:bCs/>
          <w:color w:val="000000"/>
          <w:sz w:val="24"/>
          <w:szCs w:val="24"/>
        </w:rPr>
        <w:footnoteReference w:id="20"/>
      </w:r>
      <w:r>
        <w:rPr>
          <w:rStyle w:val="22"/>
          <w:rFonts w:ascii="宋体" w:hAnsi="宋体" w:cs="宋体"/>
          <w:bCs/>
          <w:color w:val="000000"/>
          <w:sz w:val="24"/>
          <w:szCs w:val="24"/>
        </w:rPr>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r>
      <w:r>
        <w:rPr>
          <w:rStyle w:val="22"/>
          <w:rFonts w:ascii="宋体" w:hAnsi="宋体" w:cs="宋体"/>
          <w:bCs/>
          <w:color w:val="000000"/>
          <w:sz w:val="24"/>
          <w:szCs w:val="24"/>
        </w:rPr>
        <w:footnoteReference w:id="21"/>
      </w:r>
      <w:r>
        <w:rPr>
          <w:rStyle w:val="22"/>
          <w:rFonts w:ascii="宋体" w:hAnsi="宋体" w:cs="宋体"/>
          <w:bCs/>
          <w:color w:val="000000"/>
          <w:sz w:val="24"/>
          <w:szCs w:val="24"/>
        </w:rPr>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22"/>
      </w:r>
      <w:r>
        <w:rPr>
          <w:rStyle w:val="22"/>
          <w:rFonts w:hint="eastAsia" w:ascii="宋体" w:hAnsi="宋体" w:cs="宋体"/>
          <w:bCs/>
          <w:color w:val="000000"/>
          <w:sz w:val="24"/>
          <w:szCs w:val="24"/>
        </w:rPr>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firstLine="0" w:firstLineChars="0"/>
        <w:jc w:val="center"/>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5"/>
        </w:numPr>
        <w:ind w:left="0" w:leftChars="0" w:firstLine="402" w:firstLineChars="0"/>
      </w:pPr>
      <w:r>
        <w:rPr>
          <w:rFonts w:hint="eastAsia"/>
        </w:rPr>
        <w:t>科学本质观教学的研究</w:t>
      </w:r>
      <w:r>
        <w:t>现状</w:t>
      </w:r>
    </w:p>
    <w:p w14:paraId="72C78A9B">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keepNext/>
        <w:keepLines w:val="0"/>
        <w:pageBreakBefore w:val="0"/>
        <w:widowControl w:val="0"/>
        <w:kinsoku/>
        <w:wordWrap/>
        <w:overflowPunct/>
        <w:topLinePunct w:val="0"/>
        <w:autoSpaceDE/>
        <w:autoSpaceDN/>
        <w:bidi w:val="0"/>
        <w:adjustRightInd/>
        <w:snapToGrid/>
        <w:textAlignment w:val="auto"/>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r>
      <w:r>
        <w:rPr>
          <w:rStyle w:val="22"/>
          <w:rFonts w:hint="eastAsia" w:ascii="宋体" w:hAnsi="宋体" w:cs="宋体"/>
          <w:bCs/>
          <w:color w:val="000000"/>
          <w:szCs w:val="24"/>
        </w:rPr>
        <w:footnoteReference w:id="23"/>
      </w:r>
      <w:r>
        <w:rPr>
          <w:rStyle w:val="22"/>
          <w:rFonts w:hint="eastAsia" w:ascii="宋体" w:hAnsi="宋体" w:cs="宋体"/>
          <w:bCs/>
          <w:color w:val="000000"/>
          <w:szCs w:val="24"/>
        </w:rPr>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r>
      <w:r>
        <w:rPr>
          <w:rStyle w:val="22"/>
          <w:rFonts w:ascii="宋体" w:hAnsi="宋体" w:cs="宋体"/>
          <w:bCs/>
          <w:color w:val="000000"/>
          <w:sz w:val="24"/>
          <w:szCs w:val="24"/>
        </w:rPr>
        <w:footnoteReference w:id="24"/>
      </w:r>
      <w:r>
        <w:rPr>
          <w:rStyle w:val="22"/>
          <w:rFonts w:ascii="宋体" w:hAnsi="宋体" w:cs="宋体"/>
          <w:bCs/>
          <w:color w:val="000000"/>
          <w:sz w:val="24"/>
          <w:szCs w:val="24"/>
        </w:rPr>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r>
      <w:r>
        <w:rPr>
          <w:rStyle w:val="22"/>
          <w:rFonts w:ascii="宋体" w:hAnsi="宋体" w:cs="宋体"/>
          <w:bCs/>
          <w:color w:val="000000"/>
          <w:sz w:val="24"/>
          <w:szCs w:val="24"/>
        </w:rPr>
        <w:footnoteReference w:id="25"/>
      </w:r>
      <w:r>
        <w:rPr>
          <w:rStyle w:val="22"/>
          <w:rFonts w:ascii="宋体" w:hAnsi="宋体" w:cs="宋体"/>
          <w:bCs/>
          <w:color w:val="000000"/>
          <w:sz w:val="24"/>
          <w:szCs w:val="24"/>
        </w:rPr>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r>
      <w:r>
        <w:rPr>
          <w:rStyle w:val="22"/>
          <w:rFonts w:ascii="宋体" w:hAnsi="宋体" w:cs="宋体"/>
          <w:bCs/>
          <w:color w:val="000000"/>
          <w:sz w:val="24"/>
          <w:szCs w:val="24"/>
        </w:rPr>
        <w:footnoteReference w:id="26"/>
      </w:r>
      <w:r>
        <w:rPr>
          <w:rStyle w:val="22"/>
          <w:rFonts w:ascii="宋体" w:hAnsi="宋体" w:cs="宋体"/>
          <w:bCs/>
          <w:color w:val="000000"/>
          <w:sz w:val="24"/>
          <w:szCs w:val="24"/>
        </w:rPr>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r>
      <w:r>
        <w:rPr>
          <w:rStyle w:val="22"/>
          <w:rFonts w:ascii="宋体" w:hAnsi="宋体" w:cs="宋体"/>
          <w:bCs/>
          <w:color w:val="000000"/>
          <w:sz w:val="24"/>
          <w:szCs w:val="24"/>
        </w:rPr>
        <w:footnoteReference w:id="27"/>
      </w:r>
      <w:r>
        <w:rPr>
          <w:rStyle w:val="22"/>
          <w:rFonts w:ascii="宋体" w:hAnsi="宋体" w:cs="宋体"/>
          <w:bCs/>
          <w:color w:val="000000"/>
          <w:sz w:val="24"/>
          <w:szCs w:val="24"/>
        </w:rPr>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r>
      <w:r>
        <w:rPr>
          <w:rStyle w:val="22"/>
          <w:rFonts w:ascii="宋体" w:hAnsi="宋体" w:cs="宋体"/>
          <w:bCs/>
          <w:color w:val="000000"/>
          <w:sz w:val="24"/>
          <w:szCs w:val="24"/>
        </w:rPr>
        <w:footnoteReference w:id="28"/>
      </w:r>
      <w:r>
        <w:rPr>
          <w:rStyle w:val="22"/>
          <w:rFonts w:ascii="宋体" w:hAnsi="宋体" w:cs="宋体"/>
          <w:bCs/>
          <w:color w:val="000000"/>
          <w:sz w:val="24"/>
          <w:szCs w:val="24"/>
        </w:rPr>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r>
      <w:r>
        <w:rPr>
          <w:rStyle w:val="22"/>
          <w:rFonts w:ascii="宋体" w:hAnsi="宋体" w:cs="宋体"/>
          <w:bCs/>
          <w:color w:val="000000"/>
          <w:sz w:val="24"/>
          <w:szCs w:val="24"/>
        </w:rPr>
        <w:footnoteReference w:id="29"/>
      </w:r>
      <w:r>
        <w:rPr>
          <w:rStyle w:val="22"/>
          <w:rFonts w:ascii="宋体" w:hAnsi="宋体" w:cs="宋体"/>
          <w:bCs/>
          <w:color w:val="000000"/>
          <w:sz w:val="24"/>
          <w:szCs w:val="24"/>
        </w:rPr>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5"/>
        </w:numPr>
        <w:ind w:left="0" w:leftChars="0" w:firstLine="402" w:firstLineChars="0"/>
      </w:pPr>
      <w:r>
        <w:rPr>
          <w:rFonts w:hint="eastAsia"/>
        </w:rPr>
        <w:t>HPS教学理念的研究现状</w:t>
      </w:r>
    </w:p>
    <w:p w14:paraId="427533DB">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0"/>
      </w:r>
      <w:r>
        <w:rPr>
          <w:rStyle w:val="22"/>
          <w:rFonts w:hint="eastAsia" w:ascii="宋体" w:hAnsi="宋体" w:cs="宋体"/>
          <w:color w:val="000000"/>
          <w:kern w:val="2"/>
          <w:szCs w:val="24"/>
        </w:rPr>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2"/>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3"/>
      </w:r>
      <w:r>
        <w:rPr>
          <w:rStyle w:val="22"/>
          <w:rFonts w:hint="eastAsia" w:ascii="宋体" w:hAnsi="宋体" w:cs="宋体"/>
          <w:color w:val="000000"/>
          <w:kern w:val="2"/>
          <w:sz w:val="24"/>
          <w:szCs w:val="24"/>
        </w:rPr>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4"/>
      </w:r>
      <w:r>
        <w:rPr>
          <w:rStyle w:val="22"/>
          <w:rFonts w:hint="eastAsia" w:ascii="宋体" w:hAnsi="宋体" w:cs="宋体"/>
          <w:color w:val="000000"/>
          <w:kern w:val="2"/>
          <w:sz w:val="24"/>
          <w:szCs w:val="24"/>
        </w:rPr>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5"/>
      </w:r>
      <w:r>
        <w:rPr>
          <w:rStyle w:val="22"/>
          <w:rFonts w:hint="eastAsia" w:ascii="宋体" w:hAnsi="宋体" w:cs="宋体"/>
          <w:color w:val="000000"/>
          <w:kern w:val="2"/>
          <w:szCs w:val="24"/>
        </w:rPr>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6"/>
      </w:r>
      <w:r>
        <w:rPr>
          <w:rStyle w:val="22"/>
          <w:rFonts w:hint="eastAsia" w:ascii="宋体" w:hAnsi="宋体" w:cs="宋体"/>
          <w:color w:val="000000"/>
          <w:kern w:val="2"/>
          <w:szCs w:val="24"/>
        </w:rPr>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7"/>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5"/>
        </w:numPr>
        <w:tabs>
          <w:tab w:val="left" w:pos="0"/>
        </w:tabs>
        <w:spacing w:line="312" w:lineRule="auto"/>
        <w:ind w:left="0" w:leftChars="0" w:firstLine="402" w:firstLineChars="0"/>
        <w:rPr>
          <w:rFonts w:hint="eastAsia" w:ascii="黑体" w:hAnsi="黑体" w:eastAsia="黑体" w:cs="黑体"/>
          <w:b w:val="0"/>
          <w:bCs w:val="0"/>
          <w:spacing w:val="0"/>
          <w:sz w:val="24"/>
        </w:rPr>
      </w:pPr>
      <w:r>
        <w:rPr>
          <w:rFonts w:hint="eastAsia" w:ascii="黑体" w:hAnsi="黑体" w:eastAsia="黑体" w:cs="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5"/>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8"/>
      </w:r>
      <w:r>
        <w:rPr>
          <w:rStyle w:val="22"/>
          <w:rFonts w:hint="eastAsia" w:ascii="宋体" w:hAnsi="宋体" w:cs="宋体"/>
          <w:color w:val="000000"/>
          <w:kern w:val="2"/>
          <w:sz w:val="24"/>
          <w:szCs w:val="24"/>
        </w:rPr>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9"/>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5"/>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40"/>
      </w:r>
      <w:r>
        <w:rPr>
          <w:rStyle w:val="22"/>
          <w:rFonts w:hint="eastAsia" w:ascii="宋体" w:hAnsi="宋体" w:cs="宋体"/>
          <w:color w:val="000000"/>
          <w:kern w:val="2"/>
          <w:sz w:val="24"/>
          <w:szCs w:val="24"/>
        </w:rPr>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4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42"/>
      </w:r>
      <w:r>
        <w:rPr>
          <w:rStyle w:val="22"/>
          <w:rFonts w:hint="eastAsia" w:ascii="宋体" w:hAnsi="宋体" w:cs="宋体"/>
          <w:color w:val="000000"/>
          <w:kern w:val="2"/>
          <w:szCs w:val="24"/>
        </w:rPr>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5"/>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3"/>
      </w:r>
      <w:r>
        <w:rPr>
          <w:rStyle w:val="22"/>
          <w:rFonts w:hint="eastAsia" w:ascii="宋体" w:hAnsi="宋体" w:cs="宋体"/>
          <w:color w:val="000000"/>
          <w:sz w:val="24"/>
          <w:szCs w:val="24"/>
        </w:rPr>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4"/>
      </w:r>
      <w:r>
        <w:rPr>
          <w:rStyle w:val="22"/>
          <w:rFonts w:hint="eastAsia" w:ascii="宋体" w:hAnsi="宋体" w:cs="宋体"/>
          <w:color w:val="000000"/>
          <w:sz w:val="24"/>
          <w:szCs w:val="24"/>
        </w:rPr>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5"/>
      </w:r>
      <w:r>
        <w:rPr>
          <w:rStyle w:val="22"/>
          <w:rFonts w:hint="eastAsia" w:ascii="宋体" w:hAnsi="宋体" w:cs="宋体"/>
          <w:color w:val="000000"/>
          <w:sz w:val="24"/>
          <w:szCs w:val="24"/>
        </w:rPr>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6"/>
        </w:numPr>
      </w:pPr>
      <w:r>
        <w:rPr>
          <w:rFonts w:hint="eastAsia"/>
        </w:rPr>
        <w:t>化学学科可用的有关HPS教学理念资源充足，很多核心知识点都能找到合适的“问题情境—证据材料—观点演化”的历史线索；</w:t>
      </w:r>
    </w:p>
    <w:p w14:paraId="6462B297">
      <w:pPr>
        <w:numPr>
          <w:ilvl w:val="0"/>
          <w:numId w:val="16"/>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5"/>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jc w:val="center"/>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343910" cy="3559810"/>
            <wp:effectExtent l="0" t="0" r="8890"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343910" cy="355981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5"/>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r>
      <w:r>
        <w:rPr>
          <w:rStyle w:val="22"/>
          <w:rFonts w:ascii="宋体" w:hAnsi="宋体" w:cs="宋体"/>
          <w:bCs/>
          <w:color w:val="000000"/>
          <w:sz w:val="24"/>
          <w:szCs w:val="24"/>
        </w:rPr>
        <w:footnoteReference w:id="46"/>
      </w:r>
      <w:r>
        <w:rPr>
          <w:rStyle w:val="22"/>
          <w:rFonts w:ascii="宋体" w:hAnsi="宋体" w:cs="宋体"/>
          <w:bCs/>
          <w:color w:val="000000"/>
          <w:sz w:val="24"/>
          <w:szCs w:val="24"/>
        </w:rPr>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7"/>
      </w:r>
      <w:r>
        <w:rPr>
          <w:rStyle w:val="22"/>
          <w:rFonts w:ascii="宋体" w:hAnsi="宋体" w:cs="宋体"/>
          <w:bCs/>
          <w:color w:val="000000"/>
          <w:sz w:val="24"/>
          <w:szCs w:val="24"/>
        </w:rPr>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8"/>
      </w:r>
      <w:r>
        <w:rPr>
          <w:rStyle w:val="22"/>
          <w:rFonts w:ascii="宋体" w:hAnsi="宋体" w:cs="宋体"/>
          <w:bCs/>
          <w:color w:val="000000"/>
          <w:sz w:val="24"/>
          <w:szCs w:val="24"/>
        </w:rPr>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9"/>
      </w:r>
      <w:r>
        <w:rPr>
          <w:rStyle w:val="22"/>
          <w:rFonts w:ascii="宋体" w:hAnsi="宋体" w:cs="宋体"/>
          <w:bCs/>
          <w:color w:val="000000"/>
          <w:sz w:val="24"/>
          <w:szCs w:val="24"/>
        </w:rPr>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r>
      <w:r>
        <w:rPr>
          <w:rStyle w:val="22"/>
          <w:rFonts w:ascii="宋体" w:hAnsi="宋体" w:cs="宋体"/>
          <w:bCs/>
          <w:color w:val="000000"/>
          <w:sz w:val="24"/>
          <w:szCs w:val="24"/>
        </w:rPr>
        <w:footnoteReference w:id="50"/>
      </w:r>
      <w:r>
        <w:rPr>
          <w:rStyle w:val="22"/>
          <w:rFonts w:ascii="宋体" w:hAnsi="宋体" w:cs="宋体"/>
          <w:bCs/>
          <w:color w:val="000000"/>
          <w:sz w:val="24"/>
          <w:szCs w:val="24"/>
        </w:rPr>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5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7"/>
        </w:numPr>
        <w:jc w:val="center"/>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8"/>
        </w:numPr>
        <w:jc w:val="center"/>
      </w:pPr>
      <w:r>
        <w:rPr>
          <w:rFonts w:hint="eastAsia"/>
        </w:rPr>
        <w:t>理论依据</w:t>
      </w:r>
    </w:p>
    <w:p w14:paraId="1C48D7DB">
      <w:pPr>
        <w:pStyle w:val="5"/>
        <w:numPr>
          <w:ilvl w:val="1"/>
          <w:numId w:val="19"/>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52"/>
      </w:r>
      <w:r>
        <w:rPr>
          <w:rStyle w:val="22"/>
          <w:rFonts w:hint="eastAsia" w:ascii="宋体" w:hAnsi="宋体" w:cs="宋体"/>
          <w:color w:val="000000"/>
          <w:kern w:val="2"/>
          <w:szCs w:val="24"/>
        </w:rPr>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r>
      <w:r>
        <w:rPr>
          <w:rStyle w:val="22"/>
        </w:rPr>
        <w:footnoteReference w:id="53"/>
      </w:r>
      <w:r>
        <w:rPr>
          <w:rStyle w:val="22"/>
        </w:rPr>
        <w:t>］</w:t>
      </w:r>
      <w:r>
        <w:t>首次提出：科学本质即为科学的历史与本质。美国科学促进会</w:t>
      </w:r>
      <w:r>
        <w:rPr>
          <w:rStyle w:val="22"/>
        </w:rPr>
        <w:t>［</w:t>
      </w:r>
      <w:r>
        <w:rPr>
          <w:rStyle w:val="22"/>
        </w:rPr>
        <w:footnoteReference w:id="54"/>
      </w:r>
      <w:r>
        <w:rPr>
          <w:rStyle w:val="22"/>
        </w:rPr>
        <w:t>］</w:t>
      </w:r>
      <w:r>
        <w:t>将科学本质分为三个方面：科学世界观、科学事业、科学探究活动。Nussbaum将科学本质内涵发展分为传统和现代两类。刘健智</w:t>
      </w:r>
      <w:r>
        <w:rPr>
          <w:rStyle w:val="22"/>
        </w:rPr>
        <w:t>［</w:t>
      </w:r>
      <w:r>
        <w:rPr>
          <w:rStyle w:val="22"/>
        </w:rPr>
        <w:footnoteReference w:id="55"/>
      </w:r>
      <w:r>
        <w:rPr>
          <w:rStyle w:val="22"/>
        </w:rPr>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56"/>
      </w:r>
      <w:r>
        <w:rPr>
          <w:rStyle w:val="22"/>
          <w:rFonts w:hint="eastAsia" w:ascii="宋体" w:hAnsi="宋体" w:cs="宋体"/>
          <w:color w:val="000000"/>
          <w:kern w:val="2"/>
          <w:szCs w:val="24"/>
        </w:rPr>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9"/>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8"/>
        </w:numPr>
        <w:jc w:val="center"/>
      </w:pPr>
      <w:r>
        <w:rPr>
          <w:rFonts w:hint="eastAsia"/>
        </w:rPr>
        <w:t>理论框架</w:t>
      </w:r>
    </w:p>
    <w:p w14:paraId="3D8634BD">
      <w:pPr>
        <w:pStyle w:val="5"/>
        <w:numPr>
          <w:ilvl w:val="1"/>
          <w:numId w:val="20"/>
        </w:numPr>
        <w:ind w:firstLine="0"/>
      </w:pPr>
      <w:r>
        <w:rPr>
          <w:rFonts w:hint="eastAsia"/>
        </w:rPr>
        <w:t>基于“课标—教材—学情”的教学前期分析</w:t>
      </w:r>
    </w:p>
    <w:p w14:paraId="60A200E0">
      <w:pPr>
        <w:pStyle w:val="5"/>
        <w:numPr>
          <w:ilvl w:val="1"/>
          <w:numId w:val="21"/>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r>
      <w:r>
        <w:rPr>
          <w:rFonts w:hint="eastAsia"/>
          <w:vertAlign w:val="superscript"/>
        </w:rPr>
        <w:footnoteReference w:id="57"/>
      </w:r>
      <w:r>
        <w:rPr>
          <w:rFonts w:hint="eastAsia"/>
          <w:vertAlign w:val="superscript"/>
        </w:rPr>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1"/>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2"/>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2"/>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2"/>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1"/>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20"/>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20"/>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20"/>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w:t>
      </w:r>
      <w:r>
        <w:rPr>
          <w:rFonts w:hint="eastAsia"/>
          <w:lang w:val="en-US" w:eastAsia="zh-CN"/>
        </w:rPr>
        <w:t>3</w:t>
      </w:r>
      <w:r>
        <w:rPr>
          <w:rFonts w:hint="eastAsia"/>
        </w:rPr>
        <w:t>-</w:t>
      </w:r>
      <w:r>
        <w:rPr>
          <w:rFonts w:hint="eastAsia"/>
          <w:lang w:val="en-US" w:eastAsia="zh-CN"/>
        </w:rPr>
        <w:t>2</w:t>
      </w:r>
      <w:r>
        <w:rPr>
          <w:rFonts w:hint="eastAsia"/>
        </w:rPr>
        <w:t>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w:t>
      </w:r>
      <w:r>
        <w:rPr>
          <w:rFonts w:hint="eastAsia" w:ascii="宋体" w:hAnsi="宋体" w:cs="宋体"/>
          <w:color w:val="000000"/>
          <w:kern w:val="2"/>
          <w:szCs w:val="24"/>
          <w:lang w:val="en-US" w:eastAsia="zh-CN"/>
        </w:rPr>
        <w:t>3</w:t>
      </w:r>
      <w:r>
        <w:rPr>
          <w:rFonts w:hint="eastAsia" w:ascii="宋体" w:hAnsi="宋体" w:cs="宋体"/>
          <w:color w:val="000000"/>
          <w:kern w:val="2"/>
          <w:szCs w:val="24"/>
        </w:rPr>
        <w:t>-</w:t>
      </w:r>
      <w:r>
        <w:rPr>
          <w:rFonts w:hint="eastAsia" w:ascii="宋体" w:hAnsi="宋体" w:cs="宋体"/>
          <w:color w:val="000000"/>
          <w:kern w:val="2"/>
          <w:szCs w:val="24"/>
          <w:lang w:val="en-US" w:eastAsia="zh-CN"/>
        </w:rPr>
        <w:t>2</w:t>
      </w:r>
      <w:r>
        <w:rPr>
          <w:rFonts w:hint="eastAsia" w:ascii="宋体" w:hAnsi="宋体" w:cs="宋体"/>
          <w:color w:val="000000"/>
          <w:kern w:val="2"/>
          <w:szCs w:val="24"/>
        </w:rPr>
        <w:t xml:space="preserve">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20"/>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4"/>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4"/>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4"/>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20"/>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7"/>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7"/>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7"/>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7"/>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7"/>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科学探究本质观与科学事业本质观协同发展的完整教学链条，实现“教材核心知识+HPS史料”的深度融合。</w:t>
      </w:r>
    </w:p>
    <w:p w14:paraId="14908BA5">
      <w:pPr>
        <w:pStyle w:val="5"/>
        <w:keepNext/>
        <w:keepLines/>
        <w:pageBreakBefore w:val="0"/>
        <w:widowControl w:val="0"/>
        <w:numPr>
          <w:ilvl w:val="1"/>
          <w:numId w:val="26"/>
        </w:numPr>
        <w:kinsoku/>
        <w:wordWrap/>
        <w:overflowPunct/>
        <w:topLinePunct w:val="0"/>
        <w:autoSpaceDE/>
        <w:autoSpaceDN/>
        <w:bidi w:val="0"/>
        <w:adjustRightInd/>
        <w:ind w:firstLine="0"/>
        <w:textAlignment w:val="auto"/>
        <w:rPr>
          <w:rFonts w:hint="eastAsia"/>
          <w:highlight w:val="yellow"/>
        </w:rPr>
      </w:pPr>
      <w:r>
        <w:rPr>
          <w:rFonts w:hint="eastAsia"/>
          <w:highlight w:val="yellow"/>
        </w:rPr>
        <w:t>学情分析</w:t>
      </w:r>
    </w:p>
    <w:p w14:paraId="6AA40AA3">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基于 SWOT 模型的学情分析</w:t>
      </w:r>
    </w:p>
    <w:p w14:paraId="3238D953">
      <w:pPr>
        <w:keepNext/>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w:t>
      </w:r>
      <w:r>
        <w:rPr>
          <w:rFonts w:hint="eastAsia" w:cs="Times New Roman"/>
          <w:spacing w:val="-5"/>
          <w:sz w:val="24"/>
          <w:lang w:val="en-US" w:eastAsia="zh-CN" w:bidi="ar-SA"/>
        </w:rPr>
        <w:t>-</w:t>
      </w:r>
      <w:r>
        <w:rPr>
          <w:rFonts w:hint="eastAsia" w:ascii="Times New Roman" w:hAnsi="Times New Roman" w:eastAsia="宋体" w:cs="Times New Roman"/>
          <w:spacing w:val="-5"/>
          <w:sz w:val="24"/>
          <w:lang w:val="en-US" w:eastAsia="zh-CN" w:bidi="ar-SA"/>
        </w:rPr>
        <w:t>1所示</w:t>
      </w:r>
      <w:r>
        <w:rPr>
          <w:rFonts w:hint="eastAsia" w:cs="Times New Roman"/>
          <w:spacing w:val="-5"/>
          <w:sz w:val="24"/>
          <w:lang w:val="en-US" w:eastAsia="zh-CN" w:bidi="ar-SA"/>
        </w:rPr>
        <w:t>。</w:t>
      </w:r>
    </w:p>
    <w:p w14:paraId="14F95AA1">
      <w:pPr>
        <w:keepNext/>
        <w:keepLines w:val="0"/>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w:t>
      </w:r>
      <w:r>
        <w:rPr>
          <w:rFonts w:hint="eastAsia" w:ascii="宋体" w:hAnsi="宋体" w:cs="宋体"/>
          <w:b/>
          <w:bCs/>
          <w:sz w:val="24"/>
          <w:szCs w:val="24"/>
          <w:lang w:val="en-US" w:eastAsia="zh-CN"/>
        </w:rPr>
        <w:t>-</w:t>
      </w:r>
      <w:r>
        <w:rPr>
          <w:rFonts w:ascii="宋体" w:hAnsi="宋体" w:eastAsia="宋体" w:cs="宋体"/>
          <w:b/>
          <w:bCs/>
          <w:sz w:val="24"/>
          <w:szCs w:val="24"/>
        </w:rPr>
        <w:t>1 学生学情分析</w:t>
      </w:r>
    </w:p>
    <w:p w14:paraId="11B5BD59">
      <w:pPr>
        <w:keepNext/>
        <w:keepLines w:val="0"/>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14:paraId="27067E7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14:paraId="718C1AE9">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1873BB48">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S：strengths</w:t>
            </w:r>
          </w:p>
          <w:p w14:paraId="5487CE5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28D54CB8">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W：weakness</w:t>
            </w:r>
          </w:p>
          <w:p w14:paraId="709ABBD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4E4FCFD1">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O：opportunities</w:t>
            </w:r>
          </w:p>
          <w:p w14:paraId="6763B9A4">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728D3CC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T：threats</w:t>
            </w:r>
          </w:p>
          <w:p w14:paraId="157AE2C3">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挑战或困难</w:t>
            </w:r>
          </w:p>
        </w:tc>
      </w:tr>
      <w:tr w14:paraId="6BC4661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C8414EB">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14:paraId="63DC623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1.高一学生正处于形式运算的阶段，初步具备了假设—演绎推理与抽象概括的能力，这为其理解“假设提出—证据检验—模型修正”这一科学认识的逻辑链条提供了必要的思维基础；</w:t>
            </w:r>
          </w:p>
          <w:p w14:paraId="4214876A">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14:paraId="02ED5F8B">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1.学生的抽象逻辑思维尚处于发展初期，对多重证据的综合权衡、模型的动态修正等高阶认知活动仍缺乏自觉运用的经验；</w:t>
            </w:r>
          </w:p>
          <w:p w14:paraId="271DC912">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14:paraId="0FA0A1C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1.学生对“知识是如何形成的”这一元认知问题尚处于观念可塑期，这恰为HPS理念下以苯分子结构探索史重构其原有认知奠定基础；</w:t>
            </w:r>
          </w:p>
          <w:p w14:paraId="558583F2">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14:paraId="6ADB4DA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1.学生思维尚处于经验型向理论型过渡阶段，容易被历史故事本身的趣味性与戏剧性所吸引，止步于“听故事”的表层认知，未能进一步完成从具体史实向科学本质观念的抽象与迁移；</w:t>
            </w:r>
          </w:p>
          <w:p w14:paraId="6221664A">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2.同时，学生在科学事业本质观维度上的原有认识最为薄弱、也最难以在短课时内实现根本转变，这要求教学设计必须在有限时间内兼顾“历史情境的吸引力”与“科学本质的反思深度”这一双重目标。</w:t>
            </w:r>
          </w:p>
        </w:tc>
      </w:tr>
      <w:tr w14:paraId="4692E4E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0D7FA845">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已有知识基础</w:t>
            </w:r>
          </w:p>
        </w:tc>
        <w:tc>
          <w:tcPr>
            <w:tcW w:w="2047" w:type="dxa"/>
            <w:tcBorders>
              <w:left w:val="nil"/>
              <w:right w:val="nil"/>
            </w:tcBorders>
            <w:shd w:val="clear" w:color="auto" w:fill="auto"/>
            <w:tcMar>
              <w:top w:w="40" w:type="dxa"/>
              <w:left w:w="60" w:type="dxa"/>
              <w:bottom w:w="40" w:type="dxa"/>
              <w:right w:w="60" w:type="dxa"/>
            </w:tcMar>
            <w:vAlign w:val="top"/>
          </w:tcPr>
          <w:p w14:paraId="23BAC606">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14:paraId="7A9DE794">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14:paraId="720304D2">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14:paraId="147ED39E">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学生若原有认知不能被有效激活并转化为“冲突意识”，容易简单接受教师讲授的结论，难以真正经历“质疑—求证—修正”的科学探究过程。</w:t>
            </w:r>
          </w:p>
        </w:tc>
      </w:tr>
      <w:tr w14:paraId="13BA94D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9682AA0">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14:paraId="0800A04F">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14:paraId="1FBD008B">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14:paraId="7BC261A3">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14:paraId="0FF42117">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面对苯的工业应用价值与其毒性、致癌性等社会性议题时，学生容易简单化处理，难以形成辩证、全面的价值判断，需要教师提供角色支架加以引导。</w:t>
            </w:r>
          </w:p>
        </w:tc>
      </w:tr>
    </w:tbl>
    <w:p w14:paraId="1B211639">
      <w:pPr>
        <w:keepNext/>
        <w:keepLines/>
        <w:pageBreakBefore w:val="0"/>
        <w:widowControl w:val="0"/>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cs="Times New Roman"/>
          <w:spacing w:val="-5"/>
          <w:sz w:val="24"/>
          <w:lang w:val="en-US" w:eastAsia="zh-CN" w:bidi="ar-SA"/>
        </w:rPr>
      </w:pPr>
    </w:p>
    <w:p w14:paraId="2B763F7A">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学情优势、机会、挑战与困难的教学利用与应对</w:t>
      </w:r>
    </w:p>
    <w:p w14:paraId="3700053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w:t>
      </w:r>
      <w:r>
        <w:rPr>
          <w:rFonts w:hint="eastAsia"/>
          <w:lang w:val="en-US" w:eastAsia="zh-CN"/>
        </w:rPr>
        <w:t>第三节</w:t>
      </w:r>
      <w:r>
        <w:rPr>
          <w:rFonts w:hint="eastAsia"/>
        </w:rPr>
        <w:t>“以化学史为主线的HPS教学资源筛选原则”，选取“证据可见性”突出的苯分子结构探索史作为统一情境；并依托“情境、角色、行为、知识、成果、育人价值”</w:t>
      </w:r>
      <w:r>
        <w:rPr>
          <w:rFonts w:hint="eastAsia"/>
          <w:lang w:val="en-US" w:eastAsia="zh-CN"/>
        </w:rPr>
        <w:t>学习任务</w:t>
      </w:r>
      <w:r>
        <w:rPr>
          <w:rFonts w:hint="eastAsia"/>
        </w:rPr>
        <w:t>六要素模型，为学生设置行业具体角色，将学生乐于参与角色扮演、思辨表达的心理优势直接转化为完成三大学习任务的驱动力，使认知优势充分释放于具体的探究行为之中，而非停留于兴趣层面的调动。</w:t>
      </w:r>
    </w:p>
    <w:p w14:paraId="3AB991E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引导学生完成从具体史实向抽象科学本质观念的迁移，弥补其自主提炼与反思能力的不足。</w:t>
      </w:r>
    </w:p>
    <w:p w14:paraId="6C2EADF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14:paraId="58C6BAC6">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0B665E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B17C797">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w:t>
      </w:r>
      <w:r>
        <w:rPr>
          <w:rFonts w:hint="eastAsia" w:ascii="宋体" w:hAnsi="宋体" w:cs="宋体"/>
          <w:sz w:val="24"/>
          <w:szCs w:val="24"/>
          <w:lang w:val="en-US" w:eastAsia="zh-CN"/>
        </w:rPr>
        <w:t>-</w:t>
      </w:r>
      <w:r>
        <w:rPr>
          <w:rFonts w:ascii="宋体" w:hAnsi="宋体" w:eastAsia="宋体" w:cs="宋体"/>
          <w:sz w:val="24"/>
          <w:szCs w:val="24"/>
        </w:rPr>
        <w:t>2所示。</w:t>
      </w:r>
    </w:p>
    <w:p w14:paraId="1F66D6BB">
      <w:pPr>
        <w:spacing w:before="200" w:after="40"/>
        <w:jc w:val="center"/>
        <w:rPr>
          <w:rFonts w:hint="default" w:eastAsia="宋体"/>
          <w:sz w:val="24"/>
          <w:szCs w:val="24"/>
          <w:highlight w:val="yellow"/>
          <w:lang w:val="en-US" w:eastAsia="zh-CN"/>
        </w:rPr>
      </w:pPr>
      <w:r>
        <w:rPr>
          <w:rFonts w:ascii="宋体" w:hAnsi="宋体" w:eastAsia="宋体" w:cs="宋体"/>
          <w:b/>
          <w:bCs/>
          <w:sz w:val="24"/>
          <w:szCs w:val="24"/>
          <w:highlight w:val="yellow"/>
        </w:rPr>
        <w:t>表4</w:t>
      </w:r>
      <w:r>
        <w:rPr>
          <w:rFonts w:hint="eastAsia" w:ascii="宋体" w:hAnsi="宋体" w:cs="宋体"/>
          <w:b/>
          <w:bCs/>
          <w:sz w:val="24"/>
          <w:szCs w:val="24"/>
          <w:highlight w:val="yellow"/>
          <w:lang w:val="en-US" w:eastAsia="zh-CN"/>
        </w:rPr>
        <w:t>-</w:t>
      </w:r>
      <w:r>
        <w:rPr>
          <w:rFonts w:ascii="宋体" w:hAnsi="宋体" w:eastAsia="宋体" w:cs="宋体"/>
          <w:b/>
          <w:bCs/>
          <w:sz w:val="24"/>
          <w:szCs w:val="24"/>
          <w:highlight w:val="yellow"/>
        </w:rPr>
        <w:t>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9"/>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不难看出，这段历史完整地经历了如图4-1所示</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drawing>
          <wp:inline distT="0" distB="0" distL="114300" distR="114300">
            <wp:extent cx="6099175" cy="1282700"/>
            <wp:effectExtent l="0" t="0" r="6350" b="3175"/>
            <wp:docPr id="14" name="图片 14" descr="苯分子结构认识演变链路图（重制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苯分子结构认识演变链路图（重制版）"/>
                    <pic:cNvPicPr>
                      <a:picLocks noChangeAspect="1"/>
                    </pic:cNvPicPr>
                  </pic:nvPicPr>
                  <pic:blipFill>
                    <a:blip r:embed="rId20"/>
                    <a:stretch>
                      <a:fillRect/>
                    </a:stretch>
                  </pic:blipFill>
                  <pic:spPr>
                    <a:xfrm>
                      <a:off x="0" y="0"/>
                      <a:ext cx="6099175" cy="1282700"/>
                    </a:xfrm>
                    <a:prstGeom prst="rect">
                      <a:avLst/>
                    </a:prstGeom>
                  </pic:spPr>
                </pic:pic>
              </a:graphicData>
            </a:graphic>
          </wp:inline>
        </w:drawing>
      </w:r>
    </w:p>
    <w:p w14:paraId="1AB290D8">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t>图4-1 苯分子结构认识演变的认知链路</w:t>
      </w:r>
    </w:p>
    <w:p w14:paraId="36951806">
      <w:pPr>
        <w:keepNext w:val="0"/>
        <w:keepLines/>
        <w:pageBreakBefore w:val="0"/>
        <w:widowControl w:val="0"/>
        <w:kinsoku/>
        <w:wordWrap/>
        <w:overflowPunct/>
        <w:topLinePunct w:val="0"/>
        <w:autoSpaceDE/>
        <w:autoSpaceDN/>
        <w:bidi w:val="0"/>
        <w:adjustRightInd/>
        <w:spacing w:after="120"/>
        <w:ind w:firstLine="0" w:firstLineChars="0"/>
        <w:jc w:val="center"/>
        <w:textAlignment w:val="auto"/>
        <w:rPr>
          <w:rFonts w:hint="default" w:ascii="宋体" w:hAnsi="宋体" w:cs="宋体"/>
          <w:sz w:val="24"/>
          <w:szCs w:val="24"/>
          <w:lang w:val="en-US" w:eastAsia="zh-CN"/>
        </w:rPr>
      </w:pPr>
      <w:r>
        <w:rPr>
          <w:rFonts w:ascii="Times New Roman" w:hAnsi="Times New Roman" w:eastAsia="Times New Roman" w:cs="Times New Roman"/>
          <w:i/>
          <w:iCs/>
          <w:sz w:val="18"/>
          <w:szCs w:val="18"/>
        </w:rPr>
        <w:t>Fig. 4-1  Cognitive Pathway of the Evolving Understanding of the Molecular Structure of Benzene</w:t>
      </w:r>
    </w:p>
    <w:p w14:paraId="4DE45B57">
      <w:pPr>
        <w:pStyle w:val="5"/>
        <w:keepNext/>
        <w:keepLines/>
        <w:pageBreakBefore w:val="0"/>
        <w:widowControl w:val="0"/>
        <w:numPr>
          <w:ilvl w:val="1"/>
          <w:numId w:val="29"/>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2895B924">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46EBBC33">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基于HPS教学理念的学习任务设计</w:t>
      </w:r>
    </w:p>
    <w:p w14:paraId="7F806C7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四节以“情境、角色、行为、知识、成果、育人价值”六要素模型为支架，构建了指向科学本质观三大维度的学习任务单框架（表3-2）。本节遵循这一框架，将前三节所形成的分析结论——课程标准分析确立的三条任务主线、表4-2设定的科学本质观培养目标以及第三节筛选的三组教学素材——统整转化为“苯”教学案例中可直接实施的三个学习任务，使科学本质观的培养由目标与素材层面真正进入任务与行为层面。</w:t>
      </w:r>
    </w:p>
    <w:p w14:paraId="257AEF6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在整体设计上，本节课以“苯分子结构探索史”与“苯的社会应用”为统一情境链条，将核心驱动问题“分子式为C</w:t>
      </w:r>
      <w:r>
        <w:rPr>
          <w:rFonts w:hint="eastAsia"/>
          <w:vertAlign w:val="subscript"/>
        </w:rPr>
        <w:t>6</w:t>
      </w:r>
      <w:r>
        <w:rPr>
          <w:rFonts w:hint="eastAsia"/>
        </w:rPr>
        <w:t>H</w:t>
      </w:r>
      <w:r>
        <w:rPr>
          <w:rFonts w:hint="eastAsia"/>
          <w:vertAlign w:val="subscript"/>
        </w:rPr>
        <w:t>6</w:t>
      </w:r>
      <w:r>
        <w:rPr>
          <w:rFonts w:hint="eastAsia"/>
        </w:rPr>
        <w:t>的苯究竟具有怎样的结构？人类又应当如何与这种物质相处？”分解为</w:t>
      </w:r>
      <w:r>
        <w:rPr>
          <w:rFonts w:hint="eastAsia"/>
          <w:lang w:val="en-US" w:eastAsia="zh-CN"/>
        </w:rPr>
        <w:t>如下</w:t>
      </w:r>
      <w:r>
        <w:rPr>
          <w:rFonts w:hint="eastAsia"/>
        </w:rPr>
        <w:t>三个层层递进的学习任务：</w:t>
      </w:r>
    </w:p>
    <w:p w14:paraId="5131C19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任务一</w:t>
      </w:r>
      <w:r>
        <w:rPr>
          <w:rFonts w:hint="eastAsia"/>
          <w:lang w:eastAsia="zh-CN"/>
        </w:rPr>
        <w:t>：</w:t>
      </w:r>
      <w:r>
        <w:rPr>
          <w:rFonts w:hint="eastAsia"/>
        </w:rPr>
        <w:t>以凯库勒式遭遇反常证据的理论危机为核心，指向科学知识本质观；</w:t>
      </w:r>
    </w:p>
    <w:p w14:paraId="0801988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任务二</w:t>
      </w:r>
      <w:r>
        <w:rPr>
          <w:rFonts w:hint="eastAsia"/>
          <w:lang w:eastAsia="zh-CN"/>
        </w:rPr>
        <w:t>：</w:t>
      </w:r>
      <w:r>
        <w:rPr>
          <w:rFonts w:hint="eastAsia"/>
        </w:rPr>
        <w:t>围绕苯环结构证据的获取与论证展开，指向科学探究本质观；</w:t>
      </w:r>
    </w:p>
    <w:p w14:paraId="4B31A6B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任务三延伸至苯的工业应用与职业危害的价值权衡，指向科学事业本质观。每一任务均按照六要素模型编制学习任务单，分述如下。</w:t>
      </w:r>
    </w:p>
    <w:p w14:paraId="6403C4FE">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基于“科学理论危机与模型修正”问题解决的学习任务</w:t>
      </w:r>
    </w:p>
    <w:p w14:paraId="4EEF9BB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本任务以苯分子结构探索史中“分子式与性质的矛盾”以及凯库勒式接连遭遇反常证据的历史危机为载体，引导学生亲历“遇到矛盾—分析缺陷—修正模型”的完整过程。学习任务单如表4-3所示。</w:t>
      </w:r>
    </w:p>
    <w:p w14:paraId="689E891C">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表4-3 基于“科学理论危机与模型修正”问题解决的学习任务单</w:t>
      </w:r>
    </w:p>
    <w:p w14:paraId="136F85BF">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4.3  Learning Task on Problem Solving of "Scientific Theory Crisis and Model Revision"</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5A09F42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900" w:type="dxa"/>
            <w:tcBorders>
              <w:left w:val="nil"/>
              <w:bottom w:val="single" w:color="000000" w:sz="6" w:space="0"/>
              <w:right w:val="nil"/>
            </w:tcBorders>
            <w:shd w:val="clear" w:color="auto" w:fill="auto"/>
            <w:tcMar>
              <w:top w:w="40" w:type="dxa"/>
              <w:left w:w="60" w:type="dxa"/>
              <w:bottom w:w="40" w:type="dxa"/>
              <w:right w:w="60" w:type="dxa"/>
            </w:tcMar>
            <w:vAlign w:val="center"/>
          </w:tcPr>
          <w:p w14:paraId="3523A33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37223B8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具体设计</w:t>
            </w:r>
          </w:p>
        </w:tc>
      </w:tr>
      <w:tr w14:paraId="70DC34D0">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64B820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2218A7C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分子式为C</w:t>
            </w:r>
            <w:r>
              <w:rPr>
                <w:rFonts w:hint="eastAsia" w:ascii="宋体" w:hAnsi="宋体" w:eastAsia="宋体" w:cs="宋体"/>
                <w:sz w:val="24"/>
                <w:szCs w:val="24"/>
                <w:vertAlign w:val="subscript"/>
              </w:rPr>
              <w:t>6</w:t>
            </w:r>
            <w:r>
              <w:rPr>
                <w:rFonts w:hint="eastAsia" w:ascii="宋体" w:hAnsi="宋体" w:eastAsia="宋体" w:cs="宋体"/>
                <w:sz w:val="24"/>
                <w:szCs w:val="24"/>
              </w:rPr>
              <w:t>H</w:t>
            </w:r>
            <w:r>
              <w:rPr>
                <w:rFonts w:hint="eastAsia" w:ascii="宋体" w:hAnsi="宋体" w:eastAsia="宋体" w:cs="宋体"/>
                <w:sz w:val="24"/>
                <w:szCs w:val="24"/>
                <w:vertAlign w:val="subscript"/>
              </w:rPr>
              <w:t>6</w:t>
            </w:r>
            <w:r>
              <w:rPr>
                <w:rFonts w:hint="eastAsia" w:ascii="宋体" w:hAnsi="宋体" w:eastAsia="宋体" w:cs="宋体"/>
                <w:sz w:val="24"/>
                <w:szCs w:val="24"/>
              </w:rPr>
              <w:t>的苯“理应”高度不饱和、性质活泼，实际却相当稳定；</w:t>
            </w:r>
          </w:p>
          <w:p w14:paraId="0BD999C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曾被普遍接受的凯库勒式又接连遭遇反常证据——苯分子的结构模型究竟应当如何修正与重构？</w:t>
            </w:r>
          </w:p>
        </w:tc>
      </w:tr>
      <w:tr w14:paraId="091A69AA">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2355425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0CA71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19世纪化学界围绕苯分子结构的“理论危机”：法拉第分离得到苯并确定分子式后，分子式与性质的矛盾令化学界困惑；</w:t>
            </w:r>
          </w:p>
          <w:p w14:paraId="1ED1ED1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凯库勒基于碳四价学说与碳链结构理论创造性地提出单双键交替的六元环假说，随后邻位二取代物只有一种、氢化热远低于理论值等实验事实相继出现，使凯库勒式面临被修正的境地。</w:t>
            </w:r>
          </w:p>
        </w:tc>
      </w:tr>
      <w:tr w14:paraId="698518A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41C4D1F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E0118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化学史料档案馆的“历史文献分析员”与“模型评估者”。</w:t>
            </w:r>
          </w:p>
        </w:tc>
      </w:tr>
      <w:tr w14:paraId="29381C91">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2B46AAE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01CC9CB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以小组为单位研读教师提供的“证据卡片”（分子式测定记录、邻位二取代物种类实验、氢化热数据、苯与溴水及酸性高锰酸钾溶液作用的实验记录），梳理凯库勒式能够解释与无法解释的事实，剖析旧模型的理论缺陷，尝试对苯环结构模型作出修正，并绘制苯分子结构认识的演变脉络。</w:t>
            </w:r>
          </w:p>
        </w:tc>
      </w:tr>
      <w:tr w14:paraId="53CCFCB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7632B29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0CE811B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苯的分子式与凯库勒式、碳四价学说与碳链结构理论、“结构决定性质”的基本观念、现代苯环结构（六个碳碳键完全等同的离域大π键）。</w:t>
            </w:r>
          </w:p>
        </w:tc>
      </w:tr>
      <w:tr w14:paraId="409D157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213CE85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7EEAD36">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凯库勒式缺陷分析报告、苯分子结构认识演变脉络图。</w:t>
            </w:r>
          </w:p>
        </w:tc>
      </w:tr>
      <w:tr w14:paraId="44F5534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59837B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0F4B0E2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指向科学知识本质观维度：从凯库勒假说的提出体会科学知识的创造性，从反常证据引发的质疑体会科学知识的暂定性，从模型在修正中逐步逼近客观规律体会科学知识的累积性。</w:t>
            </w:r>
          </w:p>
        </w:tc>
      </w:tr>
    </w:tbl>
    <w:p w14:paraId="79FBA85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直接承接表4-2中科学知识本质观维度的三条培养目标，选用第三节筛选的第一组素材。针对学情分析指出的学生对多重证据综合权衡能力不足的弱项，任务将史料拆解为若干张“证据卡片”，使凯库勒式的提出、质疑与修正转化为可逐步完成的子任务；任务结束后设置显性反思追问——“这一修正过程说明科学知识具有怎样的特征？”——引导学生将具体史实升华为对科学知识暂定性、创造性与累积性的抽象认识，避免学习停留在史实复述层面。</w:t>
      </w:r>
    </w:p>
    <w:p w14:paraId="4B99B9AF">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基于“科学证据获取与探究过程”问题解决的学习任务</w:t>
      </w:r>
    </w:p>
    <w:p w14:paraId="5578ECD1">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本任务聚焦苯环结构真伪之争中的证据问题，要求学生像化学家一样通过实验与数据“用证据说话”。学习任务单如表4-4所示。</w:t>
      </w:r>
    </w:p>
    <w:p w14:paraId="5F1E0DEF">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表4-4 基于“科学证据获取与探究过程”问题解决的学习任务单</w:t>
      </w:r>
    </w:p>
    <w:p w14:paraId="00F5BBE6">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4.4  Learning Task on Problem Solving of "Scientific Evidence Acquisition and Inquiry Process"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7FE8CE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900" w:type="dxa"/>
            <w:tcBorders>
              <w:left w:val="nil"/>
              <w:bottom w:val="single" w:color="000000" w:sz="6" w:space="0"/>
              <w:right w:val="nil"/>
            </w:tcBorders>
            <w:shd w:val="clear" w:color="auto" w:fill="auto"/>
            <w:tcMar>
              <w:top w:w="40" w:type="dxa"/>
              <w:left w:w="60" w:type="dxa"/>
              <w:bottom w:w="40" w:type="dxa"/>
              <w:right w:w="60" w:type="dxa"/>
            </w:tcMar>
            <w:vAlign w:val="center"/>
          </w:tcPr>
          <w:p w14:paraId="3D1561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29A6B48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具体设计</w:t>
            </w:r>
          </w:p>
        </w:tc>
      </w:tr>
      <w:tr w14:paraId="305E505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35559B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4EDFC4C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苯环上到底有没有典型的碳碳双键？我们能够设计怎样的实验、获取怎样的证据来支持自己的判断？</w:t>
            </w:r>
          </w:p>
        </w:tc>
      </w:tr>
      <w:tr w14:paraId="428AA5E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2CC76D4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404E0A2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凯库勒式引发的争论，判断苯环结构不能依靠权威表态，只能依靠证据：课堂上可以重现苯与溴水、酸性高锰酸钾溶液作用的定性实验；史料中则保存着键长测定值、氢化热等定量数据——两类证据能否相互印证、共同指向同一结论？</w:t>
            </w:r>
          </w:p>
        </w:tc>
      </w:tr>
      <w:tr w14:paraId="660D10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0C934FE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2DC99E5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实验方案设计者与证据论证者。</w:t>
            </w:r>
          </w:p>
        </w:tc>
      </w:tr>
      <w:tr w14:paraId="11D9317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7A71CD3C">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66CC8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先依据乙烯的性质经验对苯环结构作出预测；随后设计并完成苯分别与溴水、酸性高锰酸钾溶液作用的对比实验，规范记录实验现象；研读苯环碳碳键键长完全相等、氢化热远低于“环己三烯”理论值等定量数据，整理“现象—证据—结论”的推理链条；最后在班级汇报中开展论证交流，回应其他小组的质疑。</w:t>
            </w:r>
          </w:p>
        </w:tc>
      </w:tr>
      <w:tr w14:paraId="7A72A68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4BC6FAA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2A56250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乙烯等不饱和烃的典型性质、对比实验与变量控制方法、定性现象与定量数据的相互印证、“假设—演绎”式的科学论证结构。</w:t>
            </w:r>
          </w:p>
        </w:tc>
      </w:tr>
      <w:tr w14:paraId="4F66A9E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46E18A86">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525C1B5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实验探究方案与现象记录表、“苯环结构证据链”论证报告。</w:t>
            </w:r>
          </w:p>
        </w:tc>
      </w:tr>
      <w:tr w14:paraId="3A1260A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5B8F8A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76E5439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指向科学探究本质观维度：从“证据先于结论”的论证要求体会科学探究的实证性，从定性实验与定量数据的互证体会探究方法的多样性，从“假设—演绎”的推理过程体会科学探究的逻辑推理性。</w:t>
            </w:r>
          </w:p>
        </w:tc>
      </w:tr>
    </w:tbl>
    <w:p w14:paraId="0FECD4C6">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探究本质观维度的三条培养目标，选用第三节筛选的第二组素材，并落实学情分析所确立的“预测—实验验证—讨论”活动流程：学生先依据已有认知作出预测，实验现象与预测的落差随即制造认知冲突，键长与氢化热数据则为冲突的解决提供定量支撑。教师提供反应现象记录表、键长数据对比表等结构化证据支架，帮助学生搭建从“现象”到“证据”再到“结论”的推理链条；论证环节设置反思追问——“科学结论的确立依赖什么？单一证据是否足以支撑结论？”——使学生在辩论中深化对科学探究本质的理解。</w:t>
      </w:r>
    </w:p>
    <w:p w14:paraId="39B0B6F5">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基于“科学技术社会价值权衡与决策”问题解决的学习任务</w:t>
      </w:r>
    </w:p>
    <w:p w14:paraId="1CB411DD">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本任务将学习视野由苯的分子结构延伸至苯与社会的关系，围绕苯的工业价值与职业危害组织模拟听证会。学习任务单如表4-5所示。</w:t>
      </w:r>
    </w:p>
    <w:p w14:paraId="6733BDAB">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表4-5 基于“科学技术社会价值权衡与决策”问题解决的学习任务单</w:t>
      </w:r>
    </w:p>
    <w:p w14:paraId="26628F92">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4.5  Learning Task on Problem Solving of "Value Judgment and Decision-Making on Science, Technology and Society"</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3CE544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900" w:type="dxa"/>
            <w:tcBorders>
              <w:left w:val="nil"/>
              <w:bottom w:val="single" w:color="000000" w:sz="6" w:space="0"/>
              <w:right w:val="nil"/>
            </w:tcBorders>
            <w:shd w:val="clear" w:color="auto" w:fill="auto"/>
            <w:tcMar>
              <w:top w:w="40" w:type="dxa"/>
              <w:left w:w="60" w:type="dxa"/>
              <w:bottom w:w="40" w:type="dxa"/>
              <w:right w:w="60" w:type="dxa"/>
            </w:tcMar>
            <w:vAlign w:val="center"/>
          </w:tcPr>
          <w:p w14:paraId="51DDB6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697A6CE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1"/>
                <w:szCs w:val="21"/>
              </w:rPr>
            </w:pPr>
            <w:r>
              <w:rPr>
                <w:rFonts w:ascii="Times New Roman" w:hAnsi="Times New Roman" w:eastAsia="宋体" w:cs="Times New Roman"/>
                <w:b/>
                <w:sz w:val="24"/>
                <w:szCs w:val="24"/>
              </w:rPr>
              <w:t>具体设计</w:t>
            </w:r>
          </w:p>
        </w:tc>
      </w:tr>
      <w:tr w14:paraId="730A068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24559867">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5486C93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苯兼具重要的工业价值与明确的毒性、致癌性——社会应当如何科学、理性地使用和管理这种“既离不开又必须防范”的物质？</w:t>
            </w:r>
          </w:p>
        </w:tc>
      </w:tr>
      <w:tr w14:paraId="48663B4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3D48867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6BCC08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模拟“苯的使用与管理”听证会：苯是生产苯乙烯、环己烷、硝基苯等产品的基础化工原料，支撑着庞大的产业链；与此同时，苯的毒性与致癌性使接触苯的作业岗位面临明确的职业危害，需要严格的职业防护与安全生产要求。</w:t>
            </w:r>
          </w:p>
        </w:tc>
      </w:tr>
      <w:tr w14:paraId="78354B9B">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7C7596B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8AE79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行业不同利益相关方代表：化工企业代表、职业卫生专家、环保部门工作人员、一线作业工人代表等。</w:t>
            </w:r>
          </w:p>
        </w:tc>
      </w:tr>
      <w:tr w14:paraId="7CF1FF34">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484F4CA4">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361D5AC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课前依据所承担的角色检索、整理相关资料；听证会上进行立场陈述，围绕经济效益、健康风险、环保要求与替代方案开展质询与协商；在权衡多方诉求的基础上形成小组决策建议，并对“科学技术的应用应当如何决策”进行反思讨论。</w:t>
            </w:r>
          </w:p>
        </w:tc>
      </w:tr>
      <w:tr w14:paraId="7B9143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3D19709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79A49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苯的主要工业用途及其化学原理、苯的毒性与职业防护常识、科学·技术·社会·环境（STSE）综合评估视角、辩证分析与决策方法。</w:t>
            </w:r>
          </w:p>
        </w:tc>
      </w:tr>
      <w:tr w14:paraId="5DF3F6C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7F6AF45D">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DE6AF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苯的社会应用建议书、模拟听证会多方观点摘要。</w:t>
            </w:r>
          </w:p>
        </w:tc>
      </w:tr>
      <w:tr w14:paraId="04BD3BD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900" w:type="dxa"/>
            <w:tcBorders>
              <w:left w:val="nil"/>
              <w:right w:val="nil"/>
            </w:tcBorders>
            <w:shd w:val="clear" w:color="auto" w:fill="auto"/>
            <w:tcMar>
              <w:top w:w="40" w:type="dxa"/>
              <w:left w:w="60" w:type="dxa"/>
              <w:bottom w:w="40" w:type="dxa"/>
              <w:right w:w="60" w:type="dxa"/>
            </w:tcMar>
            <w:vAlign w:val="center"/>
          </w:tcPr>
          <w:p w14:paraId="07F3A368">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3F9321D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事业本质观维度：从苯的工业价值与健康危害的并存体会科学与技术应用的两面性，从多方立场的权衡协商体会科学与社会的相互制约，从“凯库勒式由被接受到被修正”的回望体会科学共同体对知识的检验作用。</w:t>
            </w:r>
          </w:p>
        </w:tc>
      </w:tr>
    </w:tbl>
    <w:p w14:paraId="476633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事业本质观维度的三条培养目标，选用第三节筛选的第三组素材。学情分析表明，学生在该维度的认识基础在三个维度中最为薄弱，面对社会性议题易作简单化处理，因此任务借助模拟听证会为学生提供具体的行业角色支架，使其在多方立场的冲突与协商中逐步形成辩证、全面的价值判断；成果设定为书面建议书与观点摘要，防止讨论停留于表层交锋。考虑到该维度认识转变周期较长，本任务的实施效果还将通过第六节的评价机制作持续追踪。</w:t>
      </w:r>
    </w:p>
    <w:p w14:paraId="6B1AF70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学习任务共用“苯分子结构探索史—苯的社会应用”这一情境链条，任务之间呈现“理论危机—证据检验—价值决策”的递进结构；学生角色相应地由“历史文献分析员与模型评估者”经“实验方案设计者与证据论证者”走向“社会决策参与者”，科学知识、科学探究、科学事业三维度的培养目标在任务层面得到完整覆盖。三大学习任务在课堂中的具体落实方式，将在下一节的探究活动设计中展开。</w:t>
      </w:r>
    </w:p>
    <w:p>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学习任务驱动的探究活动设计</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五节指出，学习任务驱动的探究活动是落实HPS教学理念、促进科学本质观建构的关键环节：学习任务规定了学生“做什么”，探究活动则回答任务在课堂中“怎样做”。本节承接上一节的三大学习任务，将每一任务转化为可操作的课堂探究活动序列。在整体安排上，三个探究活动均落实学情分析所确立的“预测—实验验证—讨论”活动流程与“问题提出—史料分析—证据检验—显性反思”的HPS实施路径，并以显性反思环节收束，防止活动经历停留于体验层面。三大学习任务、驱动问题、活动环节与科学本质观维度之间的整体对应关系如图4-2所示。</w:t>
      </w:r>
    </w:p>
    <w:p>
      <w:pPr>
        <w:spacing w:before="120"/>
        <w:ind w:firstLine="0" w:firstLineChars="0"/>
        <w:jc w:val="center"/>
        <w:rPr>
          <w:rFonts w:hint="eastAsia"/>
        </w:rPr>
      </w:pPr>
      <w:r>
        <w:rPr>
          <w:rFonts w:hint="eastAsia"/>
        </w:rPr>
        <w:drawing>
          <wp:inline distT="0" distB="0" distL="114300" distR="114300">
            <wp:extent cx="5900000" cy="2000378"/>
            <wp:effectExtent l="0" t="0" r="0" b="0"/>
            <wp:docPr id="90" name="Picture 90" descr="图4-2_学习任务驱动的探究活动设计思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pic:cNvPicPr>
                  </pic:nvPicPr>
                  <pic:blipFill>
                    <a:blip r:embed="rId24"/>
                    <a:stretch>
                      <a:fillRect/>
                    </a:stretch>
                  </pic:blipFill>
                  <pic:spPr>
                    <a:xfrm>
                      <a:off x="0" y="0"/>
                      <a:ext cx="5900000" cy="2000378"/>
                    </a:xfrm>
                    <a:prstGeom prst="rect">
                      <a:avLst/>
                    </a:prstGeom>
                  </pic:spPr>
                </pic:pic>
              </a:graphicData>
            </a:graphic>
          </wp:inline>
        </w:drawing>
      </w:r>
    </w:p>
    <w:p>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图4-2 学习任务驱动的探究活动设计思路</w:t>
      </w:r>
    </w:p>
    <w:p>
      <w:pPr>
        <w:spacing w:after="120"/>
        <w:ind w:firstLine="0" w:firstLineChars="0"/>
        <w:jc w:val="center"/>
      </w:pPr>
      <w:r>
        <w:rPr>
          <w:rFonts w:ascii="Times New Roman" w:hAnsi="Times New Roman" w:eastAsia="Times New Roman" w:cs="Times New Roman"/>
          <w:i/>
          <w:iCs/>
          <w:sz w:val="18"/>
          <w:szCs w:val="18"/>
        </w:rPr>
        <w:t>Fig. 4-2  Design Approach of the Learning-Task-Driven Inquiry Activities</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围绕“科学理论危机与模型修正”的探究活动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本活动承接第一项学习任务，指向科学知识本质观的培养，按“情境引入—性质预测—证据研读—模型修正—反思追问”五个环节展开，其实施链条如图4-3所示。</w:t>
      </w:r>
    </w:p>
    <w:p>
      <w:pPr>
        <w:spacing w:before="120"/>
        <w:ind w:firstLine="0" w:firstLineChars="0"/>
        <w:jc w:val="center"/>
        <w:rPr>
          <w:rFonts w:hint="eastAsia"/>
        </w:rPr>
      </w:pPr>
      <w:r>
        <w:rPr>
          <w:rFonts w:hint="eastAsia"/>
        </w:rPr>
        <w:drawing>
          <wp:inline distT="0" distB="0" distL="114300" distR="114300">
            <wp:extent cx="5900000" cy="764190"/>
            <wp:effectExtent l="0" t="0" r="0" b="0"/>
            <wp:docPr id="91" name="Picture 91" descr="图4-3_科学理论危机与模型修正探究活动实施链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pic:cNvPicPr>
                  </pic:nvPicPr>
                  <pic:blipFill>
                    <a:blip r:embed="rId25"/>
                    <a:stretch>
                      <a:fillRect/>
                    </a:stretch>
                  </pic:blipFill>
                  <pic:spPr>
                    <a:xfrm>
                      <a:off x="0" y="0"/>
                      <a:ext cx="5900000" cy="764190"/>
                    </a:xfrm>
                    <a:prstGeom prst="rect">
                      <a:avLst/>
                    </a:prstGeom>
                  </pic:spPr>
                </pic:pic>
              </a:graphicData>
            </a:graphic>
          </wp:inline>
        </w:drawing>
      </w:r>
    </w:p>
    <w:p>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图4-3 “科学理论危机与模型修正”探究活动实施链条</w:t>
      </w:r>
    </w:p>
    <w:p>
      <w:pPr>
        <w:spacing w:after="120"/>
        <w:ind w:firstLine="0" w:firstLineChars="0"/>
        <w:jc w:val="center"/>
      </w:pPr>
      <w:r>
        <w:rPr>
          <w:rFonts w:ascii="Times New Roman" w:hAnsi="Times New Roman" w:eastAsia="Times New Roman" w:cs="Times New Roman"/>
          <w:i/>
          <w:iCs/>
          <w:sz w:val="18"/>
          <w:szCs w:val="18"/>
        </w:rPr>
        <w:t>Fig. 4-3  Implementation Chain of the Inquiry Activity on "Scientific Theory Crisis and Model Revision"</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首先，在情境引入环节，教师呈现法拉第从照明气残留液中分离得到苯、分子式确定为</w:t>
      </w:r>
      <w:r>
        <w:rPr>
          <w:rFonts w:hint="eastAsia"/>
        </w:rPr>
        <w:t>C</w:t>
      </w:r>
      <w:r>
        <w:rPr>
          <w:rFonts w:hint="eastAsia"/>
          <w:vertAlign w:val="subscript"/>
        </w:rPr>
        <w:t>6</w:t>
      </w:r>
      <w:r>
        <w:rPr>
          <w:rFonts w:hint="eastAsia"/>
        </w:rPr>
        <w:t>H</w:t>
      </w:r>
      <w:r>
        <w:rPr>
          <w:rFonts w:hint="eastAsia"/>
          <w:vertAlign w:val="subscript"/>
        </w:rPr>
        <w:t>6</w:t>
      </w:r>
      <w:r>
        <w:rPr>
          <w:rFonts w:hint="eastAsia"/>
        </w:rPr>
        <w:t>的史实，将学生带入19世纪化学界所面临的真实问题情境。</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其次，在性质预测环节，学生依据碳氢比推断苯“应当”具有的高度不饱和性，并参照乙烯的性质经验对苯的化学性质作出预测，由此制造第一重认知冲突。</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在证据研读环节，各小组以“历史文献分析员”与“模型评估者”的身份领取“证据卡片”：先研读凯库勒基于碳四价学说与碳链结构理论提出六元环假说的背景与依据，体会该假说对分子式之谜的解释力；再对照邻位二取代物只有一种、氢化热远低于理论值等反常证据，逐条检验凯库勒式的解释边界，找出旧模型的理论缺陷。</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然后，在模型修正环节，学生在证据分析的基础上尝试提出修正设想，并绘制苯分子结构认识的演变脉络图，亲历“遇到矛盾—分析缺陷—修正模型”的完整推演。</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在反思追问环节，教师以“这一修正过程说明科学知识具有怎样的特征？”作显性追问，引导学生认识到曾被普遍接受的凯库勒式也需要接受新证据的检验，科学理论并非一成不变的绝对真理，而是在继承中不断修正、逐步逼近客观规律。经由这一环节，学生从具体史实中提炼出科学知识的创造性、暂定性与累积性，实现由“听故事”向“悟本质”的认知升级。</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围绕“科学证据获取与探究过程”的探究活动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二项学习任务，指向科学探究本质观的培养，要解决的核心问题只有一个：苯环上到底有没有典型的碳碳双键。围绕这个问题，活动依次经过依据经验预测、对比实验验证、定量数据研读、证据链整理和班级论证五个环节，引导学生凭证据作判断，而不是照搬现成结论。</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依据经验预测。学生在乙烯一节已经知道，碳碳双键能使溴水和酸性高锰酸钾溶液褪色。教师请他们把这条经验迁移到苯上：如果苯环里真的是单、双键交替排列，滴入这两种试剂又会怎样？不少学生据此预测，苯也应当使溶液褪色。</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对比实验验证。各小组把苯分别加入溴水和酸性高锰酸钾溶液，一边操作一边记录现象。结果两种溶液都没有褪色，与课前的预测正好相反。学生原以为苯会像乙烯那样反应，如今却碰了壁：既然看不到碳碳双键应有的表现，苯环的结构显然另有蹊跷。</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定量数据研读。定性实验只能提出疑问，还不足以给出定论。教师随即补充两组前人测得的数据：苯环上六个碳碳键的键长完全相等，都介于碳碳单键与碳碳双键之间；苯的氢化热也明显低于把它当作“环己三烯”推算出的理论值。学生对照反应现象记录表和键长数据对比表，把观察到的现象与这些数字放在一起比对。</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证据链整理。有了现象和数据两方面的支撑，学生顺着“现象—证据—结论”的思路逐步推断：苯环中并不存在孤立的碳碳双键，六个碳碳键其实完全等同。推理的每一步都有据可依，结论自然也就立得住。</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班级论证。各小组轮流汇报本组的证据链，讲清每一步结论的依据，同时回应其他小组的追问。教师借机让大家比较：各组选用的证据是否相同，排布的先后又有何讲究？在这样的比较中，学生逐渐意识到，动手实验、观察现象并不是获取证据的唯一途径，键长、氢化热这类测量数据，乃至化学史中留下的记录，同样是可靠的证据来源。讨论将近尾声时，教师再追问一句：科学结论究竟凭什么成立，单凭一条证据是否足够？一问一答之间，学生慢慢体会到，科学探究看重实证，取证的方法可以不止一种，但每一步推理都必须经得起推敲，而不是“观察一下、归纳一下”就能得出结论。</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围绕“科学技术社会价值权衡与决策”的探究活动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三项学习任务，指向科学事业本质观的培养，以模拟“苯的使用与管理”听证会为核心形式，分“课前准备—立场陈述—质询协商—决策反思”四个环节实施。课前，学生依据抽定的角色——化工企业代表、职业卫生专家、环保部门工作人员、一线作业工人代表等——检索并整理相关资料；课上各方依次陈述立场，围绕苯的工业价值、健康风险、环保要求与替代方案展开质询与协商；在权衡多方诉求的基础上，各小组形成决策建议并撰写苯的社会应用建议书与多方观点摘要。</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师在协商与总结环节适时引导反思：科学技术应用的决策由谁作出？受到哪些社会因素的制约？并带领学生回望凯库勒式由被接受、被质疑到被修正的历程，体会科学共同体对知识的检验作用。通过真实、具体的职业情境与角色支架，学生得以在多方立场的冲突与协商中形成辩证、全面的价值判断，认识到科学事业既推动社会进步，也始终处于社会经济、文化与伦理等现实因素的相互作用之中。考虑到该维度的认识转变周期较长，本活动产出的建议书与观点摘要将同时作为过程性证据，纳入下一节评价机制的持续追踪。</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探究活动与三大学习任务逐一对应，在课堂层面形成“情境引入—证据探究—论证反思—价值延伸”的完整链条；两重认知冲突依次推进，三次显性反思层层收束，使科学知识、科学探究、科学事业三维度本质观的培养落实于具体的课堂行为之中。各活动实施效果的观测与评价方式，将在下一节建立的评价机制中具体说明。</w:t>
      </w:r>
    </w:p>
    <w:p>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建立指向科学本质观维度变化的评价机制</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学评一体化主张评价目标应当由教学目标导出，并如实反映教学目标的达成情况。本设计的科学本质观培养目标分布在科学知识、科学探究、科学事业三个维度，其中有的转变可以在一节课内显现，有的（如科学事业维度）则需要较长的周期才能看到变化。仅凭一次量化测试，或仅凭课堂观察，都难以完整反映学生的认识转变。为此，本设计采用量化前后测与质性过程证据相结合的评价机制：一方面借助标准化问卷，在课前、课后测量学生科学本质观三个维度的水平并作比较；另一方面通过学习任务的过程性成果和课堂访谈，捕捉学生认识转变的具体表现。评价设计的整体安排见表4-6。</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表4-6 “苯”教学案例科学本质观评价设计</w:t>
      </w:r>
    </w:p>
    <w:p>
      <w:pPr>
        <w:widowControl w:val="0"/>
        <w:spacing w:after="120"/>
        <w:jc w:val="center"/>
      </w:pPr>
      <w:r>
        <w:rPr>
          <w:rFonts w:ascii="Times New Roman" w:hAnsi="Times New Roman" w:eastAsia="Times New Roman" w:cs="Times New Roman"/>
          <w:i/>
          <w:iCs/>
          <w:sz w:val="18"/>
          <w:szCs w:val="18"/>
        </w:rPr>
        <w:t>Tab. 4.6  Evaluation Design for the Nature-of-Science Dimensions in the "Benzene" Teaching Case</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900"/>
        <w:gridCol w:w="3400"/>
        <w:gridCol w:w="4338"/>
      </w:tblGrid>
      <w:tr>
        <w:trPr>
          <w:tblHeader/>
        </w:trPr>
        <w:tc>
          <w:tcPr>
            <w:tcW w:w="19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评价类型</w:t>
            </w:r>
          </w:p>
        </w:tc>
        <w:tc>
          <w:tcPr>
            <w:tcW w:w="34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评价内容</w:t>
            </w:r>
          </w:p>
        </w:tc>
        <w:tc>
          <w:tcPr>
            <w:tcW w:w="4338"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评价工具</w:t>
            </w:r>
          </w:p>
        </w:tc>
      </w:tr>
      <w:tr>
        <w:tc>
          <w:tcPr>
            <w:tcW w:w="19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形成性评价</w:t>
            </w:r>
          </w:p>
        </w:tc>
        <w:tc>
          <w:tcPr>
            <w:tcW w:w="3400"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学生在三大学习任务中的过程性成果与课堂表现</w:t>
            </w:r>
          </w:p>
        </w:tc>
        <w:tc>
          <w:tcPr>
            <w:tcW w:w="4338"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学习任务单成果（凯库勒式缺陷分析报告、苯环结构证据链论证报告、苯的社会应用建议书等）、课堂观察记录</w:t>
            </w:r>
          </w:p>
        </w:tc>
      </w:tr>
      <w:tr>
        <w:tc>
          <w:tcPr>
            <w:tcW w:w="1900" w:type="dxa"/>
            <w:vMerge w:val="restart"/>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终结性评价</w:t>
            </w:r>
          </w:p>
        </w:tc>
        <w:tc>
          <w:tcPr>
            <w:tcW w:w="3400"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学生科学本质观三维度水平的前后变化</w:t>
            </w:r>
          </w:p>
        </w:tc>
        <w:tc>
          <w:tcPr>
            <w:tcW w:w="4338"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《科学本质观调查问卷》（课前、课后各施测一次）</w:t>
            </w:r>
          </w:p>
        </w:tc>
      </w:tr>
      <w:tr>
        <w:tc>
          <w:tcPr>
            <w:tcW w:w="1900" w:type="dxa"/>
            <w:vMerge/>
            <w:tcBorders>
              <w:left w:val="nil"/>
              <w:right w:val="nil"/>
            </w:tcBorders>
            <w:shd w:val="clear" w:color="auto" w:fill="auto"/>
            <w:tcMar>
              <w:top w:w="40" w:type="dxa"/>
              <w:left w:w="60" w:type="dxa"/>
              <w:bottom w:w="40" w:type="dxa"/>
              <w:right w:w="60" w:type="dxa"/>
            </w:tcMar>
            <w:vAlign w:val="center"/>
          </w:tcPr>
          <w:p>
            <w:pPr>
              <w:spacing w:line="280" w:lineRule="exact"/>
            </w:pPr>
          </w:p>
        </w:tc>
        <w:tc>
          <w:tcPr>
            <w:tcW w:w="3400"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学生对本节课学习过程的反馈与观念转变</w:t>
            </w:r>
          </w:p>
        </w:tc>
        <w:tc>
          <w:tcPr>
            <w:tcW w:w="4338"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学生访谈提纲</w:t>
            </w:r>
          </w:p>
        </w:tc>
      </w:tr>
    </w:tbl>
    <w:p>
      <w:pPr>
        <w:pStyle w:val="5"/>
        <w:numPr>
          <w:ilvl w:val="0"/>
          <w:numId w:val="35"/>
        </w:numPr>
      </w:pPr>
      <w:r>
        <w:rPr>
          <w:rFonts w:hint="eastAsia"/>
        </w:rPr>
        <w:t>科学本质观调查问卷</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本设计的量化评价直接采用石晓宇改编的《科学本质观调查问卷》</w:t>
      </w:r>
      <w:r>
        <w:rPr>
          <w:rFonts w:hint="eastAsia"/>
          <w:vertAlign w:val="superscript"/>
        </w:rPr>
        <w:t>［］</w:t>
      </w:r>
      <w:r>
        <w:rPr>
          <w:rFonts w:hint="eastAsia"/>
        </w:rPr>
        <w:t>（见附录）。该问卷以刘健智提出的科学本质观框架</w:t>
      </w:r>
      <w:r>
        <w:rPr>
          <w:rFonts w:hint="eastAsia"/>
          <w:vertAlign w:val="superscript"/>
        </w:rPr>
        <w:t>［］</w:t>
      </w:r>
      <w:r>
        <w:rPr>
          <w:rFonts w:hint="eastAsia"/>
        </w:rPr>
        <w:t>为基础，将科学本质观划分为科学知识、科学探究、科学事业三个一级维度，恰好与本设计三条培养目标主线相对应，因而能够用来测量本节课所指向的三个维度的整体水平。问卷采用李克特五点量表，共28道题目，正向题与反向题各14道：正向题按“非常不同意”到“非常同意”依次赋1至5分，反向题反向计分。全卷分设科学知识的本质（3题）、科学探究的本质（17题）与科学事业的本质（8题）三个分量表。评分以各维度平均分为准，平均分不低于4分视为理解水平较高，低于3分视为水平较低，介于二者之间则表明学生处于过渡阶段。</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该问卷在黄晓所编科学本质观测评问卷</w:t>
      </w:r>
      <w:r>
        <w:rPr>
          <w:rFonts w:hint="eastAsia"/>
          <w:vertAlign w:val="superscript"/>
        </w:rPr>
        <w:t>［］</w:t>
      </w:r>
      <w:r>
        <w:rPr>
          <w:rFonts w:hint="eastAsia"/>
        </w:rPr>
        <w:t>的基础上修订而成。石晓宇对其作过预测试：克隆巴赫α系数为0.721，KMO值为0.711，巴特利特球形检验显著，说明问卷信度可接受、结构效度良好，可用于高中生科学本质观的测量</w:t>
      </w:r>
      <w:r>
        <w:rPr>
          <w:rFonts w:hint="eastAsia"/>
          <w:vertAlign w:val="superscript"/>
        </w:rPr>
        <w:t>［］</w:t>
      </w:r>
      <w:r>
        <w:rPr>
          <w:rFonts w:hint="eastAsia"/>
        </w:rPr>
        <w:t>。本设计在实施时，于“苯”这节课的课前与课后各施测一次，运用SPSS对同一批学生的前后测得分作配对样本t检验，比较其在三个维度上的变化，据此判断经过本节HPS教学后学生的科学本质观是否有显著提升。</w:t>
      </w:r>
    </w:p>
    <w:p>
      <w:pPr>
        <w:pStyle w:val="5"/>
        <w:numPr>
          <w:ilvl w:val="0"/>
          <w:numId w:val="35"/>
        </w:numPr>
      </w:pPr>
      <w:r>
        <w:rPr>
          <w:rFonts w:hint="eastAsia"/>
        </w:rPr>
        <w:t>学习任务的表现性评价</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量化问卷给出的是维度水平的整体分数，学生认识转变的细节还需借助过程性成果来观察。“苯”教学案例的三大学习任务在课堂中会留下多份可供评阅的作品：任务一的凯库勒式缺陷分析报告与结构演变脉络图，任务二的苯环结构证据链论证报告，任务三的苯的社会应用建议书与听证会观点摘要。这些成果是学生认识转变的直接痕迹。研究者据此评阅学生的表现，重点看学生能否用证据支撑自己的判断、能否讲清科学模型被修正的来龙去脉、能否辩证地看待科学技术的社会影响。这一评价不以打分为目的，而在于诊断学生认识转变的深浅，并为后续教学的调整提供依据。</w:t>
      </w:r>
    </w:p>
    <w:p>
      <w:pPr>
        <w:pStyle w:val="5"/>
        <w:numPr>
          <w:ilvl w:val="0"/>
          <w:numId w:val="35"/>
        </w:numPr>
      </w:pPr>
      <w:r>
        <w:rPr>
          <w:rFonts w:hint="eastAsia"/>
        </w:rPr>
        <w:t>课堂访谈</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问卷难以回答学生“为什么这样想”，访谈正好补上这一环。授课前后，另选取部分学生进行半结构化访谈，主要围绕三点展开：学生对科学知识能否被修正的看法及其理由，学生在苯环结构探究中对“证据”作用的体会，以及学生对苯的工业价值与健康危害的权衡态度。访谈以匿名、保密的方式进行，鼓励学生说出真实想法。所得材料与问卷得分相互对照，尤其用来追踪科学事业这一维度——它的变化往往难以在短短一节课的量化得分中显现出来。</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总的来看，量化前后测提供的是三个维度水平变化的整体证据，质性的过程性成果与访谈则揭示变化背后的具体表现和原因，两者各有所长、彼此印证。需要说明的是，这套评价机制并非一次性的终点检验，而是纳入行动研究“计划—行动—观察—反思”的循环之中：本章形成的评价设计，将在第五章的课堂实践中付诸实施，并依据实测数据与课堂反馈，对学习任务和探究活动作进一步修正，尤其针对科学事业维度转变周期较长的特点作持续追踪与迭代优化。</w:t>
      </w:r>
    </w:p>
    <w:p w14:paraId="06FD1D5C">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bookmarkStart w:id="5" w:name="_GoBack"/>
      <w:bookmarkEnd w:id="5"/>
    </w:p>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9BA5513C-E953-427B-A030-47F596A57F1D}"/>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2">
    <w:p>
      <w:pPr>
        <w:spacing w:line="312" w:lineRule="auto"/>
      </w:pPr>
      <w:r>
        <w:separator/>
      </w:r>
    </w:p>
  </w:footnote>
  <w:footnote w:type="continuationSeparator" w:id="123">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jc w:val="both"/>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jc w:val="both"/>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jc w:val="both"/>
        <w:rPr>
          <w:rFonts w:hint="eastAsia" w:eastAsia="宋体"/>
          <w:lang w:val="en-US" w:eastAsia="zh-CN"/>
        </w:rPr>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r>
        <w:rPr>
          <w:rFonts w:hint="eastAsia"/>
          <w:lang w:val="en-US" w:eastAsia="zh-CN"/>
        </w:rPr>
        <w:t>.</w:t>
      </w:r>
    </w:p>
  </w:footnote>
  <w:footnote w:id="24">
    <w:p w14:paraId="3AB2743A">
      <w:pPr>
        <w:pStyle w:val="16"/>
        <w:snapToGrid w:val="0"/>
        <w:jc w:val="both"/>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jc w:val="both"/>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jc w:val="both"/>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pPr>
      <w:r>
        <w:rPr>
          <w:rStyle w:val="22"/>
        </w:rPr>
        <w:t>［</w:t>
      </w:r>
      <w:r>
        <w:rPr>
          <w:rStyle w:val="22"/>
        </w:rPr>
        <w:footnoteRef/>
      </w:r>
      <w:r>
        <w:rPr>
          <w:rStyle w:val="22"/>
        </w:rPr>
        <w:t>］</w:t>
      </w:r>
      <w:r>
        <w:t xml:space="preserve"> </w:t>
      </w:r>
      <w:r>
        <w:rPr>
          <w:rFonts w:hint="eastAsia"/>
        </w:rPr>
        <w:t>刘健智.论中学生科学本质观的内涵[J].物理教学探讨,2006,24(5):1-3</w:t>
      </w:r>
    </w:p>
  </w:footnote>
  <w:footnote w:id="56">
    <w:p w14:paraId="623B4AE9">
      <w:pPr>
        <w:pStyle w:val="16"/>
        <w:snapToGrid w:val="0"/>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0E5AF0F2"/>
    <w:multiLevelType w:val="multilevel"/>
    <w:tmpl w:val="0E5AF0F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5">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6">
    <w:nsid w:val="221F3E44"/>
    <w:multiLevelType w:val="singleLevel"/>
    <w:tmpl w:val="221F3E44"/>
    <w:lvl w:ilvl="0" w:tentative="0">
      <w:start w:val="1"/>
      <w:numFmt w:val="chineseCounting"/>
      <w:suff w:val="nothing"/>
      <w:lvlText w:val="第%1，"/>
      <w:lvlJc w:val="left"/>
      <w:rPr>
        <w:rFonts w:hint="eastAsia"/>
      </w:rPr>
    </w:lvl>
  </w:abstractNum>
  <w:abstractNum w:abstractNumId="17">
    <w:nsid w:val="26B40C3B"/>
    <w:multiLevelType w:val="multilevel"/>
    <w:tmpl w:val="26B40C3B"/>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4E3785F"/>
    <w:multiLevelType w:val="singleLevel"/>
    <w:tmpl w:val="34E3785F"/>
    <w:lvl w:ilvl="0" w:tentative="0">
      <w:start w:val="1"/>
      <w:numFmt w:val="chineseCounting"/>
      <w:suff w:val="nothing"/>
      <w:lvlText w:val="第%1，"/>
      <w:lvlJc w:val="left"/>
      <w:rPr>
        <w:rFonts w:hint="eastAsia"/>
      </w:rPr>
    </w:lvl>
  </w:abstractNum>
  <w:abstractNum w:abstractNumId="19">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0">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1">
    <w:nsid w:val="46C74E3D"/>
    <w:multiLevelType w:val="singleLevel"/>
    <w:tmpl w:val="46C74E3D"/>
    <w:lvl w:ilvl="0" w:tentative="0">
      <w:start w:val="1"/>
      <w:numFmt w:val="chineseCounting"/>
      <w:suff w:val="nothing"/>
      <w:lvlText w:val="（%1）"/>
      <w:lvlJc w:val="left"/>
      <w:rPr>
        <w:rFonts w:hint="eastAsia"/>
      </w:rPr>
    </w:lvl>
  </w:abstractNum>
  <w:abstractNum w:abstractNumId="22">
    <w:nsid w:val="52CB6702"/>
    <w:multiLevelType w:val="singleLevel"/>
    <w:tmpl w:val="52CB6702"/>
    <w:lvl w:ilvl="0" w:tentative="0">
      <w:start w:val="1"/>
      <w:numFmt w:val="decimal"/>
      <w:suff w:val="nothing"/>
      <w:lvlText w:val="（%1）"/>
      <w:lvlJc w:val="left"/>
    </w:lvl>
  </w:abstractNum>
  <w:abstractNum w:abstractNumId="23">
    <w:nsid w:val="5B6470E2"/>
    <w:multiLevelType w:val="singleLevel"/>
    <w:tmpl w:val="5B6470E2"/>
    <w:lvl w:ilvl="0" w:tentative="0">
      <w:start w:val="1"/>
      <w:numFmt w:val="decimal"/>
      <w:lvlText w:val="(%1)"/>
      <w:lvlJc w:val="left"/>
      <w:pPr>
        <w:ind w:left="425" w:hanging="425"/>
      </w:pPr>
      <w:rPr>
        <w:rFonts w:hint="default"/>
      </w:rPr>
    </w:lvl>
  </w:abstractNum>
  <w:abstractNum w:abstractNumId="24">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5">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6">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7">
    <w:nsid w:val="789E0C00"/>
    <w:multiLevelType w:val="singleLevel"/>
    <w:tmpl w:val="789E0C00"/>
    <w:lvl w:ilvl="0" w:tentative="0">
      <w:start w:val="1"/>
      <w:numFmt w:val="decimal"/>
      <w:lvlText w:val="(%1)"/>
      <w:lvlJc w:val="left"/>
      <w:pPr>
        <w:ind w:left="425" w:hanging="425"/>
      </w:pPr>
      <w:rPr>
        <w:rFonts w:hint="default"/>
      </w:rPr>
    </w:lvl>
  </w:abstractNum>
  <w:abstractNum w:abstractNumId="28">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6"/>
  </w:num>
  <w:num w:numId="4">
    <w:abstractNumId w:val="9"/>
  </w:num>
  <w:num w:numId="5">
    <w:abstractNumId w:val="8"/>
  </w:num>
  <w:num w:numId="6">
    <w:abstractNumId w:val="23"/>
  </w:num>
  <w:num w:numId="7">
    <w:abstractNumId w:val="28"/>
  </w:num>
  <w:num w:numId="8">
    <w:abstractNumId w:val="27"/>
  </w:num>
  <w:num w:numId="9">
    <w:abstractNumId w:val="7"/>
  </w:num>
  <w:num w:numId="10">
    <w:abstractNumId w:val="5"/>
  </w:num>
  <w:num w:numId="11">
    <w:abstractNumId w:val="19"/>
  </w:num>
  <w:num w:numId="12">
    <w:abstractNumId w:val="22"/>
  </w:num>
  <w:num w:numId="13">
    <w:abstractNumId w:val="17"/>
  </w:num>
  <w:num w:numId="14">
    <w:abstractNumId w:val="4"/>
  </w:num>
  <w:num w:numId="15">
    <w:abstractNumId w:val="25"/>
  </w:num>
  <w:num w:numId="16">
    <w:abstractNumId w:val="16"/>
  </w:num>
  <w:num w:numId="17">
    <w:abstractNumId w:val="15"/>
  </w:num>
  <w:num w:numId="18">
    <w:abstractNumId w:val="11"/>
  </w:num>
  <w:num w:numId="19">
    <w:abstractNumId w:val="3"/>
  </w:num>
  <w:num w:numId="20">
    <w:abstractNumId w:val="24"/>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18"/>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10"/>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
  </w:num>
  <w:num w:numId="31">
    <w:abstractNumId w:val="1"/>
  </w:num>
  <w:num w:numId="32">
    <w:abstractNumId w:val="21"/>
  </w:num>
  <w:num w:numId="33">
    <w:abstractNumId w:val="13"/>
  </w:num>
  <w:num w:numId="34">
    <w:abstractNumId w:val="13"/>
    <w:lvlOverride w:ilvl="1">
      <w:startOverride w:val="1"/>
    </w:lvlOverride>
  </w:num>
  <w:num w:numId="35">
    <w:abstractNumId w:val="6"/>
    <w:lvlOverride w:ilvl="0">
      <w:startOverride w:val="1"/>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2"/>
    <w:footnote w:id="123"/>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1FDA3D75"/>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6AF68B6"/>
    <w:rsid w:val="6E9B2AE6"/>
    <w:rsid w:val="70A538B1"/>
    <w:rsid w:val="71F941EE"/>
    <w:rsid w:val="752E10BB"/>
    <w:rsid w:val="758960C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24" Type="http://schemas.openxmlformats.org/officeDocument/2006/relationships/image" Target="media/image16.png"/><Relationship Id="rId25" Type="http://schemas.openxmlformats.org/officeDocument/2006/relationships/image" Target="media/image17.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51</Pages>
  <Words>1848</Words>
  <Characters>1901</Characters>
  <Lines>591</Lines>
  <Paragraphs>295</Paragraphs>
  <TotalTime>23</TotalTime>
  <ScaleCrop>false</ScaleCrop>
  <LinksUpToDate>false</LinksUpToDate>
  <CharactersWithSpaces>1905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2026-08-04T09:27:41Z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251A349ED8644C62A5D573ECA61EC4CD_13</vt:lpwstr>
  </property>
</Properties>
</file>