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footnoteReference w:id="0"/>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fldChar w:fldCharType="begin"/>
        <w:instrText xml:space="preserve"> STYLEREF 1 \s </w:instrText>
        <w:fldChar w:fldCharType="separate"/>
        <w:t>1</w:t>
        <w:fldChar w:fldCharType="end"/>
        <w:noBreakHyphen/>
        <w:fldChar w:fldCharType="begin"/>
        <w:instrText xml:space="preserve"> SEQ HPS教学理念在课标必修课程部分中的体现 \* ARABIC \s 1 </w:instrText>
        <w:fldChar w:fldCharType="separate"/>
        <w:t>1</w:t>
        <w:fldChar w:fldCharType="end"/>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77DE8F2">
      <w:pPr>
        <w:pStyle w:val="23"/>
        <w:widowControl w:val="0"/>
        <w:ind w:firstLine="460"/>
        <w:rPr>
          <w:rStyle w:val="22"/>
          <w:rFonts w:ascii="宋体" w:hAnsi="宋体" w:cs="宋体"/>
          <w:color w:val="000000"/>
          <w:kern w:val="2"/>
          <w:sz w:val="24"/>
          <w:szCs w:val="24"/>
        </w:rPr>
        <w:sectPr>
          <w:footnotePr>
            <w:numFmt w:val="decimal"/>
            <w:numRestart w:val="eachPage"/>
          </w:footnotePr>
          <w:pgSz w:w="11906" w:h="16838"/>
          <w:pgMar w:top="1134" w:right="1134" w:bottom="1134" w:left="1134" w:header="708" w:footer="708" w:gutter="0"/>
          <w:cols w:space="720" w:num="1"/>
          <w:docGrid w:linePitch="360" w:charSpace="0"/>
        </w:sect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r>
    </w:p>
    <w:p w14:paraId="4C27E15C">
      <w:pPr>
        <w:pStyle w:val="23"/>
        <w:widowControl w:val="0"/>
        <w:ind w:firstLine="460"/>
        <w:rPr>
          <w:rFonts w:hint="eastAsia" w:ascii="宋体" w:hAnsi="宋体" w:cs="宋体"/>
          <w:color w:val="000000"/>
          <w:kern w:val="2"/>
          <w:sz w:val="24"/>
          <w:szCs w:val="24"/>
        </w:rPr>
      </w:pPr>
      <w:r>
        <w:rPr>
          <w:rStyle w:val="22"/>
          <w:rFonts w:ascii="宋体" w:hAnsi="宋体" w:cs="宋体"/>
          <w:color w:val="000000"/>
          <w:kern w:val="2"/>
          <w:sz w:val="24"/>
          <w:szCs w:val="24"/>
        </w:rPr>
        <w:footnoteReference w:id="1"/>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footnoteReference w:id="2"/>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footnoteReference w:id="5"/>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footnoteReference w:id="6"/>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footnoteReference w:id="7"/>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footnoteReference w:id="8"/>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footnoteReference w:id="9"/>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footnoteReference w:id="10"/>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footnoteReference w:id="11"/>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1"/>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firstLine="0" w:firstLineChars="0"/>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numPr>
          <w:ilvl w:val="1"/>
          <w:numId w:val="14"/>
        </w:numPr>
        <w:ind w:firstLine="0"/>
        <w:rPr>
          <w:rFonts w:hint="eastAsia"/>
        </w:rPr>
      </w:pPr>
      <w:r>
        <w:rPr>
          <w:rFonts w:hint="eastAsia"/>
        </w:rPr>
        <w:t>研究方法</w:t>
      </w:r>
    </w:p>
    <w:p w14:paraId="782E50A7">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4"/>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4"/>
        </w:numPr>
        <w:ind w:left="0" w:leftChars="0" w:firstLine="402" w:firstLineChars="0"/>
      </w:pPr>
      <w:r>
        <w:rPr>
          <w:rFonts w:hint="eastAsia"/>
        </w:rPr>
        <w:t>科学本质观的研究现状</w:t>
      </w:r>
    </w:p>
    <w:p w14:paraId="0FDEE074">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footnoteReference w:id="12"/>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footnoteReference w:id="13"/>
        <w:t>］</w:t>
      </w:r>
      <w:r>
        <w:rPr>
          <w:rFonts w:hint="eastAsia" w:ascii="宋体" w:hAnsi="宋体" w:cs="宋体"/>
          <w:bCs/>
          <w:color w:val="000000"/>
          <w:sz w:val="24"/>
          <w:szCs w:val="24"/>
        </w:rPr>
        <w:t>。</w:t>
      </w:r>
    </w:p>
    <w:p w14:paraId="0EAD7324">
      <w:pPr>
        <w:pStyle w:val="23"/>
        <w:keepLines/>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footnoteReference w:id="14"/>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footnoteReference w:id="15"/>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footnoteReference w:id="16"/>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footnoteReference w:id="17"/>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footnoteReference w:id="18"/>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4"/>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footnoteReference w:id="19"/>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footnoteReference w:id="20"/>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footnoteReference w:id="21"/>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footnoteReference w:id="22"/>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firstLine="0" w:firstLineChars="0"/>
        <w:jc w:val="both"/>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4"/>
        </w:numPr>
        <w:ind w:left="0" w:leftChars="0" w:firstLine="402" w:firstLineChars="0"/>
      </w:pPr>
      <w:r>
        <w:rPr>
          <w:rFonts w:hint="eastAsia"/>
        </w:rPr>
        <w:t>科学本质观教学的研究</w:t>
      </w:r>
      <w:r>
        <w:t>现状</w:t>
      </w:r>
    </w:p>
    <w:p w14:paraId="72C78A9B">
      <w:pPr>
        <w:pStyle w:val="6"/>
        <w:widowControl w:val="0"/>
        <w:numPr>
          <w:ilvl w:val="2"/>
          <w:numId w:val="14"/>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footnoteReference w:id="23"/>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4"/>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footnoteReference w:id="24"/>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footnoteReference w:id="25"/>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footnoteReference w:id="26"/>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footnoteReference w:id="27"/>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footnoteReference w:id="28"/>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footnoteReference w:id="29"/>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4"/>
        </w:numPr>
        <w:ind w:left="0" w:leftChars="0" w:firstLine="402" w:firstLineChars="0"/>
      </w:pPr>
      <w:r>
        <w:rPr>
          <w:rFonts w:hint="eastAsia"/>
        </w:rPr>
        <w:t>HPS教学理念的研究现状</w:t>
      </w:r>
    </w:p>
    <w:p w14:paraId="427533DB">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footnoteReference w:id="30"/>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footnoteReference w:id="31"/>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footnoteReference w:id="32"/>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footnoteReference w:id="33"/>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footnoteReference w:id="34"/>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footnoteReference w:id="35"/>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footnoteReference w:id="36"/>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footnoteReference w:id="37"/>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4"/>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footnoteReference w:id="38"/>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footnoteReference w:id="39"/>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4"/>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footnoteReference w:id="40"/>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footnoteReference w:id="41"/>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footnoteReference w:id="42"/>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4"/>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footnoteReference w:id="43"/>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footnoteReference w:id="44"/>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footnoteReference w:id="45"/>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5"/>
        </w:numPr>
      </w:pPr>
      <w:r>
        <w:rPr>
          <w:rFonts w:hint="eastAsia"/>
        </w:rPr>
        <w:t>化学学科可用的有关HPS教学理念资源充足，很多核心知识点都能找到合适的“问题情境—证据材料—观点演化”的历史线索；</w:t>
      </w:r>
    </w:p>
    <w:p w14:paraId="6462B297">
      <w:pPr>
        <w:numPr>
          <w:ilvl w:val="0"/>
          <w:numId w:val="15"/>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4"/>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926205" cy="4179570"/>
            <wp:effectExtent l="0" t="0" r="7620" b="190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926205" cy="417957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4"/>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footnoteReference w:id="46"/>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footnoteReference w:id="47"/>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footnoteReference w:id="48"/>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footnoteReference w:id="49"/>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footnoteReference w:id="50"/>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footnoteReference w:id="51"/>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6"/>
        </w:numPr>
        <w:jc w:val="both"/>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7"/>
        </w:numPr>
        <w:jc w:val="center"/>
      </w:pPr>
      <w:r>
        <w:rPr>
          <w:rFonts w:hint="eastAsia"/>
        </w:rPr>
        <w:t>理论依据</w:t>
      </w:r>
    </w:p>
    <w:p w14:paraId="1C48D7DB">
      <w:pPr>
        <w:pStyle w:val="5"/>
        <w:numPr>
          <w:ilvl w:val="1"/>
          <w:numId w:val="18"/>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footnoteReference w:id="52"/>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footnoteReference w:id="53"/>
        <w:t>］</w:t>
      </w:r>
      <w:r>
        <w:t>首次提出：科学本质即为科学的历史与本质。美国科学促进会</w:t>
      </w:r>
      <w:r>
        <w:rPr>
          <w:rStyle w:val="22"/>
        </w:rPr>
        <w:t>［</w:t>
        <w:footnoteReference w:id="54"/>
        <w:t>］</w:t>
      </w:r>
      <w:r>
        <w:t>将科学本质分为三个方面：科学世界观、科学事业、科学探究活动。Nussbaum将科学本质内涵发展分为传统和现代两类。刘健智</w:t>
      </w:r>
      <w:r>
        <w:rPr>
          <w:rStyle w:val="22"/>
        </w:rPr>
        <w:t>［</w:t>
        <w:footnoteReference w:id="55"/>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footnoteReference w:id="56"/>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8"/>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7"/>
        </w:numPr>
        <w:jc w:val="center"/>
      </w:pPr>
      <w:r>
        <w:rPr>
          <w:rFonts w:hint="eastAsia"/>
        </w:rPr>
        <w:t>理论框架</w:t>
      </w:r>
    </w:p>
    <w:p w14:paraId="3D8634BD">
      <w:pPr>
        <w:pStyle w:val="5"/>
        <w:numPr>
          <w:ilvl w:val="1"/>
          <w:numId w:val="19"/>
        </w:numPr>
        <w:ind w:firstLine="0"/>
      </w:pPr>
      <w:r>
        <w:rPr>
          <w:rFonts w:hint="eastAsia"/>
        </w:rPr>
        <w:t>基于“课标—教材—学情”的教学前期分析</w:t>
      </w:r>
    </w:p>
    <w:p w14:paraId="60A200E0">
      <w:pPr>
        <w:pStyle w:val="5"/>
        <w:numPr>
          <w:ilvl w:val="1"/>
          <w:numId w:val="20"/>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footnoteReference w:id="57"/>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0"/>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1"/>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1"/>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1"/>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0"/>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19"/>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19"/>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19"/>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4-1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表4-1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19"/>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3"/>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3"/>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3"/>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19"/>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6"/>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5"/>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6"/>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6"/>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6"/>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6"/>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5"/>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本设计将以凯库勒苯环结构模型的提出、质疑与修正为主线，重构教材中分散的史料与实验素材，将其整合为服务于科学知识本质观、科学探究本质观与科学事业本质观协同发展的完整教学链条，实现“教材核心知识+HPS史料”的深度融合。</w:t>
      </w:r>
    </w:p>
    <w:p w14:paraId="14908BA5">
      <w:pPr>
        <w:pStyle w:val="5"/>
        <w:keepNext/>
        <w:keepLines/>
        <w:pageBreakBefore w:val="0"/>
        <w:widowControl w:val="0"/>
        <w:numPr>
          <w:ilvl w:val="1"/>
          <w:numId w:val="25"/>
        </w:numPr>
        <w:kinsoku/>
        <w:wordWrap/>
        <w:overflowPunct/>
        <w:topLinePunct w:val="0"/>
        <w:autoSpaceDE/>
        <w:autoSpaceDN/>
        <w:bidi w:val="0"/>
        <w:adjustRightInd/>
        <w:ind w:firstLine="0"/>
        <w:textAlignment w:val="auto"/>
        <w:rPr>
          <w:rFonts w:hint="eastAsia"/>
        </w:rPr>
      </w:pPr>
      <w:r>
        <w:rPr>
          <w:rFonts w:hint="eastAsia"/>
        </w:rPr>
        <w:t>学情分析</w:t>
      </w:r>
    </w:p>
    <w:p w14:paraId="3238D953">
      <w:pPr>
        <w:keepNext/>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val="0"/>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4.1所示</w:t>
      </w:r>
      <w:r>
        <w:rPr>
          <w:rFonts w:hint="eastAsia" w:cs="Times New Roman"/>
          <w:spacing w:val="-5"/>
          <w:sz w:val="24"/>
          <w:lang w:val="en-US" w:eastAsia="zh-CN" w:bidi="ar-SA"/>
        </w:rPr>
        <w:t>。</w:t>
      </w:r>
    </w:p>
    <w:p w14:paraId="24E5903E">
      <w:pPr>
        <w:keepNext w:val="0"/>
        <w:keepLines/>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表4.1 学生学情分析</w:t>
      </w:r>
    </w:p>
    <w:p w14:paraId="1F81E840">
      <w:pPr>
        <w:keepNext w:val="0"/>
        <w:keepLines/>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Style w:val="18"/>
        <w:tblW w:w="10847"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685"/>
        <w:gridCol w:w="2237"/>
        <w:gridCol w:w="2445"/>
        <w:gridCol w:w="2240"/>
        <w:gridCol w:w="2240"/>
      </w:tblGrid>
      <w:tr w14:paraId="088C1F5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noWrap w:val="0"/>
            <w:tcMar>
              <w:top w:w="-1" w:type="dxa"/>
              <w:left w:w="-1" w:type="dxa"/>
              <w:bottom w:w="-1" w:type="dxa"/>
              <w:right w:w="-1" w:type="dxa"/>
            </w:tcMar>
            <w:vAlign w:val="center"/>
          </w:tcPr>
          <w:p w14:paraId="333C0105">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ascii="宋体" w:hAnsi="宋体" w:eastAsia="宋体" w:cs="宋体"/>
                <w:b/>
                <w:bCs w:val="0"/>
                <w:color w:val="000000"/>
                <w:spacing w:val="0"/>
                <w:sz w:val="24"/>
                <w:szCs w:val="24"/>
              </w:rPr>
            </w:pPr>
            <w:r>
              <w:rPr>
                <w:rFonts w:ascii="宋体" w:hAnsi="宋体" w:eastAsia="宋体" w:cs="宋体"/>
                <w:b/>
                <w:bCs w:val="0"/>
                <w:color w:val="000000"/>
                <w:spacing w:val="0"/>
                <w:sz w:val="24"/>
                <w:szCs w:val="24"/>
              </w:rPr>
              <w:t>学生学情分析：SWOT分析</w:t>
            </w:r>
          </w:p>
        </w:tc>
        <w:tc>
          <w:tcPr>
            <w:tcW w:w="0" w:type="auto"/>
            <w:tcBorders>
              <w:top w:val="single" w:color="000000" w:sz="12" w:space="0"/>
              <w:left w:val="nil"/>
              <w:bottom w:val="single" w:color="000000" w:sz="4" w:space="0"/>
              <w:right w:val="nil"/>
            </w:tcBorders>
            <w:shd w:val="clear" w:color="auto" w:fill="FFFFFF"/>
            <w:noWrap w:val="0"/>
            <w:tcMar>
              <w:top w:w="-1" w:type="dxa"/>
              <w:left w:w="-1" w:type="dxa"/>
              <w:bottom w:w="-1" w:type="dxa"/>
              <w:right w:w="-1" w:type="dxa"/>
            </w:tcMar>
            <w:vAlign w:val="center"/>
          </w:tcPr>
          <w:p w14:paraId="721D9F1B">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ascii="宋体" w:hAnsi="宋体" w:eastAsia="宋体" w:cs="宋体"/>
                <w:b/>
                <w:bCs w:val="0"/>
                <w:color w:val="000000"/>
                <w:spacing w:val="0"/>
                <w:sz w:val="24"/>
                <w:szCs w:val="24"/>
              </w:rPr>
            </w:pPr>
            <w:r>
              <w:rPr>
                <w:rFonts w:ascii="宋体" w:hAnsi="宋体" w:eastAsia="宋体" w:cs="宋体"/>
                <w:b/>
                <w:bCs w:val="0"/>
                <w:color w:val="000000"/>
                <w:spacing w:val="0"/>
                <w:sz w:val="24"/>
                <w:szCs w:val="24"/>
              </w:rPr>
              <w:t>S：strengths</w:t>
            </w:r>
          </w:p>
          <w:p w14:paraId="16CD237A">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ascii="宋体" w:hAnsi="宋体" w:eastAsia="宋体" w:cs="宋体"/>
                <w:b/>
                <w:bCs w:val="0"/>
                <w:color w:val="000000"/>
                <w:spacing w:val="0"/>
                <w:sz w:val="24"/>
                <w:szCs w:val="24"/>
              </w:rPr>
            </w:pPr>
            <w:r>
              <w:rPr>
                <w:rFonts w:ascii="宋体" w:hAnsi="宋体" w:eastAsia="宋体" w:cs="宋体"/>
                <w:b/>
                <w:bCs w:val="0"/>
                <w:color w:val="000000"/>
                <w:spacing w:val="0"/>
                <w:sz w:val="24"/>
                <w:szCs w:val="24"/>
              </w:rPr>
              <w:t>优势条件</w:t>
            </w:r>
          </w:p>
        </w:tc>
        <w:tc>
          <w:tcPr>
            <w:tcW w:w="2445" w:type="dxa"/>
            <w:tcBorders>
              <w:top w:val="single" w:color="000000" w:sz="12" w:space="0"/>
              <w:left w:val="nil"/>
              <w:bottom w:val="single" w:color="000000" w:sz="4" w:space="0"/>
              <w:right w:val="nil"/>
            </w:tcBorders>
            <w:shd w:val="clear" w:color="auto" w:fill="FFFFFF"/>
            <w:noWrap w:val="0"/>
            <w:tcMar>
              <w:top w:w="-1" w:type="dxa"/>
              <w:left w:w="-1" w:type="dxa"/>
              <w:bottom w:w="-1" w:type="dxa"/>
              <w:right w:w="-1" w:type="dxa"/>
            </w:tcMar>
            <w:vAlign w:val="center"/>
          </w:tcPr>
          <w:p w14:paraId="028B2D1F">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ascii="宋体" w:hAnsi="宋体" w:eastAsia="宋体" w:cs="宋体"/>
                <w:b/>
                <w:bCs w:val="0"/>
                <w:color w:val="000000"/>
                <w:spacing w:val="0"/>
                <w:sz w:val="24"/>
                <w:szCs w:val="24"/>
              </w:rPr>
            </w:pPr>
            <w:r>
              <w:rPr>
                <w:rFonts w:ascii="宋体" w:hAnsi="宋体" w:eastAsia="宋体" w:cs="宋体"/>
                <w:b/>
                <w:bCs w:val="0"/>
                <w:color w:val="000000"/>
                <w:spacing w:val="0"/>
                <w:sz w:val="24"/>
                <w:szCs w:val="24"/>
              </w:rPr>
              <w:t>W：weakness</w:t>
            </w:r>
          </w:p>
          <w:p w14:paraId="0180F054">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ascii="宋体" w:hAnsi="宋体" w:eastAsia="宋体" w:cs="宋体"/>
                <w:b/>
                <w:bCs w:val="0"/>
                <w:color w:val="000000"/>
                <w:spacing w:val="0"/>
                <w:sz w:val="24"/>
                <w:szCs w:val="24"/>
              </w:rPr>
            </w:pPr>
            <w:r>
              <w:rPr>
                <w:rFonts w:ascii="宋体" w:hAnsi="宋体" w:eastAsia="宋体" w:cs="宋体"/>
                <w:b/>
                <w:bCs w:val="0"/>
                <w:color w:val="000000"/>
                <w:spacing w:val="0"/>
                <w:sz w:val="24"/>
                <w:szCs w:val="24"/>
              </w:rPr>
              <w:t>弱项条件</w:t>
            </w:r>
          </w:p>
        </w:tc>
        <w:tc>
          <w:tcPr>
            <w:tcW w:w="2240" w:type="dxa"/>
            <w:tcBorders>
              <w:top w:val="single" w:color="000000" w:sz="12" w:space="0"/>
              <w:left w:val="nil"/>
              <w:bottom w:val="single" w:color="000000" w:sz="4" w:space="0"/>
              <w:right w:val="nil"/>
            </w:tcBorders>
            <w:shd w:val="clear" w:color="auto" w:fill="FFFFFF"/>
            <w:noWrap w:val="0"/>
            <w:tcMar>
              <w:top w:w="-1" w:type="dxa"/>
              <w:left w:w="-1" w:type="dxa"/>
              <w:bottom w:w="-1" w:type="dxa"/>
              <w:right w:w="-1" w:type="dxa"/>
            </w:tcMar>
            <w:vAlign w:val="center"/>
          </w:tcPr>
          <w:p w14:paraId="6FE640AD">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ascii="宋体" w:hAnsi="宋体" w:eastAsia="宋体" w:cs="宋体"/>
                <w:b/>
                <w:bCs w:val="0"/>
                <w:color w:val="000000"/>
                <w:spacing w:val="0"/>
                <w:sz w:val="24"/>
                <w:szCs w:val="24"/>
              </w:rPr>
            </w:pPr>
            <w:r>
              <w:rPr>
                <w:rFonts w:ascii="宋体" w:hAnsi="宋体" w:eastAsia="宋体" w:cs="宋体"/>
                <w:b/>
                <w:bCs w:val="0"/>
                <w:color w:val="000000"/>
                <w:spacing w:val="0"/>
                <w:sz w:val="24"/>
                <w:szCs w:val="24"/>
              </w:rPr>
              <w:t>O：opportunities为教学提供的机会</w:t>
            </w:r>
          </w:p>
        </w:tc>
        <w:tc>
          <w:tcPr>
            <w:tcW w:w="2240" w:type="dxa"/>
            <w:tcBorders>
              <w:top w:val="single" w:color="000000" w:sz="12" w:space="0"/>
              <w:left w:val="nil"/>
              <w:bottom w:val="single" w:color="000000" w:sz="4" w:space="0"/>
              <w:right w:val="nil"/>
            </w:tcBorders>
            <w:shd w:val="clear" w:color="auto" w:fill="FFFFFF"/>
            <w:noWrap w:val="0"/>
            <w:tcMar>
              <w:top w:w="-1" w:type="dxa"/>
              <w:left w:w="-1" w:type="dxa"/>
              <w:bottom w:w="-1" w:type="dxa"/>
              <w:right w:w="-1" w:type="dxa"/>
            </w:tcMar>
            <w:vAlign w:val="center"/>
          </w:tcPr>
          <w:p w14:paraId="56C8BD60">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ascii="宋体" w:hAnsi="宋体" w:eastAsia="宋体" w:cs="宋体"/>
                <w:b/>
                <w:bCs w:val="0"/>
                <w:color w:val="000000"/>
                <w:spacing w:val="0"/>
                <w:sz w:val="24"/>
                <w:szCs w:val="24"/>
              </w:rPr>
            </w:pPr>
            <w:r>
              <w:rPr>
                <w:rFonts w:ascii="宋体" w:hAnsi="宋体" w:eastAsia="宋体" w:cs="宋体"/>
                <w:b/>
                <w:bCs w:val="0"/>
                <w:color w:val="000000"/>
                <w:spacing w:val="0"/>
                <w:sz w:val="24"/>
                <w:szCs w:val="24"/>
              </w:rPr>
              <w:t>T：threats</w:t>
            </w:r>
          </w:p>
          <w:p w14:paraId="17952626">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ascii="宋体" w:hAnsi="宋体" w:eastAsia="宋体" w:cs="宋体"/>
                <w:b/>
                <w:bCs w:val="0"/>
                <w:color w:val="000000"/>
                <w:spacing w:val="0"/>
                <w:sz w:val="24"/>
                <w:szCs w:val="24"/>
              </w:rPr>
            </w:pPr>
            <w:r>
              <w:rPr>
                <w:rFonts w:ascii="宋体" w:hAnsi="宋体" w:eastAsia="宋体" w:cs="宋体"/>
                <w:b/>
                <w:bCs w:val="0"/>
                <w:color w:val="000000"/>
                <w:spacing w:val="0"/>
                <w:sz w:val="24"/>
                <w:szCs w:val="24"/>
              </w:rPr>
              <w:t>挑战或困难</w:t>
            </w:r>
          </w:p>
        </w:tc>
      </w:tr>
      <w:tr w14:paraId="4DD14E7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0" w:type="auto"/>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32D4C8DD">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ascii="宋体" w:hAnsi="宋体" w:eastAsia="宋体" w:cs="宋体"/>
                <w:b/>
                <w:bCs w:val="0"/>
                <w:color w:val="000000"/>
                <w:spacing w:val="0"/>
                <w:sz w:val="24"/>
                <w:szCs w:val="24"/>
              </w:rPr>
            </w:pPr>
            <w:r>
              <w:rPr>
                <w:rFonts w:ascii="宋体" w:hAnsi="宋体" w:eastAsia="宋体" w:cs="宋体"/>
                <w:b/>
                <w:bCs w:val="0"/>
                <w:color w:val="000000"/>
                <w:spacing w:val="0"/>
                <w:sz w:val="24"/>
                <w:szCs w:val="24"/>
              </w:rPr>
              <w:t>年龄—心理发展阶段及其认知、技能、态度发展规律特点</w:t>
            </w:r>
          </w:p>
        </w:tc>
        <w:tc>
          <w:tcPr>
            <w:tcW w:w="0" w:type="auto"/>
            <w:tcBorders>
              <w:top w:val="single" w:color="000000" w:sz="4" w:space="0"/>
              <w:left w:val="nil"/>
              <w:bottom w:val="nil"/>
              <w:right w:val="nil"/>
            </w:tcBorders>
            <w:shd w:val="clear" w:color="auto" w:fill="FFFFFF"/>
            <w:noWrap w:val="0"/>
            <w:tcMar>
              <w:top w:w="60" w:type="dxa"/>
              <w:left w:w="80" w:type="dxa"/>
              <w:bottom w:w="60" w:type="dxa"/>
              <w:right w:w="80" w:type="dxa"/>
            </w:tcMar>
            <w:vAlign w:val="center"/>
          </w:tcPr>
          <w:p w14:paraId="4EA998E3">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both"/>
              <w:textAlignment w:val="auto"/>
              <w:rPr>
                <w:rFonts w:hint="eastAsia" w:ascii="宋体" w:hAnsi="宋体" w:eastAsia="宋体" w:cs="宋体"/>
                <w:b w:val="0"/>
                <w:color w:val="000000"/>
                <w:spacing w:val="0"/>
                <w:sz w:val="24"/>
                <w:szCs w:val="24"/>
              </w:rPr>
            </w:pPr>
            <w:r>
              <w:rPr>
                <w:rFonts w:hint="eastAsia" w:ascii="宋体" w:hAnsi="宋体" w:cs="宋体"/>
                <w:b w:val="0"/>
                <w:color w:val="000000"/>
                <w:spacing w:val="0"/>
                <w:sz w:val="24"/>
                <w:szCs w:val="24"/>
                <w:lang w:val="en-US" w:eastAsia="zh-CN"/>
              </w:rPr>
              <w:t>1.</w:t>
            </w:r>
            <w:r>
              <w:rPr>
                <w:rFonts w:hint="eastAsia" w:ascii="宋体" w:hAnsi="宋体" w:eastAsia="宋体" w:cs="宋体"/>
                <w:b w:val="0"/>
                <w:color w:val="000000"/>
                <w:spacing w:val="0"/>
                <w:sz w:val="24"/>
                <w:szCs w:val="24"/>
              </w:rPr>
              <w:t>高一学生正处于形式运算的阶段，初步具备了假设—演绎推理与抽象概括的能力，这为其理解“假设提出—证据检验—模型修正”这一科学认识的逻辑链条提供了必要的思维基础；</w:t>
            </w:r>
          </w:p>
          <w:p w14:paraId="007364EA">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both"/>
              <w:textAlignment w:val="auto"/>
              <w:rPr>
                <w:rFonts w:ascii="宋体" w:hAnsi="宋体" w:eastAsia="宋体" w:cs="宋体"/>
                <w:b w:val="0"/>
                <w:color w:val="000000"/>
                <w:spacing w:val="0"/>
                <w:sz w:val="24"/>
                <w:szCs w:val="24"/>
              </w:rPr>
            </w:pPr>
            <w:r>
              <w:rPr>
                <w:rFonts w:hint="eastAsia" w:ascii="宋体" w:hAnsi="宋体" w:cs="宋体"/>
                <w:b w:val="0"/>
                <w:color w:val="000000"/>
                <w:spacing w:val="0"/>
                <w:sz w:val="24"/>
                <w:szCs w:val="24"/>
                <w:lang w:val="en-US" w:eastAsia="zh-CN"/>
              </w:rPr>
              <w:t>2.</w:t>
            </w:r>
            <w:r>
              <w:rPr>
                <w:rFonts w:hint="eastAsia" w:ascii="宋体" w:hAnsi="宋体" w:eastAsia="宋体" w:cs="宋体"/>
                <w:b w:val="0"/>
                <w:color w:val="000000"/>
                <w:spacing w:val="0"/>
                <w:sz w:val="24"/>
                <w:szCs w:val="24"/>
              </w:rPr>
              <w:t>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445" w:type="dxa"/>
            <w:tcBorders>
              <w:top w:val="single" w:color="000000" w:sz="4" w:space="0"/>
              <w:left w:val="nil"/>
              <w:bottom w:val="nil"/>
              <w:right w:val="nil"/>
            </w:tcBorders>
            <w:shd w:val="clear" w:color="auto" w:fill="FFFFFF"/>
            <w:noWrap w:val="0"/>
            <w:tcMar>
              <w:top w:w="60" w:type="dxa"/>
              <w:left w:w="80" w:type="dxa"/>
              <w:bottom w:w="60" w:type="dxa"/>
              <w:right w:w="80" w:type="dxa"/>
            </w:tcMar>
            <w:vAlign w:val="center"/>
          </w:tcPr>
          <w:p w14:paraId="04DE9689">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both"/>
              <w:textAlignment w:val="auto"/>
              <w:rPr>
                <w:rFonts w:hint="eastAsia" w:ascii="宋体" w:hAnsi="宋体" w:eastAsia="宋体" w:cs="宋体"/>
                <w:b w:val="0"/>
                <w:color w:val="000000"/>
                <w:spacing w:val="0"/>
                <w:sz w:val="24"/>
                <w:szCs w:val="24"/>
              </w:rPr>
            </w:pPr>
            <w:r>
              <w:rPr>
                <w:rFonts w:hint="eastAsia" w:ascii="宋体" w:hAnsi="宋体" w:cs="宋体"/>
                <w:b w:val="0"/>
                <w:color w:val="000000"/>
                <w:spacing w:val="0"/>
                <w:sz w:val="24"/>
                <w:szCs w:val="24"/>
                <w:lang w:val="en-US" w:eastAsia="zh-CN"/>
              </w:rPr>
              <w:t>1.</w:t>
            </w:r>
            <w:r>
              <w:rPr>
                <w:rFonts w:hint="eastAsia" w:ascii="宋体" w:hAnsi="宋体" w:eastAsia="宋体" w:cs="宋体"/>
                <w:b w:val="0"/>
                <w:color w:val="000000"/>
                <w:spacing w:val="0"/>
                <w:sz w:val="24"/>
                <w:szCs w:val="24"/>
              </w:rPr>
              <w:t>学生的抽象逻辑思维尚处于发展初期，对多重证据的综合权衡、模型的动态修正等高阶认知活动仍缺乏自觉运用的经验；</w:t>
            </w:r>
          </w:p>
          <w:p w14:paraId="0B3162E2">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both"/>
              <w:textAlignment w:val="auto"/>
              <w:rPr>
                <w:rFonts w:ascii="宋体" w:hAnsi="宋体" w:eastAsia="宋体" w:cs="宋体"/>
                <w:b w:val="0"/>
                <w:color w:val="000000"/>
                <w:spacing w:val="0"/>
                <w:sz w:val="24"/>
                <w:szCs w:val="24"/>
              </w:rPr>
            </w:pPr>
            <w:r>
              <w:rPr>
                <w:rFonts w:hint="eastAsia" w:ascii="宋体" w:hAnsi="宋体" w:cs="宋体"/>
                <w:b w:val="0"/>
                <w:color w:val="000000"/>
                <w:spacing w:val="0"/>
                <w:sz w:val="24"/>
                <w:szCs w:val="24"/>
                <w:lang w:val="en-US" w:eastAsia="zh-CN"/>
              </w:rPr>
              <w:t>2.</w:t>
            </w:r>
            <w:r>
              <w:rPr>
                <w:rFonts w:hint="eastAsia" w:ascii="宋体" w:hAnsi="宋体" w:eastAsia="宋体" w:cs="宋体"/>
                <w:b w:val="0"/>
                <w:color w:val="000000"/>
                <w:spacing w:val="0"/>
                <w:sz w:val="24"/>
                <w:szCs w:val="24"/>
              </w:rPr>
              <w:t>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240" w:type="dxa"/>
            <w:tcBorders>
              <w:top w:val="single" w:color="000000" w:sz="4" w:space="0"/>
              <w:left w:val="nil"/>
              <w:bottom w:val="nil"/>
              <w:right w:val="nil"/>
            </w:tcBorders>
            <w:shd w:val="clear" w:color="auto" w:fill="FFFFFF"/>
            <w:noWrap w:val="0"/>
            <w:tcMar>
              <w:top w:w="60" w:type="dxa"/>
              <w:left w:w="80" w:type="dxa"/>
              <w:bottom w:w="60" w:type="dxa"/>
              <w:right w:w="80" w:type="dxa"/>
            </w:tcMar>
            <w:vAlign w:val="center"/>
          </w:tcPr>
          <w:p w14:paraId="66231C2D">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both"/>
              <w:textAlignment w:val="auto"/>
              <w:rPr>
                <w:rFonts w:hint="eastAsia" w:ascii="宋体" w:hAnsi="宋体" w:eastAsia="宋体" w:cs="宋体"/>
                <w:b w:val="0"/>
                <w:color w:val="000000"/>
                <w:spacing w:val="0"/>
                <w:sz w:val="24"/>
                <w:szCs w:val="24"/>
              </w:rPr>
            </w:pPr>
            <w:r>
              <w:rPr>
                <w:rFonts w:hint="eastAsia" w:ascii="宋体" w:hAnsi="宋体" w:cs="宋体"/>
                <w:b w:val="0"/>
                <w:color w:val="000000"/>
                <w:spacing w:val="0"/>
                <w:sz w:val="24"/>
                <w:szCs w:val="24"/>
                <w:lang w:val="en-US" w:eastAsia="zh-CN"/>
              </w:rPr>
              <w:t>1.</w:t>
            </w:r>
            <w:r>
              <w:rPr>
                <w:rFonts w:hint="eastAsia" w:ascii="宋体" w:hAnsi="宋体" w:eastAsia="宋体" w:cs="宋体"/>
                <w:b w:val="0"/>
                <w:color w:val="000000"/>
                <w:spacing w:val="0"/>
                <w:sz w:val="24"/>
                <w:szCs w:val="24"/>
              </w:rPr>
              <w:t>学生对“知识是如何形成的”这一元认知问题尚处于观念可塑期，这恰为HPS理念下以苯分子结构探索史重构其原有认知</w:t>
            </w:r>
            <w:r>
              <w:rPr>
                <w:rFonts w:hint="eastAsia" w:ascii="宋体" w:hAnsi="宋体" w:cs="宋体"/>
                <w:b w:val="0"/>
                <w:color w:val="000000"/>
                <w:spacing w:val="0"/>
                <w:sz w:val="24"/>
                <w:szCs w:val="24"/>
                <w:lang w:val="en-US" w:eastAsia="zh-CN"/>
              </w:rPr>
              <w:t>奠定基础</w:t>
            </w:r>
            <w:r>
              <w:rPr>
                <w:rFonts w:hint="eastAsia" w:ascii="宋体" w:hAnsi="宋体" w:eastAsia="宋体" w:cs="宋体"/>
                <w:b w:val="0"/>
                <w:color w:val="000000"/>
                <w:spacing w:val="0"/>
                <w:sz w:val="24"/>
                <w:szCs w:val="24"/>
              </w:rPr>
              <w:t>；</w:t>
            </w:r>
          </w:p>
          <w:p w14:paraId="4BB8760C">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both"/>
              <w:textAlignment w:val="auto"/>
              <w:rPr>
                <w:rFonts w:ascii="宋体" w:hAnsi="宋体" w:eastAsia="宋体" w:cs="宋体"/>
                <w:b w:val="0"/>
                <w:color w:val="000000"/>
                <w:spacing w:val="0"/>
                <w:sz w:val="24"/>
                <w:szCs w:val="24"/>
              </w:rPr>
            </w:pPr>
            <w:r>
              <w:rPr>
                <w:rFonts w:hint="eastAsia" w:ascii="宋体" w:hAnsi="宋体" w:cs="宋体"/>
                <w:b w:val="0"/>
                <w:color w:val="000000"/>
                <w:spacing w:val="0"/>
                <w:sz w:val="24"/>
                <w:szCs w:val="24"/>
                <w:lang w:val="en-US" w:eastAsia="zh-CN"/>
              </w:rPr>
              <w:t>2.</w:t>
            </w:r>
            <w:r>
              <w:rPr>
                <w:rFonts w:hint="eastAsia" w:ascii="宋体" w:hAnsi="宋体" w:eastAsia="宋体" w:cs="宋体"/>
                <w:b w:val="0"/>
                <w:color w:val="000000"/>
                <w:spacing w:val="0"/>
                <w:sz w:val="24"/>
                <w:szCs w:val="24"/>
              </w:rPr>
              <w:t>凯库勒式历史性地经历了提出、质疑、修正的完整过程，天然具备“</w:t>
            </w:r>
            <w:r>
              <w:rPr>
                <w:rFonts w:hint="default" w:ascii="爱奇艺黑体" w:hAnsi="爱奇艺黑体" w:eastAsia="宋体" w:cs="爱奇艺黑体"/>
                <w:b w:val="0"/>
                <w:color w:val="000000"/>
                <w:spacing w:val="0"/>
                <w:sz w:val="24"/>
                <w:szCs w:val="24"/>
              </w:rPr>
              <w:t>制造认知冲突—引发反思—重建认识</w:t>
            </w:r>
            <w:r>
              <w:rPr>
                <w:rFonts w:hint="eastAsia" w:ascii="宋体" w:hAnsi="宋体" w:eastAsia="宋体" w:cs="宋体"/>
                <w:b w:val="0"/>
                <w:color w:val="000000"/>
                <w:spacing w:val="0"/>
                <w:sz w:val="24"/>
                <w:szCs w:val="24"/>
              </w:rPr>
              <w:t>”的教学势能，将学生在</w:t>
            </w:r>
            <w:r>
              <w:rPr>
                <w:rFonts w:hint="eastAsia" w:ascii="宋体" w:hAnsi="宋体" w:cs="宋体"/>
                <w:b w:val="0"/>
                <w:color w:val="000000"/>
                <w:spacing w:val="0"/>
                <w:sz w:val="24"/>
                <w:szCs w:val="24"/>
                <w:lang w:val="en-US" w:eastAsia="zh-CN"/>
              </w:rPr>
              <w:t>科学本质观</w:t>
            </w:r>
            <w:r>
              <w:rPr>
                <w:rFonts w:hint="eastAsia" w:ascii="宋体" w:hAnsi="宋体" w:eastAsia="宋体" w:cs="宋体"/>
                <w:b w:val="0"/>
                <w:color w:val="000000"/>
                <w:spacing w:val="0"/>
                <w:sz w:val="24"/>
                <w:szCs w:val="24"/>
              </w:rPr>
              <w:t>三个维度上的认识逐一转化为可讨论、可检验的课堂问题。</w:t>
            </w:r>
          </w:p>
        </w:tc>
        <w:tc>
          <w:tcPr>
            <w:tcW w:w="2240" w:type="dxa"/>
            <w:tcBorders>
              <w:top w:val="single" w:color="000000" w:sz="4" w:space="0"/>
              <w:left w:val="nil"/>
              <w:bottom w:val="nil"/>
              <w:right w:val="nil"/>
            </w:tcBorders>
            <w:shd w:val="clear" w:color="auto" w:fill="FFFFFF"/>
            <w:noWrap w:val="0"/>
            <w:tcMar>
              <w:top w:w="60" w:type="dxa"/>
              <w:left w:w="80" w:type="dxa"/>
              <w:bottom w:w="60" w:type="dxa"/>
              <w:right w:w="80" w:type="dxa"/>
            </w:tcMar>
            <w:vAlign w:val="center"/>
          </w:tcPr>
          <w:p w14:paraId="73A80138">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both"/>
              <w:textAlignment w:val="auto"/>
              <w:rPr>
                <w:rFonts w:hint="eastAsia" w:ascii="宋体" w:hAnsi="宋体" w:eastAsia="宋体" w:cs="宋体"/>
                <w:b w:val="0"/>
                <w:color w:val="000000"/>
                <w:spacing w:val="0"/>
                <w:sz w:val="24"/>
                <w:szCs w:val="24"/>
              </w:rPr>
            </w:pPr>
            <w:r>
              <w:rPr>
                <w:rFonts w:hint="eastAsia" w:ascii="宋体" w:hAnsi="宋体" w:cs="宋体"/>
                <w:b w:val="0"/>
                <w:color w:val="000000"/>
                <w:spacing w:val="0"/>
                <w:sz w:val="24"/>
                <w:szCs w:val="24"/>
                <w:lang w:val="en-US" w:eastAsia="zh-CN"/>
              </w:rPr>
              <w:t>1.</w:t>
            </w:r>
            <w:r>
              <w:rPr>
                <w:rFonts w:hint="eastAsia" w:ascii="宋体" w:hAnsi="宋体" w:eastAsia="宋体" w:cs="宋体"/>
                <w:b w:val="0"/>
                <w:color w:val="000000"/>
                <w:spacing w:val="0"/>
                <w:sz w:val="24"/>
                <w:szCs w:val="24"/>
              </w:rPr>
              <w:t>学生思维尚处于经验型向理论型过渡阶段，容易被历史故事本身的趣味性与戏剧性所吸引，止步于“听故事”的表层认知，未能进一步完成从具体史实向科学本质观念的抽象与迁移；</w:t>
            </w:r>
          </w:p>
          <w:p w14:paraId="27311899">
            <w:pPr>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both"/>
              <w:textAlignment w:val="auto"/>
              <w:rPr>
                <w:rFonts w:ascii="宋体" w:hAnsi="宋体" w:eastAsia="宋体" w:cs="宋体"/>
                <w:b w:val="0"/>
                <w:color w:val="000000"/>
                <w:spacing w:val="0"/>
                <w:sz w:val="24"/>
                <w:szCs w:val="24"/>
              </w:rPr>
            </w:pPr>
            <w:r>
              <w:rPr>
                <w:rFonts w:hint="eastAsia" w:ascii="宋体" w:hAnsi="宋体" w:cs="宋体"/>
                <w:b w:val="0"/>
                <w:color w:val="000000"/>
                <w:spacing w:val="0"/>
                <w:sz w:val="24"/>
                <w:szCs w:val="24"/>
                <w:lang w:val="en-US" w:eastAsia="zh-CN"/>
              </w:rPr>
              <w:t>2.</w:t>
            </w:r>
            <w:r>
              <w:rPr>
                <w:rFonts w:hint="eastAsia" w:ascii="宋体" w:hAnsi="宋体" w:eastAsia="宋体" w:cs="宋体"/>
                <w:b w:val="0"/>
                <w:color w:val="000000"/>
                <w:spacing w:val="0"/>
                <w:sz w:val="24"/>
                <w:szCs w:val="24"/>
              </w:rPr>
              <w:t>同时，学生在科学事业本质观维度上的原有认识最为薄弱、也最难以在短课时内实现根本转变，这要求教学设计必须在有限时间内兼顾“历史情境的吸引力”与“科学本质的反思深度”这一双重目标。</w:t>
            </w:r>
          </w:p>
        </w:tc>
      </w:tr>
      <w:tr w14:paraId="682ED0D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360085B4">
            <w:pPr>
              <w:keepNext/>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ascii="宋体" w:hAnsi="宋体" w:eastAsia="宋体" w:cs="宋体"/>
                <w:b/>
                <w:bCs w:val="0"/>
                <w:color w:val="000000"/>
                <w:spacing w:val="0"/>
                <w:sz w:val="24"/>
                <w:szCs w:val="24"/>
              </w:rPr>
            </w:pPr>
            <w:r>
              <w:rPr>
                <w:rFonts w:ascii="宋体" w:hAnsi="宋体" w:eastAsia="宋体" w:cs="宋体"/>
                <w:b/>
                <w:bCs w:val="0"/>
                <w:color w:val="000000"/>
                <w:spacing w:val="0"/>
                <w:sz w:val="24"/>
                <w:szCs w:val="24"/>
              </w:rPr>
              <w:t>已有知识基础</w:t>
            </w:r>
          </w:p>
        </w:tc>
        <w:tc>
          <w:tcPr>
            <w:tcW w:w="0" w:type="auto"/>
            <w:tcBorders>
              <w:top w:val="nil"/>
              <w:left w:val="nil"/>
              <w:bottom w:val="nil"/>
              <w:right w:val="nil"/>
            </w:tcBorders>
            <w:shd w:val="clear" w:color="auto" w:fill="FFFFFF"/>
            <w:noWrap w:val="0"/>
            <w:tcMar>
              <w:top w:w="60" w:type="dxa"/>
              <w:left w:w="80" w:type="dxa"/>
              <w:bottom w:w="60" w:type="dxa"/>
              <w:right w:w="80" w:type="dxa"/>
            </w:tcMar>
            <w:vAlign w:val="center"/>
          </w:tcPr>
          <w:p w14:paraId="2667CBF3">
            <w:pPr>
              <w:keepNext/>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ascii="宋体" w:hAnsi="宋体" w:eastAsia="宋体" w:cs="宋体"/>
                <w:b w:val="0"/>
                <w:color w:val="000000"/>
                <w:spacing w:val="0"/>
                <w:sz w:val="24"/>
                <w:szCs w:val="24"/>
              </w:rPr>
            </w:pPr>
            <w:r>
              <w:rPr>
                <w:rFonts w:ascii="宋体" w:hAnsi="宋体" w:eastAsia="宋体" w:cs="宋体"/>
                <w:b w:val="0"/>
                <w:color w:val="000000"/>
                <w:spacing w:val="0"/>
                <w:sz w:val="24"/>
                <w:szCs w:val="24"/>
              </w:rPr>
              <w:t>学生已学习原子结构、共价键等必修一内容，具备基本的物质结构观念；并通过甲烷、乙烯的学习，初步掌握了结构简式、官能团等基础知识，为理解苯分子的特殊结构提供了知识铺垫。</w:t>
            </w:r>
          </w:p>
        </w:tc>
        <w:tc>
          <w:tcPr>
            <w:tcW w:w="2445" w:type="dxa"/>
            <w:tcBorders>
              <w:top w:val="nil"/>
              <w:left w:val="nil"/>
              <w:bottom w:val="nil"/>
              <w:right w:val="nil"/>
            </w:tcBorders>
            <w:shd w:val="clear" w:color="auto" w:fill="FFFFFF"/>
            <w:noWrap w:val="0"/>
            <w:tcMar>
              <w:top w:w="60" w:type="dxa"/>
              <w:left w:w="80" w:type="dxa"/>
              <w:bottom w:w="60" w:type="dxa"/>
              <w:right w:w="80" w:type="dxa"/>
            </w:tcMar>
            <w:vAlign w:val="center"/>
          </w:tcPr>
          <w:p w14:paraId="0BD62624">
            <w:pPr>
              <w:keepNext/>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ascii="宋体" w:hAnsi="宋体" w:eastAsia="宋体" w:cs="宋体"/>
                <w:b w:val="0"/>
                <w:color w:val="000000"/>
                <w:spacing w:val="0"/>
                <w:sz w:val="24"/>
                <w:szCs w:val="24"/>
              </w:rPr>
            </w:pPr>
            <w:r>
              <w:rPr>
                <w:rFonts w:ascii="宋体" w:hAnsi="宋体" w:eastAsia="宋体" w:cs="宋体"/>
                <w:b w:val="0"/>
                <w:color w:val="000000"/>
                <w:spacing w:val="0"/>
                <w:sz w:val="24"/>
                <w:szCs w:val="24"/>
              </w:rPr>
              <w:t>学生对“结构决定性质”这一核心观念尚处于初步建立阶段，容易将饱和烃与不饱和烃的性质规律机械套用于苯，误认为苯分子中必然存在碳碳双键，从而与苯环结构的特殊性产生认知冲突。</w:t>
            </w:r>
          </w:p>
        </w:tc>
        <w:tc>
          <w:tcPr>
            <w:tcW w:w="2240" w:type="dxa"/>
            <w:tcBorders>
              <w:top w:val="nil"/>
              <w:left w:val="nil"/>
              <w:bottom w:val="nil"/>
              <w:right w:val="nil"/>
            </w:tcBorders>
            <w:shd w:val="clear" w:color="auto" w:fill="FFFFFF"/>
            <w:noWrap w:val="0"/>
            <w:tcMar>
              <w:top w:w="60" w:type="dxa"/>
              <w:left w:w="80" w:type="dxa"/>
              <w:bottom w:w="60" w:type="dxa"/>
              <w:right w:w="80" w:type="dxa"/>
            </w:tcMar>
            <w:vAlign w:val="center"/>
          </w:tcPr>
          <w:p w14:paraId="22DD187E">
            <w:pPr>
              <w:keepNext/>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both"/>
              <w:textAlignment w:val="auto"/>
              <w:rPr>
                <w:rFonts w:ascii="宋体" w:hAnsi="宋体" w:eastAsia="宋体" w:cs="宋体"/>
                <w:b w:val="0"/>
                <w:color w:val="000000"/>
                <w:spacing w:val="0"/>
                <w:sz w:val="24"/>
                <w:szCs w:val="24"/>
              </w:rPr>
            </w:pPr>
            <w:r>
              <w:rPr>
                <w:rFonts w:ascii="宋体" w:hAnsi="宋体" w:eastAsia="宋体" w:cs="宋体"/>
                <w:b w:val="0"/>
                <w:color w:val="000000"/>
                <w:spacing w:val="0"/>
                <w:sz w:val="24"/>
                <w:szCs w:val="24"/>
              </w:rPr>
              <w:t>利用学生已有的乙烯知识经验，制造认知冲突（苯为何不能使溴水褪色？），为凯库勒式的反常实验证据讨论提供知识对照基础。</w:t>
            </w:r>
          </w:p>
        </w:tc>
        <w:tc>
          <w:tcPr>
            <w:tcW w:w="2240" w:type="dxa"/>
            <w:tcBorders>
              <w:top w:val="nil"/>
              <w:left w:val="nil"/>
              <w:bottom w:val="nil"/>
              <w:right w:val="nil"/>
            </w:tcBorders>
            <w:shd w:val="clear" w:color="auto" w:fill="FFFFFF"/>
            <w:noWrap w:val="0"/>
            <w:tcMar>
              <w:top w:w="60" w:type="dxa"/>
              <w:left w:w="80" w:type="dxa"/>
              <w:bottom w:w="60" w:type="dxa"/>
              <w:right w:w="80" w:type="dxa"/>
            </w:tcMar>
            <w:vAlign w:val="center"/>
          </w:tcPr>
          <w:p w14:paraId="5EE0813F">
            <w:pPr>
              <w:keepNext/>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both"/>
              <w:textAlignment w:val="auto"/>
              <w:rPr>
                <w:rFonts w:ascii="宋体" w:hAnsi="宋体" w:eastAsia="宋体" w:cs="宋体"/>
                <w:b w:val="0"/>
                <w:color w:val="000000"/>
                <w:spacing w:val="0"/>
                <w:sz w:val="24"/>
                <w:szCs w:val="24"/>
              </w:rPr>
            </w:pPr>
            <w:r>
              <w:rPr>
                <w:rFonts w:ascii="宋体" w:hAnsi="宋体" w:eastAsia="宋体" w:cs="宋体"/>
                <w:b w:val="0"/>
                <w:color w:val="000000"/>
                <w:spacing w:val="0"/>
                <w:sz w:val="24"/>
                <w:szCs w:val="24"/>
              </w:rPr>
              <w:t>学生若原有认知不能被有效激活并转化为“冲突意识”，容易简单接受教师讲授的结论，难以真正经历“质疑—求证—修正”的科学探究过程。</w:t>
            </w:r>
          </w:p>
        </w:tc>
      </w:tr>
      <w:tr w14:paraId="6F476CE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5039133">
            <w:pPr>
              <w:keepNext/>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ascii="宋体" w:hAnsi="宋体" w:eastAsia="宋体" w:cs="宋体"/>
                <w:b/>
                <w:bCs w:val="0"/>
                <w:color w:val="000000"/>
                <w:spacing w:val="0"/>
                <w:sz w:val="24"/>
                <w:szCs w:val="24"/>
              </w:rPr>
            </w:pPr>
            <w:r>
              <w:rPr>
                <w:rFonts w:ascii="宋体" w:hAnsi="宋体" w:eastAsia="宋体" w:cs="宋体"/>
                <w:b/>
                <w:bCs w:val="0"/>
                <w:color w:val="000000"/>
                <w:spacing w:val="0"/>
                <w:sz w:val="24"/>
                <w:szCs w:val="24"/>
              </w:rPr>
              <w:t>现有认识能力水平</w:t>
            </w:r>
          </w:p>
        </w:tc>
        <w:tc>
          <w:tcPr>
            <w:tcW w:w="0" w:type="auto"/>
            <w:tcBorders>
              <w:top w:val="nil"/>
              <w:left w:val="nil"/>
              <w:bottom w:val="nil"/>
              <w:right w:val="nil"/>
            </w:tcBorders>
            <w:shd w:val="clear" w:color="auto" w:fill="FFFFFF"/>
            <w:noWrap w:val="0"/>
            <w:tcMar>
              <w:top w:w="60" w:type="dxa"/>
              <w:left w:w="80" w:type="dxa"/>
              <w:bottom w:w="60" w:type="dxa"/>
              <w:right w:w="80" w:type="dxa"/>
            </w:tcMar>
            <w:vAlign w:val="center"/>
          </w:tcPr>
          <w:p w14:paraId="5DCBF71C">
            <w:pPr>
              <w:keepNext/>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ascii="宋体" w:hAnsi="宋体" w:eastAsia="宋体" w:cs="宋体"/>
                <w:b w:val="0"/>
                <w:color w:val="000000"/>
                <w:spacing w:val="0"/>
                <w:sz w:val="24"/>
                <w:szCs w:val="24"/>
              </w:rPr>
            </w:pPr>
            <w:r>
              <w:rPr>
                <w:rFonts w:ascii="宋体" w:hAnsi="宋体" w:eastAsia="宋体" w:cs="宋体"/>
                <w:b w:val="0"/>
                <w:color w:val="000000"/>
                <w:spacing w:val="0"/>
                <w:sz w:val="24"/>
                <w:szCs w:val="24"/>
              </w:rPr>
              <w:t>学生具备一定的实验观察与简单数据分析能力，能够通过实验现象作出初步判断；具有小组合作、交流表达的经验，能够参与结构模型的讨论与展示。</w:t>
            </w:r>
          </w:p>
        </w:tc>
        <w:tc>
          <w:tcPr>
            <w:tcW w:w="2445" w:type="dxa"/>
            <w:tcBorders>
              <w:top w:val="nil"/>
              <w:left w:val="nil"/>
              <w:bottom w:val="nil"/>
              <w:right w:val="nil"/>
            </w:tcBorders>
            <w:shd w:val="clear" w:color="auto" w:fill="FFFFFF"/>
            <w:noWrap w:val="0"/>
            <w:tcMar>
              <w:top w:w="60" w:type="dxa"/>
              <w:left w:w="80" w:type="dxa"/>
              <w:bottom w:w="60" w:type="dxa"/>
              <w:right w:w="80" w:type="dxa"/>
            </w:tcMar>
            <w:vAlign w:val="center"/>
          </w:tcPr>
          <w:p w14:paraId="296C66C7">
            <w:pPr>
              <w:keepNext/>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ascii="宋体" w:hAnsi="宋体" w:eastAsia="宋体" w:cs="宋体"/>
                <w:b w:val="0"/>
                <w:color w:val="000000"/>
                <w:spacing w:val="0"/>
                <w:sz w:val="24"/>
                <w:szCs w:val="24"/>
              </w:rPr>
            </w:pPr>
            <w:r>
              <w:rPr>
                <w:rFonts w:ascii="宋体" w:hAnsi="宋体" w:eastAsia="宋体" w:cs="宋体"/>
                <w:b w:val="0"/>
                <w:color w:val="000000"/>
                <w:spacing w:val="0"/>
                <w:sz w:val="24"/>
                <w:szCs w:val="24"/>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240" w:type="dxa"/>
            <w:tcBorders>
              <w:top w:val="nil"/>
              <w:left w:val="nil"/>
              <w:bottom w:val="nil"/>
              <w:right w:val="nil"/>
            </w:tcBorders>
            <w:shd w:val="clear" w:color="auto" w:fill="FFFFFF"/>
            <w:noWrap w:val="0"/>
            <w:tcMar>
              <w:top w:w="60" w:type="dxa"/>
              <w:left w:w="80" w:type="dxa"/>
              <w:bottom w:w="60" w:type="dxa"/>
              <w:right w:w="80" w:type="dxa"/>
            </w:tcMar>
            <w:vAlign w:val="center"/>
          </w:tcPr>
          <w:p w14:paraId="6A49634F">
            <w:pPr>
              <w:keepNext/>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both"/>
              <w:textAlignment w:val="auto"/>
              <w:rPr>
                <w:rFonts w:ascii="宋体" w:hAnsi="宋体" w:eastAsia="宋体" w:cs="宋体"/>
                <w:b w:val="0"/>
                <w:color w:val="000000"/>
                <w:spacing w:val="0"/>
                <w:sz w:val="24"/>
                <w:szCs w:val="24"/>
              </w:rPr>
            </w:pPr>
            <w:r>
              <w:rPr>
                <w:rFonts w:ascii="宋体" w:hAnsi="宋体" w:eastAsia="宋体" w:cs="宋体"/>
                <w:b w:val="0"/>
                <w:color w:val="000000"/>
                <w:spacing w:val="0"/>
                <w:sz w:val="24"/>
                <w:szCs w:val="24"/>
              </w:rPr>
              <w:t>通过教师提供结构化的证据支架（如反应现象记录表、键长数据对比表），引导学生逐步完成从“现象”到“证据”再到“结论”的推理链条，契合“科学证据获取与探究过程”任务的能力要求。</w:t>
            </w:r>
          </w:p>
        </w:tc>
        <w:tc>
          <w:tcPr>
            <w:tcW w:w="2240" w:type="dxa"/>
            <w:tcBorders>
              <w:top w:val="nil"/>
              <w:left w:val="nil"/>
              <w:bottom w:val="nil"/>
              <w:right w:val="nil"/>
            </w:tcBorders>
            <w:shd w:val="clear" w:color="auto" w:fill="FFFFFF"/>
            <w:noWrap w:val="0"/>
            <w:tcMar>
              <w:top w:w="60" w:type="dxa"/>
              <w:left w:w="80" w:type="dxa"/>
              <w:bottom w:w="60" w:type="dxa"/>
              <w:right w:w="80" w:type="dxa"/>
            </w:tcMar>
            <w:vAlign w:val="center"/>
          </w:tcPr>
          <w:p w14:paraId="5D115F3C">
            <w:pPr>
              <w:keepNext/>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ascii="宋体" w:hAnsi="宋体" w:eastAsia="宋体" w:cs="宋体"/>
                <w:b w:val="0"/>
                <w:color w:val="000000"/>
                <w:spacing w:val="0"/>
                <w:sz w:val="24"/>
                <w:szCs w:val="24"/>
              </w:rPr>
            </w:pPr>
            <w:r>
              <w:rPr>
                <w:rFonts w:ascii="宋体" w:hAnsi="宋体" w:eastAsia="宋体" w:cs="宋体"/>
                <w:b w:val="0"/>
                <w:color w:val="000000"/>
                <w:spacing w:val="0"/>
                <w:sz w:val="24"/>
                <w:szCs w:val="24"/>
              </w:rPr>
              <w:t>面对苯的工业应用价值与其毒性、致癌性等社会性议题时，学生容易简单化处理，难以形成辩证、全面的价值判断，需要教师提供角色支架加以引导。</w:t>
            </w:r>
          </w:p>
        </w:tc>
      </w:tr>
    </w:tbl>
    <w:p w14:paraId="64FC68F7">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pPr>
        <w:keepNext/>
        <w:keepLines/>
        <w:pageBreakBefore w:val="0"/>
        <w:widowControl w:val="0"/>
        <w:kinsoku/>
        <w:wordWrap/>
        <w:overflowPunct/>
        <w:topLinePunct w:val="0"/>
        <w:autoSpaceDE/>
        <w:autoSpaceDN/>
        <w:bidi w:val="0"/>
        <w:adjustRightInd/>
        <w:snapToGrid/>
        <w:spacing w:line="400" w:lineRule="exact"/>
        <w:ind w:firstLine="0"/>
        <w:jc w:val="both"/>
        <w:textAlignment w:val="auto"/>
        <w:rPr>
          <w:rFonts w:hint="eastAsia"/>
          <w:b/>
        </w:rPr>
      </w:pPr>
      <w:r>
        <w:rPr>
          <w:rFonts w:hint="eastAsia"/>
          <w:b/>
        </w:rPr>
        <w:t>分析如何从教学上利用或应对这些优势、机会、挑战与困难</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以化学史为主线的HPS教学资源筛选原则”，选取“证据可见性”突出的苯分子结构探索史作为统一情境；并依托“情境、角色、行为、知识、成果、育人价值”六要素模型，为学生设置行业具体角色，将学生乐于参与角色扮演、思辨表达的心理优势直接转化为完成三大学习任务的驱动力，使认知优势充分释放于具体的探究行为之中，而非停留于兴趣层面的调动。</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如“这一修正过程说明科学知识具有怎样的特征？”），引导学生完成从具体史实向抽象科学本质观念的迁移，弥补其自主提炼与反思能力的不足。</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3B17C797">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综合以上三个维度的分析，将“苯”教学案例的科学本质观培养目标汇总如表4.2所示。</w:t>
      </w:r>
    </w:p>
    <w:p w14:paraId="1F66D6BB">
      <w:pPr>
        <w:spacing w:before="200" w:after="40"/>
        <w:jc w:val="center"/>
        <w:rPr>
          <w:rFonts w:hint="default" w:eastAsia="宋体"/>
          <w:sz w:val="24"/>
          <w:szCs w:val="24"/>
          <w:highlight w:val="yellow"/>
          <w:lang w:val="en-US" w:eastAsia="zh-CN"/>
        </w:rPr>
      </w:pPr>
      <w:r>
        <w:rPr>
          <w:rFonts w:ascii="宋体" w:hAnsi="宋体" w:eastAsia="宋体" w:cs="宋体"/>
          <w:b/>
          <w:bCs/>
          <w:sz w:val="24"/>
          <w:szCs w:val="24"/>
          <w:highlight w:val="yellow"/>
        </w:rPr>
        <w:t>表4.2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7"/>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29"/>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29"/>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bookmarkStart w:id="5" w:name="_GoBack"/>
      <w:r>
        <w:drawing>
          <wp:anchor distT="0" distB="0" distL="114300" distR="114300" simplePos="0" relativeHeight="251659264" behindDoc="1" locked="0" layoutInCell="1" allowOverlap="1">
            <wp:simplePos x="0" y="0"/>
            <wp:positionH relativeFrom="column">
              <wp:posOffset>132715</wp:posOffset>
            </wp:positionH>
            <wp:positionV relativeFrom="paragraph">
              <wp:posOffset>537210</wp:posOffset>
            </wp:positionV>
            <wp:extent cx="5874385" cy="1235467"/>
            <wp:effectExtent l="0" t="0" r="0" b="0"/>
            <wp:wrapTight wrapText="bothSides">
              <wp:wrapPolygon>
                <wp:start x="0" y="0"/>
                <wp:lineTo x="0" y="21524"/>
                <wp:lineTo x="21574" y="21524"/>
                <wp:lineTo x="21574" y="0"/>
                <wp:lineTo x="0" y="0"/>
              </wp:wrapPolygon>
            </wp:wrapTight>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20"/>
                    <a:stretch>
                      <a:fillRect/>
                    </a:stretch>
                  </pic:blipFill>
                  <pic:spPr>
                    <a:xfrm>
                      <a:off x="0" y="0"/>
                      <a:ext cx="5874385" cy="1235467"/>
                    </a:xfrm>
                    <a:prstGeom prst="rect">
                      <a:avLst/>
                    </a:prstGeom>
                  </pic:spPr>
                </pic:pic>
              </a:graphicData>
            </a:graphic>
          </wp:anchor>
        </w:drawing>
      </w:r>
      <w:bookmarkEnd w:id="5"/>
    </w:p>
    <w:p w14:paraId="4DE45B57">
      <w:pPr>
        <w:pStyle w:val="5"/>
        <w:keepNext/>
        <w:keepLines/>
        <w:pageBreakBefore w:val="0"/>
        <w:widowControl w:val="0"/>
        <w:numPr>
          <w:ilvl w:val="1"/>
          <w:numId w:val="27"/>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389B832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2895B924">
      <w:pPr>
        <w:keepNext w:val="0"/>
        <w:keepLines w:val="0"/>
        <w:pageBreakBefore w:val="0"/>
        <w:widowControl/>
        <w:kinsoku/>
        <w:wordWrap/>
        <w:overflowPunct/>
        <w:topLinePunct w:val="0"/>
        <w:autoSpaceDE/>
        <w:autoSpaceDN/>
        <w:bidi w:val="0"/>
        <w:adjustRightInd/>
        <w:snapToGrid/>
        <w:spacing w:after="120" w:line="400" w:lineRule="exact"/>
        <w:ind w:firstLine="480"/>
        <w:jc w:val="both"/>
        <w:textAlignment w:val="auto"/>
      </w:pPr>
    </w:p>
    <w:p w14:paraId="33F5382B">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p>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50C09BAF-07F5-4786-882E-0FA83525743F}"/>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爱奇艺黑体">
    <w:panose1 w:val="00000000000000000000"/>
    <w:charset w:val="00"/>
    <w:family w:val="auto"/>
    <w:pitch w:val="default"/>
    <w:sig w:usb0="00000003" w:usb1="00000040" w:usb2="00000000" w:usb3="00000000" w:csb0="00000001" w:csb1="00000000"/>
    <w:embedRegular r:id="rId2" w:fontKey="{FA11AFC4-F814-4C99-A940-A2BE09333D9C}"/>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2">
    <w:p>
      <w:pPr>
        <w:spacing w:line="312" w:lineRule="auto"/>
      </w:pPr>
      <w:r>
        <w:separator/>
      </w:r>
    </w:p>
  </w:footnote>
  <w:footnote w:type="continuationSeparator" w:id="123">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p>
  </w:footnote>
  <w:footnote w:id="24">
    <w:p w14:paraId="3AB2743A">
      <w:pPr>
        <w:pStyle w:val="16"/>
        <w:snapToGrid w:val="0"/>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pPr>
      <w:r>
        <w:rPr>
          <w:rStyle w:val="22"/>
        </w:rPr>
        <w:t>［</w:t>
      </w:r>
      <w:r>
        <w:rPr>
          <w:rStyle w:val="22"/>
        </w:rPr>
        <w:footnoteRef/>
      </w:r>
      <w:r>
        <w:rPr>
          <w:rStyle w:val="22"/>
        </w:rPr>
        <w:t>］</w:t>
      </w:r>
      <w:r>
        <w:t xml:space="preserve"> </w:t>
      </w:r>
      <w:r>
        <w:rPr>
          <w:rFonts w:hint="eastAsia"/>
        </w:rPr>
        <w:t>刘健智.论中学生科学本质观的内涵[J].物理教学探讨,2006,24(5):1-3</w:t>
      </w:r>
    </w:p>
  </w:footnote>
  <w:footnote w:id="56">
    <w:p w14:paraId="623B4AE9">
      <w:pPr>
        <w:pStyle w:val="16"/>
        <w:snapToGrid w:val="0"/>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5">
    <w:nsid w:val="221F3E44"/>
    <w:multiLevelType w:val="singleLevel"/>
    <w:tmpl w:val="221F3E44"/>
    <w:lvl w:ilvl="0" w:tentative="0">
      <w:start w:val="1"/>
      <w:numFmt w:val="chineseCounting"/>
      <w:suff w:val="nothing"/>
      <w:lvlText w:val="第%1，"/>
      <w:lvlJc w:val="left"/>
      <w:rPr>
        <w:rFonts w:hint="eastAsia"/>
      </w:rPr>
    </w:lvl>
  </w:abstractNum>
  <w:abstractNum w:abstractNumId="16">
    <w:nsid w:val="34E3785F"/>
    <w:multiLevelType w:val="singleLevel"/>
    <w:tmpl w:val="34E3785F"/>
    <w:lvl w:ilvl="0" w:tentative="0">
      <w:start w:val="1"/>
      <w:numFmt w:val="chineseCounting"/>
      <w:suff w:val="nothing"/>
      <w:lvlText w:val="第%1，"/>
      <w:lvlJc w:val="left"/>
      <w:rPr>
        <w:rFonts w:hint="eastAsia"/>
      </w:rPr>
    </w:lvl>
  </w:abstractNum>
  <w:abstractNum w:abstractNumId="17">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9">
    <w:nsid w:val="46C74E3D"/>
    <w:multiLevelType w:val="singleLevel"/>
    <w:tmpl w:val="46C74E3D"/>
    <w:lvl w:ilvl="0" w:tentative="0">
      <w:start w:val="1"/>
      <w:numFmt w:val="chineseCounting"/>
      <w:suff w:val="nothing"/>
      <w:lvlText w:val="（%1）"/>
      <w:lvlJc w:val="left"/>
      <w:rPr>
        <w:rFonts w:hint="eastAsia"/>
      </w:rPr>
    </w:lvl>
  </w:abstractNum>
  <w:abstractNum w:abstractNumId="20">
    <w:nsid w:val="52CB6702"/>
    <w:multiLevelType w:val="singleLevel"/>
    <w:tmpl w:val="52CB6702"/>
    <w:lvl w:ilvl="0" w:tentative="0">
      <w:start w:val="1"/>
      <w:numFmt w:val="decimal"/>
      <w:suff w:val="nothing"/>
      <w:lvlText w:val="（%1）"/>
      <w:lvlJc w:val="left"/>
    </w:lvl>
  </w:abstractNum>
  <w:abstractNum w:abstractNumId="21">
    <w:nsid w:val="5B6470E2"/>
    <w:multiLevelType w:val="singleLevel"/>
    <w:tmpl w:val="5B6470E2"/>
    <w:lvl w:ilvl="0" w:tentative="0">
      <w:start w:val="1"/>
      <w:numFmt w:val="decimal"/>
      <w:lvlText w:val="(%1)"/>
      <w:lvlJc w:val="left"/>
      <w:pPr>
        <w:ind w:left="425" w:hanging="425"/>
      </w:pPr>
      <w:rPr>
        <w:rFonts w:hint="default"/>
      </w:rPr>
    </w:lvl>
  </w:abstractNum>
  <w:abstractNum w:abstractNumId="22">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3">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4">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5">
    <w:nsid w:val="789E0C00"/>
    <w:multiLevelType w:val="singleLevel"/>
    <w:tmpl w:val="789E0C00"/>
    <w:lvl w:ilvl="0" w:tentative="0">
      <w:start w:val="1"/>
      <w:numFmt w:val="decimal"/>
      <w:lvlText w:val="(%1)"/>
      <w:lvlJc w:val="left"/>
      <w:pPr>
        <w:ind w:left="425" w:hanging="425"/>
      </w:pPr>
      <w:rPr>
        <w:rFonts w:hint="default"/>
      </w:rPr>
    </w:lvl>
  </w:abstractNum>
  <w:abstractNum w:abstractNumId="26">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4"/>
  </w:num>
  <w:num w:numId="4">
    <w:abstractNumId w:val="9"/>
  </w:num>
  <w:num w:numId="5">
    <w:abstractNumId w:val="8"/>
  </w:num>
  <w:num w:numId="6">
    <w:abstractNumId w:val="21"/>
  </w:num>
  <w:num w:numId="7">
    <w:abstractNumId w:val="26"/>
  </w:num>
  <w:num w:numId="8">
    <w:abstractNumId w:val="25"/>
  </w:num>
  <w:num w:numId="9">
    <w:abstractNumId w:val="7"/>
  </w:num>
  <w:num w:numId="10">
    <w:abstractNumId w:val="5"/>
  </w:num>
  <w:num w:numId="11">
    <w:abstractNumId w:val="17"/>
  </w:num>
  <w:num w:numId="12">
    <w:abstractNumId w:val="20"/>
  </w:num>
  <w:num w:numId="13">
    <w:abstractNumId w:val="4"/>
  </w:num>
  <w:num w:numId="14">
    <w:abstractNumId w:val="23"/>
  </w:num>
  <w:num w:numId="15">
    <w:abstractNumId w:val="15"/>
  </w:num>
  <w:num w:numId="16">
    <w:abstractNumId w:val="14"/>
  </w:num>
  <w:num w:numId="17">
    <w:abstractNumId w:val="11"/>
  </w:num>
  <w:num w:numId="18">
    <w:abstractNumId w:val="3"/>
  </w:num>
  <w:num w:numId="19">
    <w:abstractNumId w:val="22"/>
  </w:num>
  <w:num w:numId="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2"/>
  </w:num>
  <w:num w:numId="22">
    <w:abstractNumId w:val="16"/>
  </w:num>
  <w:num w:numId="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8"/>
  </w:num>
  <w:num w:numId="25">
    <w:abstractNumId w:val="10"/>
  </w:num>
  <w:num w:numId="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3"/>
  </w:num>
  <w:num w:numId="28">
    <w:abstractNumId w:val="2"/>
  </w:num>
  <w:num w:numId="29">
    <w:abstractNumId w:val="1"/>
  </w:num>
  <w:num w:numId="3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2"/>
    <w:footnote w:id="123"/>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E9B2AE6"/>
    <w:rsid w:val="70A538B1"/>
    <w:rsid w:val="71F941EE"/>
    <w:rsid w:val="752E10B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48</Pages>
  <Words>3084</Words>
  <Characters>3191</Characters>
  <Lines>591</Lines>
  <Paragraphs>295</Paragraphs>
  <TotalTime>7</TotalTime>
  <ScaleCrop>false</ScaleCrop>
  <LinksUpToDate>false</LinksUpToDate>
  <CharactersWithSpaces>3196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2026-07-30T12:13:37Z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1F8022B64D34448AAA41265E07AADA2C_12</vt:lpwstr>
  </property>
</Properties>
</file>