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4FC54">
      <w:pPr>
        <w:pStyle w:val="2"/>
        <w:widowControl w:val="0"/>
        <w:numPr>
          <w:ilvl w:val="0"/>
          <w:numId w:val="0"/>
        </w:numPr>
        <w:jc w:val="center"/>
        <w:rPr>
          <w:rFonts w:hint="eastAsia"/>
        </w:rPr>
      </w:pPr>
      <w:r>
        <w:rPr>
          <w:rFonts w:hint="eastAsia" w:ascii="黑体" w:hAnsi="黑体" w:eastAsia="黑体" w:cs="黑体"/>
          <w:sz w:val="32"/>
          <w:szCs w:val="32"/>
        </w:rPr>
        <w:t>HPS理念下</w:t>
      </w:r>
      <w:r>
        <w:rPr>
          <w:rFonts w:hint="eastAsia" w:ascii="黑体" w:hAnsi="黑体" w:eastAsia="黑体" w:cs="黑体"/>
          <w:sz w:val="32"/>
          <w:szCs w:val="32"/>
          <w:lang w:val="en-US" w:eastAsia="zh-CN"/>
        </w:rPr>
        <w:t>培养学生</w:t>
      </w:r>
      <w:r>
        <w:rPr>
          <w:rFonts w:hint="eastAsia" w:ascii="黑体" w:hAnsi="黑体" w:eastAsia="黑体" w:cs="黑体"/>
          <w:sz w:val="32"/>
          <w:szCs w:val="32"/>
        </w:rPr>
        <w:t>科学本质观</w:t>
      </w:r>
      <w:r>
        <w:rPr>
          <w:rFonts w:hint="eastAsia" w:ascii="黑体" w:hAnsi="黑体" w:eastAsia="黑体" w:cs="黑体"/>
          <w:sz w:val="32"/>
          <w:szCs w:val="32"/>
          <w:lang w:val="en-US" w:eastAsia="zh-CN"/>
        </w:rPr>
        <w:t>的高中化学</w:t>
      </w:r>
      <w:r>
        <w:rPr>
          <w:rFonts w:hint="eastAsia" w:ascii="黑体" w:hAnsi="黑体" w:eastAsia="黑体" w:cs="黑体"/>
          <w:sz w:val="32"/>
          <w:szCs w:val="32"/>
        </w:rPr>
        <w:t>教学设计研究</w:t>
      </w:r>
    </w:p>
    <w:p w14:paraId="258EEC78">
      <w:pPr>
        <w:pStyle w:val="2"/>
        <w:widowControl w:val="0"/>
        <w:numPr>
          <w:ilvl w:val="0"/>
          <w:numId w:val="2"/>
        </w:numPr>
        <w:tabs>
          <w:tab w:val="left" w:pos="0"/>
        </w:tabs>
        <w:ind w:left="0" w:leftChars="0" w:firstLine="0" w:firstLineChars="0"/>
        <w:jc w:val="center"/>
        <w:rPr>
          <w:rFonts w:hint="eastAsia" w:ascii="黑体" w:hAnsi="黑体" w:eastAsia="黑体"/>
          <w:b w:val="0"/>
          <w:bCs/>
        </w:rPr>
      </w:pPr>
      <w:r>
        <w:rPr>
          <w:rFonts w:hint="eastAsia" w:ascii="黑体" w:hAnsi="黑体" w:eastAsia="黑体"/>
          <w:b w:val="0"/>
          <w:bCs/>
        </w:rPr>
        <w:t>绪论</w:t>
      </w:r>
    </w:p>
    <w:p w14:paraId="77127B53">
      <w:pPr>
        <w:pStyle w:val="2"/>
        <w:numPr>
          <w:ilvl w:val="1"/>
          <w:numId w:val="3"/>
        </w:numPr>
        <w:jc w:val="center"/>
        <w:rPr>
          <w:rFonts w:hint="eastAsia"/>
        </w:rPr>
      </w:pPr>
      <w:r>
        <w:rPr>
          <w:rFonts w:hint="eastAsia"/>
        </w:rPr>
        <w:t>研究背景</w:t>
      </w:r>
    </w:p>
    <w:p w14:paraId="1B122726">
      <w:pPr>
        <w:pStyle w:val="5"/>
        <w:numPr>
          <w:ilvl w:val="1"/>
          <w:numId w:val="4"/>
        </w:numPr>
        <w:ind w:firstLine="0"/>
        <w:rPr>
          <w:rFonts w:hint="eastAsia"/>
        </w:rPr>
      </w:pPr>
      <w:bookmarkStart w:id="0" w:name="_Toc86127705"/>
      <w:bookmarkEnd w:id="0"/>
      <w:r>
        <w:rPr>
          <w:rFonts w:hint="eastAsia"/>
        </w:rPr>
        <w:t>普通高中化学课程标准中对学生科学本质观培养的迫切要求</w:t>
      </w:r>
    </w:p>
    <w:p w14:paraId="2274AA5C">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普通高中化学课程标准（2017年版2020年修订）》在目标表述与教学建议中多次提出：应借助化学史事实、科学模型演进与科学争论情境，引导学生认识化学理论的发展性与证据性，并在学习过程中体会科学认识的建构特征与科学精神内涵</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0"/>
      </w:r>
      <w:r>
        <w:rPr>
          <w:rStyle w:val="22"/>
          <w:rFonts w:hint="eastAsia" w:ascii="宋体" w:hAnsi="宋体" w:cs="宋体"/>
          <w:color w:val="000000"/>
          <w:kern w:val="2"/>
          <w:sz w:val="24"/>
          <w:szCs w:val="24"/>
        </w:rPr>
        <w:t>］</w:t>
      </w:r>
      <w:r>
        <w:rPr>
          <w:rFonts w:hint="eastAsia" w:ascii="宋体" w:hAnsi="宋体" w:cs="宋体"/>
          <w:color w:val="000000"/>
          <w:kern w:val="2"/>
          <w:sz w:val="24"/>
          <w:szCs w:val="24"/>
        </w:rPr>
        <w:t>。因此，从课程标准的导向来看，科学本质教育已不再仅是理念层面的倡议，而是从教材内容选择、教学策略与学习活动等环节，为在化学课堂中融入科学史素材、证据推理、模型建构与社会议题讨论提供了明确指向。此外，在学业质量评价导向上，课标命题也强调以真实情境为载体，体现科学、技术、社会与环境发展的成果，从评价层面进一步强化了情境化、综合化的学习取向。</w:t>
      </w:r>
    </w:p>
    <w:p w14:paraId="0FC11329">
      <w:pPr>
        <w:pStyle w:val="23"/>
        <w:keepNext w:val="0"/>
        <w:keepLines/>
        <w:pageBreakBefore w:val="0"/>
        <w:widowControl w:val="0"/>
        <w:kinsoku/>
        <w:wordWrap/>
        <w:overflowPunct/>
        <w:topLinePunct w:val="0"/>
        <w:autoSpaceDE/>
        <w:autoSpaceDN/>
        <w:bidi w:val="0"/>
        <w:adjustRightInd/>
        <w:ind w:firstLine="460"/>
        <w:textAlignment w:val="auto"/>
        <w:rPr>
          <w:rFonts w:hint="eastAsia" w:ascii="宋体" w:hAnsi="宋体" w:cs="宋体"/>
          <w:color w:val="000000"/>
          <w:kern w:val="2"/>
          <w:sz w:val="24"/>
          <w:szCs w:val="24"/>
        </w:rPr>
      </w:pPr>
      <w:r>
        <w:rPr>
          <w:rFonts w:hint="eastAsia" w:ascii="宋体" w:hAnsi="宋体" w:cs="宋体"/>
          <w:color w:val="000000"/>
          <w:kern w:val="2"/>
          <w:sz w:val="24"/>
          <w:szCs w:val="24"/>
        </w:rPr>
        <w:t>然而，从一线教学现实看，科学史素材常被零散地用作“趣味化背景”或结论性讲述，哲学反思与社会维度往往缺位，导致科学本质观培养目标难以在课堂中形成可持续、可评价的教学链条。基于此，有必要在课标导向与课堂实践之间建立更具操作性的桥梁，并形成可检验的教学设计方案。表1-1为新课标中“HPS导向”、“科学史”、“科学本质观”、“</w:t>
      </w:r>
      <w:r>
        <w:rPr>
          <w:rFonts w:ascii="宋体" w:hAnsi="宋体" w:cs="宋体"/>
          <w:color w:val="000000"/>
          <w:kern w:val="2"/>
          <w:sz w:val="24"/>
          <w:szCs w:val="24"/>
        </w:rPr>
        <w:t>科学—技术—社会取向</w:t>
      </w:r>
      <w:r>
        <w:rPr>
          <w:rFonts w:hint="eastAsia" w:ascii="宋体" w:hAnsi="宋体" w:cs="宋体"/>
          <w:color w:val="000000"/>
          <w:kern w:val="2"/>
          <w:sz w:val="24"/>
          <w:szCs w:val="24"/>
        </w:rPr>
        <w:t>”、“课堂落实方式”各方面对HPS教学理念的体现。</w:t>
      </w:r>
    </w:p>
    <w:p w14:paraId="674EEF5B">
      <w:pPr>
        <w:pStyle w:val="13"/>
        <w:keepNext w:val="0"/>
        <w:keepLines/>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000000"/>
          <w:kern w:val="2"/>
          <w:sz w:val="24"/>
          <w:szCs w:val="24"/>
        </w:rPr>
      </w:pPr>
      <w:r>
        <w:rPr>
          <w:rFonts w:hint="eastAsia" w:ascii="宋体" w:hAnsi="宋体" w:eastAsia="宋体" w:cs="宋体"/>
          <w:sz w:val="24"/>
          <w:szCs w:val="24"/>
        </w:rPr>
        <w:t>表</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STYLEREF 1 \s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noBreakHyphen/>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HPS教学理念在课标必修课程部分中的体现 \* ARABIC \s 1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t xml:space="preserve"> HPS教学理念在课标必修课程部分中的体现</w:t>
      </w:r>
    </w:p>
    <w:tbl>
      <w:tblPr>
        <w:tblStyle w:val="19"/>
        <w:tblW w:w="8308" w:type="dxa"/>
        <w:jc w:val="center"/>
        <w:tblBorders>
          <w:top w:val="none" w:color="auto" w:sz="0" w:space="0"/>
          <w:left w:val="none" w:color="auto" w:sz="4" w:space="0"/>
          <w:bottom w:val="none" w:color="auto" w:sz="0"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84"/>
        <w:gridCol w:w="6924"/>
      </w:tblGrid>
      <w:tr w14:paraId="0F73C4FF">
        <w:tblPrEx>
          <w:tblBorders>
            <w:top w:val="none" w:color="auto" w:sz="0" w:space="0"/>
            <w:left w:val="none" w:color="auto" w:sz="4" w:space="0"/>
            <w:bottom w:val="none" w:color="auto" w:sz="0"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tcMar>
              <w:top w:w="-1" w:type="dxa"/>
              <w:left w:w="-1" w:type="dxa"/>
              <w:bottom w:w="-1" w:type="dxa"/>
              <w:right w:w="-1" w:type="dxa"/>
            </w:tcMar>
            <w:vAlign w:val="center"/>
          </w:tcPr>
          <w:p w14:paraId="5A4153A5">
            <w:pPr>
              <w:pStyle w:val="23"/>
              <w:keepNext w:val="0"/>
              <w:keepLines/>
              <w:pageBreakBefore w:val="0"/>
              <w:widowControl w:val="0"/>
              <w:kinsoku/>
              <w:wordWrap/>
              <w:overflowPunct/>
              <w:topLinePunct w:val="0"/>
              <w:autoSpaceDE/>
              <w:autoSpaceDN/>
              <w:bidi w:val="0"/>
              <w:adjustRightInd/>
              <w:snapToGrid w:val="0"/>
              <w:spacing w:line="400" w:lineRule="exact"/>
              <w:ind w:left="0" w:leftChars="0" w:right="0" w:rightChars="0" w:firstLine="0" w:firstLineChars="0"/>
              <w:jc w:val="center"/>
              <w:textAlignment w:val="auto"/>
              <w:rPr>
                <w:rFonts w:hint="eastAsia" w:ascii="宋体" w:hAnsi="宋体" w:cs="宋体"/>
                <w:b/>
                <w:bCs/>
                <w:color w:val="000000"/>
                <w:kern w:val="2"/>
                <w:sz w:val="24"/>
                <w:szCs w:val="24"/>
              </w:rPr>
            </w:pPr>
            <w:r>
              <w:rPr>
                <w:rFonts w:hint="eastAsia" w:ascii="宋体" w:hAnsi="宋体" w:cs="宋体"/>
                <w:b/>
                <w:bCs/>
                <w:color w:val="000000"/>
                <w:kern w:val="2"/>
                <w:sz w:val="24"/>
                <w:szCs w:val="24"/>
              </w:rPr>
              <w:t>维度</w:t>
            </w:r>
          </w:p>
        </w:tc>
        <w:tc>
          <w:tcPr>
            <w:tcW w:w="6924" w:type="dxa"/>
            <w:tcBorders>
              <w:top w:val="single" w:color="000000" w:sz="12" w:space="0"/>
              <w:left w:val="nil"/>
              <w:bottom w:val="single" w:color="000000" w:sz="4" w:space="0"/>
              <w:right w:val="nil"/>
            </w:tcBorders>
            <w:shd w:val="clear" w:color="auto" w:fill="FFFFFF"/>
            <w:tcMar>
              <w:top w:w="-1" w:type="dxa"/>
              <w:left w:w="-1" w:type="dxa"/>
              <w:bottom w:w="-1" w:type="dxa"/>
              <w:right w:w="-1" w:type="dxa"/>
            </w:tcMar>
            <w:vAlign w:val="center"/>
          </w:tcPr>
          <w:p w14:paraId="1732B5C3">
            <w:pPr>
              <w:pStyle w:val="23"/>
              <w:keepNext w:val="0"/>
              <w:keepLines/>
              <w:pageBreakBefore w:val="0"/>
              <w:widowControl w:val="0"/>
              <w:kinsoku/>
              <w:wordWrap/>
              <w:overflowPunct/>
              <w:topLinePunct w:val="0"/>
              <w:autoSpaceDE/>
              <w:autoSpaceDN/>
              <w:bidi w:val="0"/>
              <w:adjustRightInd/>
              <w:snapToGrid w:val="0"/>
              <w:spacing w:line="400" w:lineRule="exact"/>
              <w:ind w:left="0" w:leftChars="0" w:right="0" w:rightChars="0" w:firstLine="0" w:firstLineChars="0"/>
              <w:jc w:val="center"/>
              <w:textAlignment w:val="auto"/>
              <w:rPr>
                <w:rFonts w:hint="eastAsia" w:ascii="宋体" w:hAnsi="宋体" w:cs="宋体"/>
                <w:b/>
                <w:bCs/>
                <w:color w:val="000000"/>
                <w:kern w:val="2"/>
                <w:sz w:val="24"/>
                <w:szCs w:val="24"/>
              </w:rPr>
            </w:pPr>
            <w:r>
              <w:rPr>
                <w:rFonts w:hint="eastAsia" w:ascii="宋体" w:hAnsi="宋体" w:cs="宋体"/>
                <w:b/>
                <w:bCs/>
                <w:color w:val="000000"/>
                <w:kern w:val="2"/>
                <w:sz w:val="24"/>
                <w:szCs w:val="24"/>
              </w:rPr>
              <w:t>体现内容</w:t>
            </w:r>
          </w:p>
        </w:tc>
      </w:tr>
      <w:tr w14:paraId="5B037B6D">
        <w:tblPrEx>
          <w:tblBorders>
            <w:top w:val="none" w:color="auto" w:sz="0" w:space="0"/>
            <w:left w:val="none" w:color="auto" w:sz="4" w:space="0"/>
            <w:bottom w:val="none" w:color="auto" w:sz="0"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tcMar>
              <w:top w:w="-1" w:type="dxa"/>
              <w:left w:w="-1" w:type="dxa"/>
              <w:bottom w:w="-1" w:type="dxa"/>
              <w:right w:w="-1" w:type="dxa"/>
            </w:tcMar>
            <w:vAlign w:val="center"/>
          </w:tcPr>
          <w:p w14:paraId="6759253B">
            <w:pPr>
              <w:pStyle w:val="23"/>
              <w:keepNext w:val="0"/>
              <w:keepLines/>
              <w:pageBreakBefore w:val="0"/>
              <w:widowControl w:val="0"/>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bCs/>
                <w:color w:val="000000"/>
                <w:kern w:val="2"/>
                <w:sz w:val="24"/>
                <w:szCs w:val="24"/>
              </w:rPr>
            </w:pPr>
            <w:r>
              <w:rPr>
                <w:rFonts w:ascii="宋体" w:hAnsi="宋体" w:cs="宋体"/>
                <w:b/>
                <w:bCs/>
                <w:color w:val="000000"/>
                <w:kern w:val="2"/>
                <w:sz w:val="24"/>
                <w:szCs w:val="24"/>
              </w:rPr>
              <w:t>内容选取体现HPS导向</w:t>
            </w:r>
          </w:p>
        </w:tc>
        <w:tc>
          <w:tcPr>
            <w:tcW w:w="6924" w:type="dxa"/>
            <w:tcBorders>
              <w:top w:val="single" w:color="000000" w:sz="4" w:space="0"/>
              <w:left w:val="nil"/>
              <w:bottom w:val="nil"/>
              <w:right w:val="nil"/>
            </w:tcBorders>
            <w:shd w:val="clear" w:color="auto" w:fill="FFFFFF"/>
            <w:tcMar>
              <w:top w:w="-1" w:type="dxa"/>
              <w:left w:w="-1" w:type="dxa"/>
              <w:bottom w:w="-1" w:type="dxa"/>
              <w:right w:w="-1" w:type="dxa"/>
            </w:tcMar>
            <w:vAlign w:val="center"/>
          </w:tcPr>
          <w:p w14:paraId="61F623EB">
            <w:pPr>
              <w:pStyle w:val="23"/>
              <w:keepNext w:val="0"/>
              <w:keepLines/>
              <w:pageBreakBefore w:val="0"/>
              <w:widowControl w:val="0"/>
              <w:numPr>
                <w:ilvl w:val="0"/>
                <w:numId w:val="5"/>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hint="eastAsia" w:ascii="宋体" w:hAnsi="宋体" w:cs="宋体"/>
                <w:b w:val="0"/>
                <w:color w:val="000000"/>
                <w:kern w:val="2"/>
                <w:sz w:val="24"/>
                <w:szCs w:val="24"/>
              </w:rPr>
              <w:t>结合“人类探索物质及其变化的历史”与“化学科学发展的趋势”，引导学生学习化学基本原理与方法。</w:t>
            </w:r>
          </w:p>
          <w:p w14:paraId="3ACCE642">
            <w:pPr>
              <w:pStyle w:val="23"/>
              <w:keepNext w:val="0"/>
              <w:keepLines/>
              <w:pageBreakBefore w:val="0"/>
              <w:widowControl w:val="0"/>
              <w:numPr>
                <w:ilvl w:val="0"/>
                <w:numId w:val="5"/>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hint="eastAsia" w:ascii="宋体" w:hAnsi="宋体" w:cs="宋体"/>
                <w:b w:val="0"/>
                <w:color w:val="000000"/>
                <w:kern w:val="2"/>
                <w:sz w:val="24"/>
                <w:szCs w:val="24"/>
              </w:rPr>
              <w:t>倡导真实问题情境与以实验为主的探究活动，作为“素养为本”教学的重要路径。</w:t>
            </w:r>
          </w:p>
          <w:p w14:paraId="61AA3D6D">
            <w:pPr>
              <w:pStyle w:val="23"/>
              <w:keepNext w:val="0"/>
              <w:keepLines/>
              <w:pageBreakBefore w:val="0"/>
              <w:widowControl w:val="0"/>
              <w:numPr>
                <w:ilvl w:val="0"/>
                <w:numId w:val="5"/>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hint="eastAsia" w:ascii="宋体" w:hAnsi="宋体" w:cs="宋体"/>
                <w:b w:val="0"/>
                <w:color w:val="000000"/>
                <w:kern w:val="2"/>
                <w:sz w:val="24"/>
                <w:szCs w:val="24"/>
              </w:rPr>
              <w:t>强调与学生社会生活经验相联系，引导关注“与化学有关的社会问题”，培养社会责任感、参与意识与决策能力。</w:t>
            </w:r>
          </w:p>
        </w:tc>
      </w:tr>
      <w:tr w14:paraId="33132200">
        <w:tblPrEx>
          <w:tblBorders>
            <w:top w:val="none" w:color="auto" w:sz="0" w:space="0"/>
            <w:left w:val="none" w:color="auto" w:sz="4" w:space="0"/>
            <w:bottom w:val="none" w:color="auto" w:sz="0"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FA2F5F7">
            <w:pPr>
              <w:pStyle w:val="23"/>
              <w:keepNext w:val="0"/>
              <w:keepLines/>
              <w:pageBreakBefore w:val="0"/>
              <w:widowControl w:val="0"/>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bCs/>
                <w:color w:val="000000"/>
                <w:kern w:val="2"/>
                <w:sz w:val="24"/>
                <w:szCs w:val="24"/>
              </w:rPr>
            </w:pPr>
            <w:r>
              <w:rPr>
                <w:rFonts w:hint="eastAsia" w:ascii="宋体" w:hAnsi="宋体" w:cs="宋体"/>
                <w:b/>
                <w:bCs/>
                <w:color w:val="000000"/>
                <w:kern w:val="2"/>
                <w:sz w:val="24"/>
                <w:szCs w:val="24"/>
              </w:rPr>
              <w:t>科学史</w:t>
            </w:r>
          </w:p>
        </w:tc>
        <w:tc>
          <w:tcPr>
            <w:tcW w:w="6924" w:type="dxa"/>
            <w:tcBorders>
              <w:top w:val="nil"/>
              <w:left w:val="nil"/>
              <w:bottom w:val="nil"/>
              <w:right w:val="nil"/>
            </w:tcBorders>
            <w:shd w:val="clear" w:color="auto" w:fill="FFFFFF"/>
            <w:tcMar>
              <w:top w:w="-1" w:type="dxa"/>
              <w:left w:w="-1" w:type="dxa"/>
              <w:bottom w:w="-1" w:type="dxa"/>
              <w:right w:w="-1" w:type="dxa"/>
            </w:tcMar>
            <w:vAlign w:val="center"/>
          </w:tcPr>
          <w:p w14:paraId="19C2D7C1">
            <w:pPr>
              <w:pStyle w:val="23"/>
              <w:keepNext w:val="0"/>
              <w:keepLines/>
              <w:pageBreakBefore w:val="0"/>
              <w:widowControl w:val="0"/>
              <w:numPr>
                <w:ilvl w:val="0"/>
                <w:numId w:val="6"/>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hint="eastAsia" w:ascii="宋体" w:hAnsi="宋体" w:cs="宋体"/>
                <w:b w:val="0"/>
                <w:color w:val="000000"/>
                <w:kern w:val="2"/>
                <w:sz w:val="24"/>
                <w:szCs w:val="24"/>
              </w:rPr>
              <w:t>内容要求：了解化学科学“发展历程及其趋势”。</w:t>
            </w:r>
          </w:p>
          <w:p w14:paraId="62DBC47A">
            <w:pPr>
              <w:pStyle w:val="23"/>
              <w:keepNext w:val="0"/>
              <w:keepLines/>
              <w:pageBreakBefore w:val="0"/>
              <w:widowControl w:val="0"/>
              <w:numPr>
                <w:ilvl w:val="0"/>
                <w:numId w:val="6"/>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hint="eastAsia" w:ascii="宋体" w:hAnsi="宋体" w:cs="宋体"/>
                <w:b w:val="0"/>
                <w:color w:val="000000"/>
                <w:kern w:val="2"/>
                <w:sz w:val="24"/>
                <w:szCs w:val="24"/>
              </w:rPr>
              <w:t>情境素材：建议明确列出“化学发现的故事”（电离理论、元素周期律、原电池、合成尿素、合成氨、青蒿素提取等），用于教学选材。</w:t>
            </w:r>
          </w:p>
          <w:p w14:paraId="240D7375">
            <w:pPr>
              <w:pStyle w:val="23"/>
              <w:keepNext w:val="0"/>
              <w:keepLines/>
              <w:pageBreakBefore w:val="0"/>
              <w:widowControl w:val="0"/>
              <w:numPr>
                <w:ilvl w:val="0"/>
                <w:numId w:val="6"/>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hint="eastAsia" w:ascii="宋体" w:hAnsi="宋体" w:cs="宋体"/>
                <w:b w:val="0"/>
                <w:color w:val="000000"/>
                <w:kern w:val="2"/>
                <w:sz w:val="24"/>
                <w:szCs w:val="24"/>
              </w:rPr>
              <w:t>学业要求：要求学生能列举化学科学发展的重要事件，说明其对社会发展的贡献并指出创新点。</w:t>
            </w:r>
          </w:p>
        </w:tc>
      </w:tr>
      <w:tr w14:paraId="753126D8">
        <w:tblPrEx>
          <w:tblBorders>
            <w:top w:val="none" w:color="auto" w:sz="0" w:space="0"/>
            <w:left w:val="none" w:color="auto" w:sz="4" w:space="0"/>
            <w:bottom w:val="none" w:color="auto" w:sz="0"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0C3352">
            <w:pPr>
              <w:pStyle w:val="23"/>
              <w:keepNext/>
              <w:keepLines w:val="0"/>
              <w:pageBreakBefore w:val="0"/>
              <w:widowControl w:val="0"/>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bCs/>
                <w:color w:val="000000"/>
                <w:kern w:val="2"/>
                <w:sz w:val="24"/>
                <w:szCs w:val="24"/>
              </w:rPr>
            </w:pPr>
            <w:r>
              <w:rPr>
                <w:rFonts w:ascii="宋体" w:hAnsi="宋体" w:cs="宋体"/>
                <w:b/>
                <w:bCs/>
                <w:color w:val="000000"/>
                <w:kern w:val="2"/>
                <w:sz w:val="24"/>
                <w:szCs w:val="24"/>
              </w:rPr>
              <w:t>科学本质</w:t>
            </w:r>
            <w:r>
              <w:rPr>
                <w:rFonts w:hint="eastAsia" w:ascii="宋体" w:hAnsi="宋体" w:cs="宋体"/>
                <w:b/>
                <w:bCs/>
                <w:color w:val="000000"/>
                <w:kern w:val="2"/>
                <w:sz w:val="24"/>
                <w:szCs w:val="24"/>
              </w:rPr>
              <w:t>观</w:t>
            </w:r>
          </w:p>
        </w:tc>
        <w:tc>
          <w:tcPr>
            <w:tcW w:w="6924" w:type="dxa"/>
            <w:tcBorders>
              <w:top w:val="nil"/>
              <w:left w:val="nil"/>
              <w:bottom w:val="nil"/>
              <w:right w:val="nil"/>
            </w:tcBorders>
            <w:shd w:val="clear" w:color="auto" w:fill="FFFFFF"/>
            <w:tcMar>
              <w:top w:w="-1" w:type="dxa"/>
              <w:left w:w="-1" w:type="dxa"/>
              <w:bottom w:w="-1" w:type="dxa"/>
              <w:right w:w="-1" w:type="dxa"/>
            </w:tcMar>
            <w:vAlign w:val="center"/>
          </w:tcPr>
          <w:p w14:paraId="6F1971AE">
            <w:pPr>
              <w:pStyle w:val="23"/>
              <w:keepNext/>
              <w:keepLines w:val="0"/>
              <w:pageBreakBefore w:val="0"/>
              <w:widowControl w:val="0"/>
              <w:numPr>
                <w:ilvl w:val="0"/>
                <w:numId w:val="7"/>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hint="eastAsia" w:ascii="宋体" w:hAnsi="宋体" w:cs="宋体"/>
                <w:b w:val="0"/>
                <w:color w:val="000000"/>
                <w:kern w:val="2"/>
                <w:sz w:val="24"/>
                <w:szCs w:val="24"/>
              </w:rPr>
              <w:t>内容要求：强调化学研究“需要实证与推理”，并点明实验、假说、模型等方法在化学研究中的运用。</w:t>
            </w:r>
          </w:p>
          <w:p w14:paraId="3E2B1673">
            <w:pPr>
              <w:pStyle w:val="23"/>
              <w:keepNext/>
              <w:keepLines w:val="0"/>
              <w:pageBreakBefore w:val="0"/>
              <w:widowControl w:val="0"/>
              <w:numPr>
                <w:ilvl w:val="0"/>
                <w:numId w:val="7"/>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hint="eastAsia" w:ascii="宋体" w:hAnsi="宋体" w:cs="宋体"/>
                <w:b w:val="0"/>
                <w:color w:val="000000"/>
                <w:kern w:val="2"/>
                <w:sz w:val="24"/>
                <w:szCs w:val="24"/>
              </w:rPr>
              <w:t>情景素材：建议强调“理论、模型不断发展的史实”（如原子结构模型、氧化还原理论等），用于引导学生理解理论建构与修正。</w:t>
            </w:r>
          </w:p>
          <w:p w14:paraId="1609132B">
            <w:pPr>
              <w:pStyle w:val="23"/>
              <w:keepNext/>
              <w:keepLines w:val="0"/>
              <w:pageBreakBefore w:val="0"/>
              <w:widowControl w:val="0"/>
              <w:numPr>
                <w:ilvl w:val="0"/>
                <w:numId w:val="7"/>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hint="eastAsia" w:ascii="宋体" w:hAnsi="宋体" w:cs="宋体"/>
                <w:b w:val="0"/>
                <w:color w:val="000000"/>
                <w:kern w:val="2"/>
                <w:sz w:val="24"/>
                <w:szCs w:val="24"/>
              </w:rPr>
              <w:t>核心素养对“证据推理与模型认知”做出明确表述：基于证据提出假设、分析推理证实/证伪，建构模型并用模型解释现象与规律。</w:t>
            </w:r>
          </w:p>
        </w:tc>
      </w:tr>
      <w:tr w14:paraId="5AD28BD7">
        <w:tblPrEx>
          <w:tblBorders>
            <w:top w:val="none" w:color="auto" w:sz="0" w:space="0"/>
            <w:left w:val="none" w:color="auto" w:sz="4" w:space="0"/>
            <w:bottom w:val="none" w:color="auto" w:sz="0"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AC1E95">
            <w:pPr>
              <w:pStyle w:val="23"/>
              <w:keepNext/>
              <w:keepLines w:val="0"/>
              <w:pageBreakBefore w:val="0"/>
              <w:widowControl w:val="0"/>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bCs/>
                <w:color w:val="000000"/>
                <w:kern w:val="2"/>
                <w:sz w:val="24"/>
                <w:szCs w:val="24"/>
              </w:rPr>
            </w:pPr>
            <w:r>
              <w:rPr>
                <w:rFonts w:ascii="宋体" w:hAnsi="宋体" w:cs="宋体"/>
                <w:b/>
                <w:bCs/>
                <w:color w:val="000000"/>
                <w:kern w:val="2"/>
                <w:sz w:val="24"/>
                <w:szCs w:val="24"/>
              </w:rPr>
              <w:t>科学—技术—社会取向</w:t>
            </w:r>
          </w:p>
        </w:tc>
        <w:tc>
          <w:tcPr>
            <w:tcW w:w="6924" w:type="dxa"/>
            <w:tcBorders>
              <w:top w:val="nil"/>
              <w:left w:val="nil"/>
              <w:bottom w:val="nil"/>
              <w:right w:val="nil"/>
            </w:tcBorders>
            <w:shd w:val="clear" w:color="auto" w:fill="FFFFFF"/>
            <w:tcMar>
              <w:top w:w="-1" w:type="dxa"/>
              <w:left w:w="-1" w:type="dxa"/>
              <w:bottom w:w="-1" w:type="dxa"/>
              <w:right w:w="-1" w:type="dxa"/>
            </w:tcMar>
            <w:vAlign w:val="center"/>
          </w:tcPr>
          <w:p w14:paraId="5B1E2C8B">
            <w:pPr>
              <w:pStyle w:val="23"/>
              <w:keepNext/>
              <w:keepLines w:val="0"/>
              <w:pageBreakBefore w:val="0"/>
              <w:widowControl w:val="0"/>
              <w:numPr>
                <w:ilvl w:val="0"/>
                <w:numId w:val="8"/>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hint="eastAsia" w:ascii="宋体" w:hAnsi="宋体" w:cs="宋体"/>
                <w:b w:val="0"/>
                <w:color w:val="000000"/>
                <w:kern w:val="2"/>
                <w:sz w:val="24"/>
                <w:szCs w:val="24"/>
              </w:rPr>
              <w:t>认识化学科技对生态文明道路的重要作用，并强调“绿色化学”观念与资源全面节约、物能循环利用意识。</w:t>
            </w:r>
          </w:p>
          <w:p w14:paraId="2F9FB86C">
            <w:pPr>
              <w:pStyle w:val="23"/>
              <w:keepNext/>
              <w:keepLines w:val="0"/>
              <w:pageBreakBefore w:val="0"/>
              <w:widowControl w:val="0"/>
              <w:numPr>
                <w:ilvl w:val="0"/>
                <w:numId w:val="8"/>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ascii="宋体" w:hAnsi="宋体" w:cs="宋体"/>
                <w:b w:val="0"/>
                <w:color w:val="000000"/>
                <w:kern w:val="2"/>
                <w:sz w:val="24"/>
                <w:szCs w:val="24"/>
              </w:rPr>
              <w:t>自觉遵守化学品应用、化工生产、环境保护、食品与药品安全等法律法规。</w:t>
            </w:r>
          </w:p>
          <w:p w14:paraId="1D72DE9A">
            <w:pPr>
              <w:pStyle w:val="23"/>
              <w:keepNext/>
              <w:keepLines w:val="0"/>
              <w:pageBreakBefore w:val="0"/>
              <w:widowControl w:val="0"/>
              <w:numPr>
                <w:ilvl w:val="0"/>
                <w:numId w:val="8"/>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ascii="宋体" w:hAnsi="宋体" w:cs="宋体"/>
                <w:b w:val="0"/>
                <w:color w:val="000000"/>
                <w:kern w:val="2"/>
                <w:sz w:val="24"/>
                <w:szCs w:val="24"/>
              </w:rPr>
              <w:t>教学提示提出可通过讨论“有争议的社会性议题”培养辩证看待问题与参与社会决策意识，并建议查阅相关法律法规、讨论食品安全等社会事件。</w:t>
            </w:r>
          </w:p>
        </w:tc>
      </w:tr>
      <w:tr w14:paraId="181CAE15">
        <w:tblPrEx>
          <w:tblBorders>
            <w:top w:val="none" w:color="auto" w:sz="0" w:space="0"/>
            <w:left w:val="none" w:color="auto" w:sz="4" w:space="0"/>
            <w:bottom w:val="none" w:color="auto" w:sz="0"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4" w:type="dxa"/>
            <w:tcBorders>
              <w:top w:val="nil"/>
              <w:left w:val="nil"/>
              <w:bottom w:val="single" w:color="000000" w:sz="12" w:space="0"/>
              <w:right w:val="nil"/>
            </w:tcBorders>
            <w:shd w:val="clear" w:color="auto" w:fill="FFFFFF"/>
            <w:tcMar>
              <w:top w:w="-1" w:type="dxa"/>
              <w:left w:w="-1" w:type="dxa"/>
              <w:bottom w:w="-1" w:type="dxa"/>
              <w:right w:w="-1" w:type="dxa"/>
            </w:tcMar>
            <w:vAlign w:val="center"/>
          </w:tcPr>
          <w:p w14:paraId="5A4BA566">
            <w:pPr>
              <w:pStyle w:val="23"/>
              <w:keepNext/>
              <w:keepLines w:val="0"/>
              <w:pageBreakBefore w:val="0"/>
              <w:widowControl w:val="0"/>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bCs/>
                <w:color w:val="000000"/>
                <w:kern w:val="2"/>
                <w:sz w:val="24"/>
                <w:szCs w:val="24"/>
              </w:rPr>
            </w:pPr>
            <w:r>
              <w:rPr>
                <w:rFonts w:hint="eastAsia" w:ascii="宋体" w:hAnsi="宋体" w:cs="宋体"/>
                <w:b/>
                <w:bCs/>
                <w:color w:val="000000"/>
                <w:kern w:val="2"/>
                <w:sz w:val="24"/>
                <w:szCs w:val="24"/>
              </w:rPr>
              <w:t>课堂落实方式</w:t>
            </w:r>
          </w:p>
        </w:tc>
        <w:tc>
          <w:tcPr>
            <w:tcW w:w="6924" w:type="dxa"/>
            <w:tcBorders>
              <w:top w:val="nil"/>
              <w:left w:val="nil"/>
              <w:bottom w:val="single" w:color="000000" w:sz="12" w:space="0"/>
              <w:right w:val="nil"/>
            </w:tcBorders>
            <w:shd w:val="clear" w:color="auto" w:fill="FFFFFF"/>
            <w:tcMar>
              <w:top w:w="-1" w:type="dxa"/>
              <w:left w:w="-1" w:type="dxa"/>
              <w:bottom w:w="-1" w:type="dxa"/>
              <w:right w:w="-1" w:type="dxa"/>
            </w:tcMar>
            <w:vAlign w:val="center"/>
          </w:tcPr>
          <w:p w14:paraId="23152248">
            <w:pPr>
              <w:pStyle w:val="23"/>
              <w:keepNext/>
              <w:keepLines w:val="0"/>
              <w:pageBreakBefore w:val="0"/>
              <w:widowControl w:val="0"/>
              <w:numPr>
                <w:ilvl w:val="0"/>
                <w:numId w:val="9"/>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ascii="宋体" w:hAnsi="宋体" w:cs="宋体"/>
                <w:b w:val="0"/>
                <w:color w:val="000000"/>
                <w:kern w:val="2"/>
                <w:sz w:val="24"/>
                <w:szCs w:val="24"/>
              </w:rPr>
              <w:t>明确指出“真实的STSE问题和化学史实等，都是有价值的情境素材”，可促使学生查阅文献、设计方案、实验探究。</w:t>
            </w:r>
          </w:p>
          <w:p w14:paraId="7CD0F107">
            <w:pPr>
              <w:pStyle w:val="23"/>
              <w:keepNext/>
              <w:keepLines w:val="0"/>
              <w:pageBreakBefore w:val="0"/>
              <w:widowControl w:val="0"/>
              <w:numPr>
                <w:ilvl w:val="0"/>
                <w:numId w:val="9"/>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ascii="宋体" w:hAnsi="宋体" w:cs="宋体"/>
                <w:b w:val="0"/>
                <w:color w:val="000000"/>
                <w:kern w:val="2"/>
                <w:sz w:val="24"/>
                <w:szCs w:val="24"/>
              </w:rPr>
              <w:t>强调通过多样化学习活动（小组合作、实验探究、讨论交流）完成真实情境下的问题解决。</w:t>
            </w:r>
          </w:p>
          <w:p w14:paraId="76BBA7AE">
            <w:pPr>
              <w:pStyle w:val="23"/>
              <w:keepNext/>
              <w:keepLines w:val="0"/>
              <w:pageBreakBefore w:val="0"/>
              <w:widowControl w:val="0"/>
              <w:numPr>
                <w:ilvl w:val="0"/>
                <w:numId w:val="9"/>
              </w:numPr>
              <w:kinsoku/>
              <w:wordWrap/>
              <w:overflowPunct/>
              <w:topLinePunct w:val="0"/>
              <w:autoSpaceDE/>
              <w:autoSpaceDN/>
              <w:bidi w:val="0"/>
              <w:adjustRightInd/>
              <w:snapToGrid w:val="0"/>
              <w:spacing w:line="400" w:lineRule="exact"/>
              <w:ind w:left="0" w:leftChars="0" w:right="0" w:rightChars="0" w:firstLine="0" w:firstLineChars="0"/>
              <w:jc w:val="left"/>
              <w:textAlignment w:val="auto"/>
              <w:rPr>
                <w:rFonts w:hint="eastAsia" w:ascii="宋体" w:hAnsi="宋体" w:cs="宋体"/>
                <w:b w:val="0"/>
                <w:color w:val="000000"/>
                <w:kern w:val="2"/>
                <w:sz w:val="24"/>
                <w:szCs w:val="24"/>
              </w:rPr>
            </w:pPr>
            <w:r>
              <w:rPr>
                <w:rFonts w:ascii="宋体" w:hAnsi="宋体" w:cs="宋体"/>
                <w:b w:val="0"/>
                <w:color w:val="000000"/>
                <w:kern w:val="2"/>
                <w:sz w:val="24"/>
                <w:szCs w:val="24"/>
              </w:rPr>
              <w:t>教学资源开发也强调配备与“科学、技术、社会、环境紧密联系”的化学读物等文本资源</w:t>
            </w:r>
            <w:r>
              <w:rPr>
                <w:rFonts w:hint="eastAsia" w:ascii="宋体" w:hAnsi="宋体" w:cs="宋体"/>
                <w:b w:val="0"/>
                <w:color w:val="000000"/>
                <w:kern w:val="2"/>
                <w:sz w:val="24"/>
                <w:szCs w:val="24"/>
              </w:rPr>
              <w:t>。</w:t>
            </w:r>
          </w:p>
        </w:tc>
      </w:tr>
    </w:tbl>
    <w:p w14:paraId="1F4F1673">
      <w:pPr>
        <w:pStyle w:val="5"/>
        <w:numPr>
          <w:ilvl w:val="1"/>
          <w:numId w:val="4"/>
        </w:numPr>
        <w:ind w:firstLine="0"/>
        <w:rPr>
          <w:rFonts w:hint="eastAsia"/>
        </w:rPr>
      </w:pPr>
      <w:r>
        <w:rPr>
          <w:rFonts w:hint="eastAsia"/>
        </w:rPr>
        <w:t>当前科学本质观教育面临的困境与挑战</w:t>
      </w:r>
    </w:p>
    <w:p w14:paraId="381D03CF">
      <w:pPr>
        <w:pStyle w:val="23"/>
        <w:widowControl w:val="0"/>
        <w:ind w:firstLine="460"/>
        <w:rPr>
          <w:rFonts w:hint="eastAsia" w:ascii="宋体" w:hAnsi="宋体" w:cs="宋体"/>
          <w:color w:val="000000"/>
          <w:kern w:val="2"/>
          <w:sz w:val="24"/>
          <w:szCs w:val="24"/>
        </w:rPr>
      </w:pPr>
      <w:r>
        <w:rPr>
          <w:rFonts w:ascii="宋体" w:hAnsi="宋体" w:cs="宋体"/>
          <w:color w:val="000000"/>
          <w:kern w:val="2"/>
          <w:sz w:val="24"/>
          <w:szCs w:val="24"/>
        </w:rPr>
        <w:t>新课程标准明确提出应“将化学史与科学本质教育相联系”，强调在教学中关注化学史素材所承载的探究过程与认识建构路径，例如“利用化学史从多个视角展现人类学者探索微观结构的过程，以此提升学生对科学本质的理解”。然而，尽管“科学本质观”（NOS）教育的重要性已在理论研究与课程文件中得到普遍认可，国内外在实际推进过程中仍面临显著的困境与挑战。</w:t>
      </w:r>
    </w:p>
    <w:p w14:paraId="4C27E15C">
      <w:pPr>
        <w:pStyle w:val="23"/>
        <w:widowControl w:val="0"/>
        <w:ind w:firstLine="460"/>
        <w:jc w:val="both"/>
        <w:rPr>
          <w:rFonts w:hint="eastAsia" w:ascii="宋体" w:hAnsi="宋体" w:cs="宋体"/>
          <w:color w:val="000000"/>
          <w:kern w:val="2"/>
          <w:sz w:val="24"/>
          <w:szCs w:val="24"/>
        </w:rPr>
      </w:pPr>
      <w:r>
        <w:rPr>
          <w:rFonts w:hint="eastAsia" w:ascii="宋体" w:hAnsi="宋体" w:cs="宋体"/>
          <w:sz w:val="24"/>
          <w:szCs w:val="24"/>
        </w:rPr>
        <w:t>首先，从科学本质观教育的理论依据层面分析，其面临的挑战在于课堂教学往往仅停留在对科学本质（NOS）观点的抽象阐释上，未能与化学知识形成过程中的证据推理、模型构建等相结合，进而致使教学缺乏明确的载体与支撑架构。</w:t>
      </w:r>
      <w:r>
        <w:rPr>
          <w:rFonts w:ascii="宋体" w:hAnsi="宋体" w:cs="宋体"/>
          <w:color w:val="000000"/>
          <w:kern w:val="2"/>
          <w:sz w:val="24"/>
          <w:szCs w:val="24"/>
        </w:rPr>
        <w:t>毕华林、刘冰等指出，科学本质的核心内涵植根于科学知识的历史生成与演进过程；若科学本质教学回避化学史与科学实践的真实脉络，课堂容易沦为抽象概念的空泛宣讲，难以形成可理解、可体验的学习支撑，因此利用化学史素材促进学生科学本质理解具有重要价值</w:t>
      </w:r>
      <w:r>
        <w:rPr>
          <w:rStyle w:val="22"/>
          <w:rFonts w:ascii="宋体" w:hAnsi="宋体" w:cs="宋体"/>
          <w:color w:val="000000"/>
          <w:kern w:val="2"/>
          <w:sz w:val="24"/>
          <w:szCs w:val="24"/>
        </w:rPr>
        <w:t>［</w:t>
      </w:r>
      <w:r>
        <w:rPr>
          <w:rStyle w:val="22"/>
          <w:rFonts w:ascii="宋体" w:hAnsi="宋体" w:cs="宋体"/>
          <w:color w:val="000000"/>
          <w:kern w:val="2"/>
          <w:sz w:val="24"/>
          <w:szCs w:val="24"/>
        </w:rPr>
        <w:footnoteReference w:id="1"/>
      </w:r>
      <w:r>
        <w:rPr>
          <w:rStyle w:val="22"/>
          <w:rFonts w:ascii="宋体" w:hAnsi="宋体" w:cs="宋体"/>
          <w:color w:val="000000"/>
          <w:kern w:val="2"/>
          <w:sz w:val="24"/>
          <w:szCs w:val="24"/>
        </w:rPr>
        <w:t>］</w:t>
      </w:r>
      <w:r>
        <w:rPr>
          <w:rFonts w:ascii="宋体" w:hAnsi="宋体" w:cs="宋体"/>
          <w:color w:val="000000"/>
          <w:kern w:val="2"/>
          <w:sz w:val="24"/>
          <w:szCs w:val="24"/>
        </w:rPr>
        <w:t>。</w:t>
      </w:r>
    </w:p>
    <w:p w14:paraId="30FD5300">
      <w:pPr>
        <w:pStyle w:val="23"/>
        <w:widowControl w:val="0"/>
        <w:ind w:firstLine="460"/>
        <w:rPr>
          <w:rFonts w:hint="eastAsia" w:ascii="宋体" w:hAnsi="宋体" w:cs="宋体"/>
          <w:color w:val="000000"/>
          <w:kern w:val="2"/>
          <w:sz w:val="24"/>
          <w:szCs w:val="24"/>
        </w:rPr>
      </w:pPr>
      <w:r>
        <w:rPr>
          <w:rFonts w:ascii="宋体" w:hAnsi="宋体" w:cs="宋体"/>
          <w:color w:val="000000"/>
          <w:kern w:val="2"/>
          <w:sz w:val="24"/>
          <w:szCs w:val="24"/>
        </w:rPr>
        <w:t xml:space="preserve">然而在课堂实施层面，挑战在于缺乏稳定有效的教学路径，教师常用“隐性渗透”代替“显性—反思”，使NOS学习难以真正发生。Abd-El-Khalick 与 Lederman </w:t>
      </w:r>
      <w:r>
        <w:rPr>
          <w:rFonts w:hint="eastAsia" w:ascii="宋体" w:hAnsi="宋体" w:cs="宋体"/>
          <w:color w:val="000000"/>
          <w:kern w:val="2"/>
          <w:sz w:val="24"/>
          <w:szCs w:val="24"/>
          <w:vertAlign w:val="superscript"/>
        </w:rPr>
        <w:t>［</w:t>
      </w:r>
      <w:r>
        <w:rPr>
          <w:rFonts w:hint="eastAsia" w:ascii="宋体" w:hAnsi="宋体" w:cs="宋体"/>
          <w:color w:val="000000"/>
          <w:kern w:val="2"/>
          <w:sz w:val="24"/>
          <w:szCs w:val="24"/>
          <w:vertAlign w:val="superscript"/>
        </w:rPr>
        <w:footnoteReference w:id="2"/>
      </w:r>
      <w:r>
        <w:rPr>
          <w:rFonts w:hint="eastAsia" w:ascii="宋体" w:hAnsi="宋体" w:cs="宋体"/>
          <w:color w:val="000000"/>
          <w:kern w:val="2"/>
          <w:sz w:val="24"/>
          <w:szCs w:val="24"/>
          <w:vertAlign w:val="superscript"/>
        </w:rPr>
        <w:t>］</w:t>
      </w:r>
      <w:r>
        <w:rPr>
          <w:rFonts w:ascii="宋体" w:hAnsi="宋体" w:cs="宋体"/>
          <w:color w:val="000000"/>
          <w:kern w:val="2"/>
          <w:sz w:val="24"/>
          <w:szCs w:val="24"/>
        </w:rPr>
        <w:t>在对相关研究进行批判性综述后指出，各学段科学教师普遍存在NOS认识不足的现象，部分教师仍持有较为朴素甚至片面的科学观，例如将科学知识视为绝对真理、忽视科学探究中的创造性与主观建构因素等，这将显著削弱NOS教学的显性引导与反思讨论质量。</w:t>
      </w:r>
    </w:p>
    <w:p w14:paraId="0165F2E8">
      <w:pPr>
        <w:pStyle w:val="23"/>
        <w:widowControl w:val="0"/>
        <w:ind w:firstLine="460"/>
        <w:rPr>
          <w:rFonts w:hint="eastAsia" w:ascii="宋体" w:hAnsi="宋体" w:cs="宋体"/>
          <w:color w:val="000000"/>
          <w:kern w:val="2"/>
          <w:sz w:val="24"/>
          <w:szCs w:val="24"/>
        </w:rPr>
      </w:pPr>
      <w:r>
        <w:rPr>
          <w:rFonts w:ascii="宋体" w:hAnsi="宋体" w:cs="宋体"/>
          <w:color w:val="000000"/>
          <w:kern w:val="2"/>
          <w:sz w:val="24"/>
          <w:szCs w:val="24"/>
        </w:rPr>
        <w:t>再次，从学生学习结果看，长期以来不同年龄段学生对科学本质的理解普遍存在误区，传统教学并未有效改善其对科学知识生成机制与科学实践特征的认识。</w:t>
      </w:r>
    </w:p>
    <w:p w14:paraId="3F2461D5">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 xml:space="preserve">最后，在课程资源支持层面，面临的挑战为可直接应用于课堂的高质量科学本质（NOS）素材与任务匮乏，致使教师处于“有意愿实施却缺乏材料、具备讲授能力但难以开展设计”的困境。 </w:t>
      </w:r>
      <w:r>
        <w:rPr>
          <w:rFonts w:ascii="宋体" w:hAnsi="宋体" w:cs="宋体"/>
          <w:color w:val="000000"/>
          <w:kern w:val="2"/>
          <w:sz w:val="24"/>
          <w:szCs w:val="24"/>
        </w:rPr>
        <w:t>Su、Jiang与Wei</w:t>
      </w:r>
      <w:r>
        <w:rPr>
          <w:rStyle w:val="22"/>
          <w:rFonts w:hint="eastAsia" w:ascii="宋体" w:hAnsi="宋体" w:cs="宋体"/>
          <w:color w:val="000000"/>
          <w:kern w:val="2"/>
          <w:sz w:val="24"/>
          <w:szCs w:val="24"/>
        </w:rPr>
        <w:footnoteReference w:id="3"/>
      </w:r>
      <w:r>
        <w:rPr>
          <w:rStyle w:val="22"/>
          <w:rFonts w:hint="eastAsia" w:ascii="宋体" w:hAnsi="宋体" w:cs="宋体"/>
          <w:vanish/>
          <w:color w:val="000000"/>
          <w:kern w:val="2"/>
          <w:sz w:val="24"/>
          <w:szCs w:val="24"/>
        </w:rPr>
        <w:footnoteReference w:id="4"/>
      </w:r>
      <w:r>
        <w:rPr>
          <w:rFonts w:ascii="宋体" w:hAnsi="宋体" w:cs="宋体"/>
          <w:color w:val="000000"/>
          <w:kern w:val="2"/>
          <w:sz w:val="24"/>
          <w:szCs w:val="24"/>
        </w:rPr>
        <w:t>对多国科学教材的系统综述表明：不论国家、学科或学段，教材中有关NOS的呈现总体不足且质量不高，这不仅限制了教师在课堂中开展科学本质显性教学的素材来源，也容易造成学生对科学本质形成碎片化乃至偏差性的理解。因此，如何在课程标准导向下，借助高质量的化学史与HPS素材，将NOS维度目标转化为可实施、可评价的课堂任务链与反思机制，已成为当前高中化学科学本质观教育亟需回应的关键问题。</w:t>
      </w:r>
    </w:p>
    <w:p w14:paraId="71CA0104">
      <w:pPr>
        <w:pStyle w:val="5"/>
        <w:numPr>
          <w:ilvl w:val="1"/>
          <w:numId w:val="4"/>
        </w:numPr>
        <w:ind w:firstLine="0"/>
        <w:rPr>
          <w:rFonts w:hint="eastAsia"/>
        </w:rPr>
      </w:pPr>
      <w:r>
        <w:rPr>
          <w:rFonts w:hint="eastAsia"/>
        </w:rPr>
        <w:t>HPS教学理念为科学本质观教育提供了的有效路径与策略框架</w:t>
      </w:r>
    </w:p>
    <w:p w14:paraId="6D95FD8C">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促进学生科学本质观发展的教学路径主要可归纳为两类：一类强调通过科学探究活动实现“在做中学”，属于以探究为核心的隐性渗透路径；另一类则聚焦对科学本质内涵的“显性—反思式”引导，通过明确的教学目标与反思性讨论，帮助学生将具体活动经验升华为对科学观念的理解，属于显性建构路径。在对比不同教学取向时，进一步研究发现，相较于仅依托探究活动的隐性方式，“显性—反思式”策略更能推动学生对科学本质关键维度形成稳定认知。更为重要的是，HPS教学理念能够有的放矢地回应当前科学本质观教育中存在的现实难题。</w:t>
      </w:r>
    </w:p>
    <w:p w14:paraId="2E2CD0E2">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首先，</w:t>
      </w:r>
      <w:r>
        <w:rPr>
          <w:rFonts w:hint="eastAsia" w:ascii="宋体" w:hAnsi="宋体" w:cs="宋体"/>
          <w:sz w:val="24"/>
          <w:szCs w:val="24"/>
        </w:rPr>
        <w:t>从科学本质观教育的理论依据层面进行分析，</w:t>
      </w:r>
      <w:r>
        <w:rPr>
          <w:rFonts w:hint="eastAsia" w:ascii="宋体" w:hAnsi="宋体" w:cs="宋体"/>
          <w:color w:val="000000"/>
          <w:kern w:val="2"/>
          <w:sz w:val="24"/>
          <w:szCs w:val="24"/>
        </w:rPr>
        <w:t>HPS教学理念把科学本质观的学习融入化学知识形成的脉络里，提供了清晰的教学载体与支撑框架。例如，在课程起始阶段引入相关的科学史故事，能够激发学生的兴趣，助力他们理解科学概念产生的背景以及科学探究的方法，提升对科学本质和科学家工作的认知。由此可见，HPS教学借助历史与探究的融合，让学生既能掌握化学知识，又能领悟科学本质，达成了“知识传授”与“价值引领”的同步推进。这种将科学本质观融入学科教学的策略，有效突破了传统NOS教学脱离学科内容、仅停留在抽象阐释的困境</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5"/>
      </w:r>
      <w:r>
        <w:rPr>
          <w:rStyle w:val="22"/>
          <w:rFonts w:hint="eastAsia" w:ascii="宋体" w:hAnsi="宋体" w:cs="宋体"/>
          <w:color w:val="000000"/>
          <w:kern w:val="2"/>
          <w:sz w:val="24"/>
          <w:szCs w:val="24"/>
        </w:rPr>
        <w:t>］</w:t>
      </w:r>
      <w:r>
        <w:rPr>
          <w:rFonts w:hint="eastAsia" w:ascii="宋体" w:hAnsi="宋体" w:cs="宋体"/>
          <w:color w:val="000000"/>
          <w:kern w:val="2"/>
          <w:sz w:val="24"/>
          <w:szCs w:val="24"/>
        </w:rPr>
        <w:t>。</w:t>
      </w:r>
    </w:p>
    <w:p w14:paraId="08562CAC">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其次，在教师层面，</w:t>
      </w:r>
      <w:r>
        <w:rPr>
          <w:rFonts w:ascii="宋体" w:hAnsi="宋体" w:cs="宋体"/>
          <w:color w:val="000000"/>
          <w:kern w:val="2"/>
          <w:sz w:val="24"/>
          <w:szCs w:val="24"/>
        </w:rPr>
        <w:t>Monk与Osborne（1997）</w:t>
      </w:r>
      <w:r>
        <w:rPr>
          <w:rFonts w:ascii="宋体" w:hAnsi="宋体" w:cs="宋体"/>
          <w:color w:val="000000"/>
          <w:kern w:val="2"/>
          <w:sz w:val="24"/>
          <w:szCs w:val="24"/>
          <w:vertAlign w:val="superscript"/>
        </w:rPr>
        <w:t>［</w:t>
      </w:r>
      <w:r>
        <w:rPr>
          <w:rFonts w:ascii="宋体" w:hAnsi="宋体" w:cs="宋体"/>
          <w:color w:val="000000"/>
          <w:kern w:val="2"/>
          <w:sz w:val="24"/>
          <w:szCs w:val="24"/>
          <w:vertAlign w:val="superscript"/>
        </w:rPr>
        <w:footnoteReference w:id="6"/>
      </w:r>
      <w:r>
        <w:rPr>
          <w:rFonts w:ascii="宋体" w:hAnsi="宋体" w:cs="宋体"/>
          <w:color w:val="000000"/>
          <w:kern w:val="2"/>
          <w:sz w:val="24"/>
          <w:szCs w:val="24"/>
          <w:vertAlign w:val="superscript"/>
        </w:rPr>
        <w:t>］</w:t>
      </w:r>
      <w:r>
        <w:rPr>
          <w:rFonts w:ascii="宋体" w:hAnsi="宋体" w:cs="宋体"/>
          <w:color w:val="000000"/>
          <w:kern w:val="2"/>
          <w:sz w:val="24"/>
          <w:szCs w:val="24"/>
        </w:rPr>
        <w:t>提出</w:t>
      </w:r>
      <w:r>
        <w:rPr>
          <w:rFonts w:hint="eastAsia" w:ascii="宋体" w:hAnsi="宋体" w:cs="宋体"/>
          <w:color w:val="000000"/>
          <w:kern w:val="2"/>
          <w:sz w:val="24"/>
          <w:szCs w:val="24"/>
        </w:rPr>
        <w:t>的HPS教学理念为一线教师提供了明确的教学思路和范式，有助于提升教师对科学本质观的认识水平和教学意识。当教师尝试将科学史料、哲学反思融入日常教学，他们自身对科学探究过程与本质属性的理解也随之加深，以HPS教学理念为核心的教师培养计划能够改善教师的科学观和教学观，使其更关注科学知识的形成过程和背后逻辑。</w:t>
      </w:r>
    </w:p>
    <w:p w14:paraId="6CFC694B">
      <w:pPr>
        <w:pStyle w:val="23"/>
        <w:widowControl w:val="0"/>
        <w:ind w:firstLine="460"/>
        <w:rPr>
          <w:rFonts w:hint="eastAsia" w:ascii="宋体" w:hAnsi="宋体" w:cs="宋体"/>
          <w:color w:val="000000"/>
          <w:kern w:val="2"/>
          <w:sz w:val="24"/>
          <w:szCs w:val="24"/>
        </w:rPr>
      </w:pPr>
      <w:r>
        <w:rPr>
          <w:rFonts w:ascii="宋体" w:hAnsi="宋体" w:cs="宋体"/>
          <w:color w:val="000000"/>
          <w:kern w:val="2"/>
          <w:sz w:val="24"/>
          <w:szCs w:val="24"/>
        </w:rPr>
        <w:t>再次，在学生学习层面，HPS教学针对学生理解偏差提供了纠偏机制。以往不少学生囿于教材呈现，形成了“科学结论即真理”的刻板印象，以及对科学探究过程的种种误解。HPS</w:t>
      </w:r>
      <w:r>
        <w:rPr>
          <w:rFonts w:hint="eastAsia" w:ascii="宋体" w:hAnsi="宋体" w:cs="宋体"/>
          <w:color w:val="000000"/>
          <w:kern w:val="2"/>
          <w:sz w:val="24"/>
          <w:szCs w:val="24"/>
        </w:rPr>
        <w:t>教学理念下的</w:t>
      </w:r>
      <w:r>
        <w:rPr>
          <w:rFonts w:ascii="宋体" w:hAnsi="宋体" w:cs="宋体"/>
          <w:color w:val="000000"/>
          <w:kern w:val="2"/>
          <w:sz w:val="24"/>
          <w:szCs w:val="24"/>
        </w:rPr>
        <w:t>课堂让学生亲历科学概念从提出到证实、从争论到修正的过程，反复体会证据与推理的重要作用</w:t>
      </w:r>
      <w:r>
        <w:rPr>
          <w:rFonts w:ascii="宋体" w:hAnsi="宋体" w:cs="宋体"/>
          <w:color w:val="000000"/>
          <w:kern w:val="2"/>
          <w:sz w:val="24"/>
          <w:szCs w:val="24"/>
          <w:vertAlign w:val="superscript"/>
        </w:rPr>
        <w:t>［</w:t>
      </w:r>
      <w:r>
        <w:rPr>
          <w:rFonts w:ascii="宋体" w:hAnsi="宋体" w:cs="宋体"/>
          <w:color w:val="000000"/>
          <w:kern w:val="2"/>
          <w:sz w:val="24"/>
          <w:szCs w:val="24"/>
          <w:vertAlign w:val="superscript"/>
        </w:rPr>
        <w:footnoteReference w:id="7"/>
      </w:r>
      <w:r>
        <w:rPr>
          <w:rFonts w:ascii="宋体" w:hAnsi="宋体" w:cs="宋体"/>
          <w:color w:val="000000"/>
          <w:kern w:val="2"/>
          <w:sz w:val="24"/>
          <w:szCs w:val="24"/>
          <w:vertAlign w:val="superscript"/>
        </w:rPr>
        <w:t>］</w:t>
      </w:r>
      <w:r>
        <w:rPr>
          <w:rFonts w:ascii="宋体" w:hAnsi="宋体" w:cs="宋体"/>
          <w:color w:val="000000"/>
          <w:kern w:val="2"/>
          <w:sz w:val="24"/>
          <w:szCs w:val="24"/>
        </w:rPr>
        <w:t>。</w:t>
      </w:r>
      <w:r>
        <w:rPr>
          <w:rFonts w:hint="eastAsia" w:ascii="宋体" w:hAnsi="宋体" w:cs="宋体"/>
          <w:color w:val="000000"/>
          <w:kern w:val="2"/>
          <w:sz w:val="24"/>
          <w:szCs w:val="24"/>
        </w:rPr>
        <w:t>无独有偶，</w:t>
      </w:r>
      <w:r>
        <w:rPr>
          <w:rFonts w:ascii="宋体" w:hAnsi="宋体" w:cs="宋体"/>
          <w:color w:val="000000"/>
          <w:kern w:val="2"/>
          <w:sz w:val="24"/>
          <w:szCs w:val="24"/>
        </w:rPr>
        <w:t>Allchin（2013）</w:t>
      </w:r>
      <w:r>
        <w:rPr>
          <w:rFonts w:hint="eastAsia" w:ascii="宋体" w:hAnsi="宋体" w:cs="宋体"/>
          <w:color w:val="000000"/>
          <w:kern w:val="2"/>
          <w:sz w:val="24"/>
          <w:szCs w:val="24"/>
        </w:rPr>
        <w:t>也</w:t>
      </w:r>
      <w:r>
        <w:rPr>
          <w:rFonts w:ascii="宋体" w:hAnsi="宋体" w:cs="宋体"/>
          <w:color w:val="000000"/>
          <w:kern w:val="2"/>
          <w:sz w:val="24"/>
          <w:szCs w:val="24"/>
        </w:rPr>
        <w:t>强调以高质量的历史案例与证据链叙事</w:t>
      </w:r>
      <w:r>
        <w:rPr>
          <w:rFonts w:hint="eastAsia" w:ascii="宋体" w:hAnsi="宋体" w:cs="宋体"/>
          <w:color w:val="000000"/>
          <w:kern w:val="2"/>
          <w:sz w:val="24"/>
          <w:szCs w:val="24"/>
        </w:rPr>
        <w:t>为</w:t>
      </w:r>
      <w:r>
        <w:rPr>
          <w:rFonts w:ascii="宋体" w:hAnsi="宋体" w:cs="宋体"/>
          <w:color w:val="000000"/>
          <w:kern w:val="2"/>
          <w:sz w:val="24"/>
          <w:szCs w:val="24"/>
        </w:rPr>
        <w:t>载体，引导学生</w:t>
      </w:r>
      <w:r>
        <w:rPr>
          <w:rFonts w:hint="eastAsia" w:ascii="宋体" w:hAnsi="宋体" w:cs="宋体"/>
          <w:color w:val="000000"/>
          <w:kern w:val="2"/>
          <w:sz w:val="24"/>
          <w:szCs w:val="24"/>
        </w:rPr>
        <w:t>掌握</w:t>
      </w:r>
      <w:r>
        <w:rPr>
          <w:rFonts w:ascii="宋体" w:hAnsi="宋体" w:cs="宋体"/>
          <w:color w:val="000000"/>
          <w:kern w:val="2"/>
          <w:sz w:val="24"/>
          <w:szCs w:val="24"/>
        </w:rPr>
        <w:t>“如何判断科学知识何以可信”的核心能力，推动科学本质教育从抽象概念</w:t>
      </w:r>
      <w:r>
        <w:rPr>
          <w:rFonts w:hint="eastAsia" w:ascii="宋体" w:hAnsi="宋体" w:cs="宋体"/>
          <w:color w:val="000000"/>
          <w:kern w:val="2"/>
          <w:sz w:val="24"/>
          <w:szCs w:val="24"/>
        </w:rPr>
        <w:t>转化为</w:t>
      </w:r>
      <w:r>
        <w:rPr>
          <w:rFonts w:ascii="宋体" w:hAnsi="宋体" w:cs="宋体"/>
          <w:color w:val="000000"/>
          <w:kern w:val="2"/>
          <w:sz w:val="24"/>
          <w:szCs w:val="24"/>
        </w:rPr>
        <w:t>可分析、可讨论的课堂任务</w:t>
      </w:r>
      <w:r>
        <w:rPr>
          <w:rFonts w:ascii="宋体" w:hAnsi="宋体" w:cs="宋体"/>
          <w:color w:val="000000"/>
          <w:kern w:val="2"/>
          <w:sz w:val="24"/>
          <w:szCs w:val="24"/>
          <w:vertAlign w:val="superscript"/>
        </w:rPr>
        <w:t>［</w:t>
      </w:r>
      <w:r>
        <w:rPr>
          <w:rFonts w:ascii="宋体" w:hAnsi="宋体" w:cs="宋体"/>
          <w:color w:val="000000"/>
          <w:kern w:val="2"/>
          <w:sz w:val="24"/>
          <w:szCs w:val="24"/>
          <w:vertAlign w:val="superscript"/>
        </w:rPr>
        <w:footnoteReference w:id="8"/>
      </w:r>
      <w:r>
        <w:rPr>
          <w:rFonts w:ascii="宋体" w:hAnsi="宋体" w:cs="宋体"/>
          <w:color w:val="000000"/>
          <w:kern w:val="2"/>
          <w:sz w:val="24"/>
          <w:szCs w:val="24"/>
          <w:vertAlign w:val="superscript"/>
        </w:rPr>
        <w:t>］</w:t>
      </w:r>
      <w:r>
        <w:rPr>
          <w:rFonts w:ascii="宋体" w:hAnsi="宋体" w:cs="宋体"/>
          <w:color w:val="000000"/>
          <w:kern w:val="2"/>
          <w:sz w:val="24"/>
          <w:szCs w:val="24"/>
        </w:rPr>
        <w:t>。</w:t>
      </w:r>
    </w:p>
    <w:p w14:paraId="2A6065E6">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最后，在课程资源方面，HPS教学理念为缓解教师缺乏高质量NOS教学素材的难题提供了可行途径。该理念鼓励利用丰富的科学史案例和哲学探讨作为教学资源，使科学本质观教育有了直接可用的内容载体</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9"/>
      </w:r>
      <w:r>
        <w:rPr>
          <w:rStyle w:val="22"/>
          <w:rFonts w:hint="eastAsia" w:ascii="宋体" w:hAnsi="宋体" w:cs="宋体"/>
          <w:color w:val="000000"/>
          <w:kern w:val="2"/>
          <w:sz w:val="24"/>
          <w:szCs w:val="24"/>
        </w:rPr>
        <w:t>］</w:t>
      </w:r>
      <w:r>
        <w:rPr>
          <w:rFonts w:hint="eastAsia" w:ascii="宋体" w:hAnsi="宋体" w:cs="宋体"/>
          <w:color w:val="000000"/>
          <w:kern w:val="2"/>
          <w:sz w:val="24"/>
          <w:szCs w:val="24"/>
        </w:rPr>
        <w:t>。通过优质案例资源的共享应用和教师教学素养的提升训练，HPS教学理念为一线教师提供了有力支撑，使其能够更自信地设计和组织体现科学本质观的有效课堂教学。</w:t>
      </w:r>
    </w:p>
    <w:p w14:paraId="4F31E193">
      <w:pPr>
        <w:pStyle w:val="23"/>
        <w:widowControl w:val="0"/>
        <w:ind w:firstLine="460"/>
        <w:rPr>
          <w:rFonts w:hint="eastAsia" w:ascii="宋体" w:hAnsi="宋体" w:cs="宋体"/>
          <w:color w:val="000000"/>
          <w:kern w:val="2"/>
          <w:sz w:val="24"/>
          <w:szCs w:val="24"/>
        </w:rPr>
      </w:pPr>
      <w:r>
        <w:rPr>
          <w:rFonts w:ascii="宋体" w:hAnsi="宋体" w:cs="宋体"/>
          <w:color w:val="000000"/>
          <w:kern w:val="2"/>
          <w:sz w:val="24"/>
          <w:szCs w:val="24"/>
        </w:rPr>
        <w:t>综上所述，HPS教学理念通过融合科学史实、哲学探究与社会情境，不仅为科学本质观教育提供了行之有效的实施路径，更切实回应了当前高中化学科学本质观培养中教师认知不足、教材缺位、学生误解等困境。基于以上分析，笔者决定以</w:t>
      </w:r>
      <w:r>
        <w:rPr>
          <w:rFonts w:hint="eastAsia" w:ascii="宋体" w:hAnsi="宋体" w:cs="宋体"/>
          <w:color w:val="000000"/>
          <w:kern w:val="2"/>
          <w:sz w:val="24"/>
          <w:szCs w:val="24"/>
        </w:rPr>
        <w:t>“</w:t>
      </w:r>
      <w:r>
        <w:rPr>
          <w:rFonts w:ascii="宋体" w:hAnsi="宋体" w:cs="宋体"/>
          <w:color w:val="000000"/>
          <w:kern w:val="2"/>
          <w:sz w:val="24"/>
          <w:szCs w:val="24"/>
        </w:rPr>
        <w:t>HPS教学理念下高中化学科学本质观教学设计研究</w:t>
      </w:r>
      <w:r>
        <w:rPr>
          <w:rFonts w:hint="eastAsia" w:ascii="宋体" w:hAnsi="宋体" w:cs="宋体"/>
          <w:color w:val="000000"/>
          <w:kern w:val="2"/>
          <w:sz w:val="24"/>
          <w:szCs w:val="24"/>
        </w:rPr>
        <w:t>”</w:t>
      </w:r>
      <w:r>
        <w:rPr>
          <w:rFonts w:ascii="宋体" w:hAnsi="宋体" w:cs="宋体"/>
          <w:color w:val="000000"/>
          <w:kern w:val="2"/>
          <w:sz w:val="24"/>
          <w:szCs w:val="24"/>
        </w:rPr>
        <w:t>作为硕士论文课题展开研究。一期将依据课标与文献梳理科学本质观关键维度，开展师生现状调查，诊断学生薄弱点与教师实施困难，形成指向NOS维度的HPS教学设计框架及测评工具初稿。二期采用行动研究开展教学验证：围绕典型化学史案例开发问题链与活动任务单，在真实课堂中经历“计划—行动—观察—反思”</w:t>
      </w:r>
      <w:r>
        <w:rPr>
          <w:rFonts w:hint="eastAsia" w:ascii="宋体" w:hAnsi="宋体" w:cs="宋体"/>
          <w:color w:val="000000"/>
          <w:kern w:val="2"/>
          <w:sz w:val="24"/>
          <w:szCs w:val="24"/>
        </w:rPr>
        <w:t>过程</w:t>
      </w:r>
      <w:r>
        <w:rPr>
          <w:rFonts w:ascii="宋体" w:hAnsi="宋体" w:cs="宋体"/>
          <w:color w:val="000000"/>
          <w:kern w:val="2"/>
          <w:sz w:val="24"/>
          <w:szCs w:val="24"/>
        </w:rPr>
        <w:t>，并结合前后测、课堂观察与学习产出等多源证据评估效果，迭代完善测评工具与教学方案，最终形成可复制的课例与实施建议，为高中化学科学本质观教育落地提供实证支持。</w:t>
      </w:r>
    </w:p>
    <w:p w14:paraId="47A7A702">
      <w:pPr>
        <w:pStyle w:val="2"/>
        <w:numPr>
          <w:ilvl w:val="1"/>
          <w:numId w:val="3"/>
        </w:numPr>
        <w:jc w:val="center"/>
        <w:rPr>
          <w:rFonts w:hint="eastAsia"/>
        </w:rPr>
      </w:pPr>
      <w:r>
        <w:rPr>
          <w:rFonts w:hint="eastAsia"/>
        </w:rPr>
        <w:t>研究目的与意义</w:t>
      </w:r>
    </w:p>
    <w:p w14:paraId="05BED311">
      <w:pPr>
        <w:pStyle w:val="24"/>
        <w:keepNext/>
        <w:keepLines/>
        <w:widowControl w:val="0"/>
        <w:numPr>
          <w:ilvl w:val="1"/>
          <w:numId w:val="10"/>
        </w:numPr>
        <w:spacing w:beforeAutospacing="1" w:afterAutospacing="1"/>
        <w:ind w:firstLineChars="0"/>
        <w:outlineLvl w:val="2"/>
        <w:rPr>
          <w:rFonts w:hint="eastAsia" w:ascii="黑体" w:hAnsi="黑体" w:eastAsia="黑体"/>
          <w:vanish/>
          <w:spacing w:val="0"/>
          <w:szCs w:val="27"/>
        </w:rPr>
      </w:pPr>
    </w:p>
    <w:p w14:paraId="04B3F6C4">
      <w:pPr>
        <w:pStyle w:val="5"/>
        <w:numPr>
          <w:ilvl w:val="1"/>
          <w:numId w:val="11"/>
        </w:numPr>
        <w:ind w:firstLine="0"/>
        <w:rPr>
          <w:rFonts w:hint="eastAsia"/>
        </w:rPr>
      </w:pPr>
      <w:r>
        <w:rPr>
          <w:rFonts w:hint="eastAsia"/>
        </w:rPr>
        <w:t>研究目的</w:t>
      </w:r>
    </w:p>
    <w:p w14:paraId="070E6A8A">
      <w:pPr>
        <w:pStyle w:val="23"/>
        <w:widowControl w:val="0"/>
        <w:ind w:firstLine="460"/>
        <w:rPr>
          <w:rFonts w:hint="eastAsia" w:ascii="宋体" w:hAnsi="宋体" w:cs="宋体"/>
          <w:color w:val="000000"/>
          <w:kern w:val="2"/>
          <w:sz w:val="24"/>
          <w:szCs w:val="24"/>
        </w:rPr>
      </w:pPr>
      <w:r>
        <w:rPr>
          <w:rFonts w:ascii="宋体" w:hAnsi="宋体" w:cs="宋体"/>
          <w:color w:val="000000"/>
          <w:kern w:val="2"/>
          <w:sz w:val="24"/>
          <w:szCs w:val="24"/>
        </w:rPr>
        <w:t>在新一轮课程改革与《普通高中化学课程标准（2017年版2020年修订）》的导向下，高中化学教学不仅要促进学生掌握核心知识，更应推动其形成科学本质观，理解科学知识的生成机制与科学实践的基本特征。然而，现有教学中科学本质观目标常停留在理念层面，课堂实施缺少可操作的任务链与评价证据。鉴于HPS教学理念能够通过科学史情境、证据推理与反思讨论，将科学本质观的关键维度显性化并嵌入学科教学过程，本研究拟以“HPS教学理念下高中化学科学本质观教学设计”为主题，构建并验证可落地的教学路径。</w:t>
      </w:r>
    </w:p>
    <w:p w14:paraId="4F19DF7D">
      <w:pPr>
        <w:pStyle w:val="23"/>
        <w:widowControl w:val="0"/>
        <w:ind w:firstLine="460"/>
        <w:rPr>
          <w:rFonts w:hint="eastAsia" w:ascii="宋体" w:hAnsi="宋体" w:cs="宋体"/>
          <w:color w:val="000000"/>
          <w:kern w:val="2"/>
          <w:sz w:val="24"/>
          <w:szCs w:val="24"/>
        </w:rPr>
      </w:pPr>
      <w:r>
        <w:rPr>
          <w:rFonts w:ascii="宋体" w:hAnsi="宋体" w:cs="宋体"/>
          <w:color w:val="000000"/>
          <w:kern w:val="2"/>
          <w:sz w:val="24"/>
          <w:szCs w:val="24"/>
        </w:rPr>
        <w:t>本研究旨</w:t>
      </w:r>
      <w:r>
        <w:rPr>
          <w:rFonts w:hint="eastAsia" w:ascii="宋体" w:hAnsi="宋体" w:cs="宋体"/>
          <w:color w:val="000000"/>
          <w:kern w:val="2"/>
          <w:sz w:val="24"/>
          <w:szCs w:val="24"/>
        </w:rPr>
        <w:t>在HPS理念的指导下</w:t>
      </w:r>
      <w:r>
        <w:rPr>
          <w:rFonts w:ascii="宋体" w:hAnsi="宋体" w:cs="宋体"/>
          <w:color w:val="000000"/>
          <w:kern w:val="2"/>
          <w:sz w:val="24"/>
          <w:szCs w:val="24"/>
        </w:rPr>
        <w:t>在通过文献分析、现状调查与行动研究相结合，解决以下问题：</w:t>
      </w:r>
    </w:p>
    <w:p w14:paraId="2E9F9075">
      <w:pPr>
        <w:pStyle w:val="23"/>
        <w:widowControl w:val="0"/>
        <w:numPr>
          <w:ilvl w:val="0"/>
          <w:numId w:val="12"/>
        </w:numPr>
        <w:ind w:firstLine="460"/>
        <w:rPr>
          <w:rFonts w:hint="eastAsia" w:ascii="宋体" w:hAnsi="宋体" w:cs="宋体"/>
          <w:color w:val="000000"/>
          <w:kern w:val="2"/>
          <w:sz w:val="24"/>
          <w:szCs w:val="24"/>
        </w:rPr>
      </w:pPr>
      <w:r>
        <w:rPr>
          <w:rFonts w:ascii="宋体" w:hAnsi="宋体" w:cs="宋体"/>
          <w:color w:val="000000"/>
          <w:kern w:val="2"/>
          <w:sz w:val="24"/>
          <w:szCs w:val="24"/>
        </w:rPr>
        <w:t>高中生科学本质观发展现状如何？其关键维度上存在哪些典型薄弱点？</w:t>
      </w:r>
    </w:p>
    <w:p w14:paraId="3A75AE5F">
      <w:pPr>
        <w:pStyle w:val="23"/>
        <w:widowControl w:val="0"/>
        <w:numPr>
          <w:ilvl w:val="0"/>
          <w:numId w:val="12"/>
        </w:numPr>
        <w:ind w:firstLine="460"/>
        <w:rPr>
          <w:rFonts w:hint="eastAsia" w:ascii="宋体" w:hAnsi="宋体" w:cs="宋体"/>
          <w:color w:val="000000"/>
          <w:kern w:val="2"/>
          <w:sz w:val="24"/>
          <w:szCs w:val="24"/>
        </w:rPr>
      </w:pPr>
      <w:r>
        <w:rPr>
          <w:rFonts w:ascii="宋体" w:hAnsi="宋体" w:cs="宋体"/>
          <w:color w:val="000000"/>
          <w:kern w:val="2"/>
          <w:sz w:val="24"/>
          <w:szCs w:val="24"/>
        </w:rPr>
        <w:t>一线化学教师对HPS教学理念和科学本质观的理解与</w:t>
      </w:r>
      <w:r>
        <w:rPr>
          <w:rFonts w:hint="eastAsia" w:ascii="宋体" w:hAnsi="宋体" w:cs="宋体"/>
          <w:color w:val="000000"/>
          <w:kern w:val="2"/>
          <w:sz w:val="24"/>
          <w:szCs w:val="24"/>
        </w:rPr>
        <w:t>应用</w:t>
      </w:r>
      <w:r>
        <w:rPr>
          <w:rFonts w:ascii="宋体" w:hAnsi="宋体" w:cs="宋体"/>
          <w:color w:val="000000"/>
          <w:kern w:val="2"/>
          <w:sz w:val="24"/>
          <w:szCs w:val="24"/>
        </w:rPr>
        <w:t>情况如何？在课堂教学实施</w:t>
      </w:r>
      <w:r>
        <w:rPr>
          <w:rFonts w:hint="eastAsia" w:ascii="宋体" w:hAnsi="宋体" w:cs="宋体"/>
          <w:color w:val="000000"/>
          <w:kern w:val="2"/>
          <w:sz w:val="24"/>
          <w:szCs w:val="24"/>
        </w:rPr>
        <w:t>过程中</w:t>
      </w:r>
      <w:r>
        <w:rPr>
          <w:rFonts w:ascii="宋体" w:hAnsi="宋体" w:cs="宋体"/>
          <w:color w:val="000000"/>
          <w:kern w:val="2"/>
          <w:sz w:val="24"/>
          <w:szCs w:val="24"/>
        </w:rPr>
        <w:t>又面临哪些具体</w:t>
      </w:r>
      <w:r>
        <w:rPr>
          <w:rFonts w:hint="eastAsia" w:ascii="宋体" w:hAnsi="宋体" w:cs="宋体"/>
          <w:color w:val="000000"/>
          <w:kern w:val="2"/>
          <w:sz w:val="24"/>
          <w:szCs w:val="24"/>
        </w:rPr>
        <w:t>的</w:t>
      </w:r>
      <w:r>
        <w:rPr>
          <w:rFonts w:ascii="宋体" w:hAnsi="宋体" w:cs="宋体"/>
          <w:color w:val="000000"/>
          <w:kern w:val="2"/>
          <w:sz w:val="24"/>
          <w:szCs w:val="24"/>
        </w:rPr>
        <w:t>困难与需求？</w:t>
      </w:r>
    </w:p>
    <w:p w14:paraId="4FAF527F">
      <w:pPr>
        <w:pStyle w:val="23"/>
        <w:widowControl w:val="0"/>
        <w:numPr>
          <w:ilvl w:val="0"/>
          <w:numId w:val="12"/>
        </w:numPr>
        <w:ind w:firstLine="460"/>
        <w:rPr>
          <w:rFonts w:hint="eastAsia" w:ascii="宋体" w:hAnsi="宋体" w:cs="宋体"/>
          <w:color w:val="000000"/>
          <w:kern w:val="2"/>
          <w:sz w:val="24"/>
          <w:szCs w:val="24"/>
        </w:rPr>
      </w:pPr>
      <w:r>
        <w:rPr>
          <w:rFonts w:ascii="宋体" w:hAnsi="宋体" w:cs="宋体"/>
          <w:color w:val="000000"/>
          <w:kern w:val="2"/>
          <w:sz w:val="24"/>
          <w:szCs w:val="24"/>
        </w:rPr>
        <w:t>基于课标要求与HPS教学理念，如何构建指向科学本质观关键维度的高中化学教学设计，并形成相应的课例与活动支架？</w:t>
      </w:r>
    </w:p>
    <w:p w14:paraId="13FC9FC4">
      <w:pPr>
        <w:pStyle w:val="23"/>
        <w:widowControl w:val="0"/>
        <w:numPr>
          <w:ilvl w:val="0"/>
          <w:numId w:val="12"/>
        </w:numPr>
        <w:ind w:firstLine="460"/>
        <w:rPr>
          <w:rFonts w:hint="eastAsia" w:ascii="宋体" w:hAnsi="宋体" w:cs="宋体"/>
          <w:color w:val="000000"/>
          <w:kern w:val="2"/>
          <w:sz w:val="24"/>
          <w:szCs w:val="24"/>
        </w:rPr>
      </w:pPr>
      <w:r>
        <w:rPr>
          <w:rFonts w:ascii="宋体" w:hAnsi="宋体" w:cs="宋体"/>
          <w:color w:val="000000"/>
          <w:kern w:val="2"/>
          <w:sz w:val="24"/>
          <w:szCs w:val="24"/>
        </w:rPr>
        <w:t>通过行动研究开展课堂实践，将教学设计应用于实际教学后，该方案对学生科学本质观发展的促进效果如何？应通过哪些证据来验证其有效性？研究结果又为优化教学设计指明了哪些改进方向？</w:t>
      </w:r>
    </w:p>
    <w:p w14:paraId="5D89DC92">
      <w:pPr>
        <w:pStyle w:val="23"/>
        <w:widowControl w:val="0"/>
        <w:ind w:firstLine="460"/>
        <w:rPr>
          <w:rFonts w:hint="eastAsia" w:ascii="宋体" w:hAnsi="宋体" w:cs="宋体"/>
          <w:color w:val="000000"/>
          <w:kern w:val="2"/>
          <w:sz w:val="24"/>
          <w:szCs w:val="24"/>
        </w:rPr>
      </w:pPr>
      <w:r>
        <w:rPr>
          <w:rFonts w:ascii="宋体" w:hAnsi="宋体" w:cs="宋体"/>
          <w:color w:val="000000"/>
          <w:kern w:val="2"/>
          <w:sz w:val="24"/>
          <w:szCs w:val="24"/>
        </w:rPr>
        <w:t>通过上述研究，期望形成可复制的教学设计框架、课例资源与评价证据，为高中化学科学本质观教育的有效落地提供实证支持与实践参考。</w:t>
      </w:r>
    </w:p>
    <w:p w14:paraId="0CDFB9FD">
      <w:pPr>
        <w:pStyle w:val="5"/>
        <w:numPr>
          <w:ilvl w:val="1"/>
          <w:numId w:val="11"/>
        </w:numPr>
        <w:ind w:firstLine="0"/>
        <w:rPr>
          <w:rFonts w:hint="eastAsia"/>
        </w:rPr>
      </w:pPr>
      <w:r>
        <w:rPr>
          <w:rFonts w:hint="eastAsia"/>
        </w:rPr>
        <w:t>研究意义</w:t>
      </w:r>
    </w:p>
    <w:p w14:paraId="7DEED66E">
      <w:pPr>
        <w:pStyle w:val="6"/>
        <w:widowControl w:val="0"/>
        <w:numPr>
          <w:ilvl w:val="2"/>
          <w:numId w:val="11"/>
        </w:numPr>
        <w:tabs>
          <w:tab w:val="left" w:pos="0"/>
        </w:tabs>
        <w:spacing w:before="100" w:after="100" w:line="312" w:lineRule="auto"/>
        <w:ind w:left="0" w:leftChars="0" w:firstLine="402" w:firstLineChars="0"/>
        <w:rPr>
          <w:rFonts w:hint="default" w:ascii="Times New Roman" w:hAnsi="Times New Roman" w:eastAsia="黑体"/>
          <w:b w:val="0"/>
          <w:bCs w:val="0"/>
          <w:spacing w:val="0"/>
          <w:kern w:val="28"/>
          <w:sz w:val="24"/>
          <w:szCs w:val="24"/>
        </w:rPr>
      </w:pPr>
      <w:bookmarkStart w:id="1" w:name="_Toc86127700"/>
      <w:bookmarkEnd w:id="1"/>
      <w:bookmarkStart w:id="2" w:name="_Toc533927477"/>
      <w:bookmarkEnd w:id="2"/>
      <w:r>
        <w:rPr>
          <w:rFonts w:ascii="黑体" w:hAnsi="黑体" w:eastAsia="黑体"/>
          <w:b w:val="0"/>
          <w:bCs w:val="0"/>
          <w:spacing w:val="0"/>
          <w:sz w:val="24"/>
        </w:rPr>
        <w:t>理论意义</w:t>
      </w:r>
    </w:p>
    <w:p w14:paraId="4EA52AA7">
      <w:pPr>
        <w:pStyle w:val="23"/>
        <w:widowControl w:val="0"/>
        <w:ind w:firstLine="460"/>
      </w:pPr>
      <w:r>
        <w:rPr>
          <w:rFonts w:hint="eastAsia" w:ascii="宋体" w:hAnsi="宋体" w:cs="宋体"/>
          <w:color w:val="000000"/>
          <w:kern w:val="2"/>
          <w:sz w:val="24"/>
          <w:szCs w:val="24"/>
        </w:rPr>
        <w:t xml:space="preserve">首先，本研究契合当下科学教育改革的要求，将科学本质观引入高中化学教学设计之中。该研究聚焦于化学知识的生成进程与发展脉络，而非仅仅局限于知识本身，这有助于学生明晰科学知识的起源与发展，加深对化学科学本质的认知。同时，通过将科学史、科学哲学等内容融入化学课堂教学，本研究拓展了现有HPS教学理念在高中化学领域的应用范畴。以具体的教学设计为依托，本研究着重强调化学知识背后的历史演变和哲学思辨，弥补了传统化学教学内容的缺陷。由此，本研究构建了基于HPS理念的科学本质观教学设计框架，为化学学科融入科学本质教育提供了全新思路，也为相关理论研究提供了参考依据。 </w:t>
      </w:r>
    </w:p>
    <w:p w14:paraId="316229B4">
      <w:pPr>
        <w:pStyle w:val="23"/>
        <w:widowControl w:val="0"/>
        <w:ind w:firstLine="460"/>
        <w:rPr>
          <w:rFonts w:hint="eastAsia" w:ascii="宋体" w:hAnsi="宋体" w:cs="宋体"/>
          <w:color w:val="000000"/>
          <w:kern w:val="2"/>
          <w:sz w:val="24"/>
          <w:szCs w:val="24"/>
        </w:rPr>
      </w:pPr>
      <w:r>
        <w:rPr>
          <w:rFonts w:ascii="宋体" w:hAnsi="宋体" w:cs="宋体"/>
          <w:color w:val="000000"/>
          <w:kern w:val="2"/>
          <w:sz w:val="24"/>
          <w:szCs w:val="24"/>
        </w:rPr>
        <w:t>其次，本研究在理论上拓展了HPS教学理念在科学教育中的作用。HP</w:t>
      </w:r>
      <w:r>
        <w:rPr>
          <w:rFonts w:hint="eastAsia" w:ascii="宋体" w:hAnsi="宋体" w:cs="宋体"/>
          <w:color w:val="000000"/>
          <w:kern w:val="2"/>
          <w:sz w:val="24"/>
          <w:szCs w:val="24"/>
        </w:rPr>
        <w:t>S</w:t>
      </w:r>
      <w:r>
        <w:rPr>
          <w:rFonts w:ascii="宋体" w:hAnsi="宋体" w:cs="宋体"/>
          <w:color w:val="000000"/>
          <w:kern w:val="2"/>
          <w:sz w:val="24"/>
          <w:szCs w:val="24"/>
        </w:rPr>
        <w:t>教学理念将科学史、科学哲学和科学社会学融入课程，是促进学生理解科学本质的重要教育范式</w:t>
      </w:r>
      <w:r>
        <w:rPr>
          <w:rStyle w:val="22"/>
          <w:rFonts w:ascii="宋体" w:hAnsi="宋体" w:cs="宋体"/>
          <w:color w:val="000000"/>
          <w:kern w:val="2"/>
          <w:sz w:val="24"/>
          <w:szCs w:val="24"/>
        </w:rPr>
        <w:t>［</w:t>
      </w:r>
      <w:r>
        <w:rPr>
          <w:rStyle w:val="22"/>
          <w:rFonts w:ascii="宋体" w:hAnsi="宋体" w:cs="宋体"/>
          <w:color w:val="000000"/>
          <w:kern w:val="2"/>
          <w:sz w:val="24"/>
          <w:szCs w:val="24"/>
        </w:rPr>
        <w:footnoteReference w:id="10"/>
      </w:r>
      <w:r>
        <w:rPr>
          <w:rStyle w:val="22"/>
          <w:rFonts w:ascii="宋体" w:hAnsi="宋体" w:cs="宋体"/>
          <w:color w:val="000000"/>
          <w:kern w:val="2"/>
          <w:sz w:val="24"/>
          <w:szCs w:val="24"/>
        </w:rPr>
        <w:t>］</w:t>
      </w:r>
      <w:r>
        <w:rPr>
          <w:rFonts w:hint="eastAsia" w:ascii="宋体" w:hAnsi="宋体" w:cs="宋体"/>
          <w:color w:val="000000"/>
          <w:kern w:val="2"/>
          <w:sz w:val="24"/>
          <w:szCs w:val="24"/>
        </w:rPr>
        <w:t>。已有研究表明，将HPS内容融入科学教育能够有效培养学生的科学本质观以及HPS与学科教学的融合被视为培养学生科学素养的重要路径</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11"/>
      </w:r>
      <w:r>
        <w:rPr>
          <w:rStyle w:val="22"/>
          <w:rFonts w:hint="eastAsia" w:ascii="宋体" w:hAnsi="宋体" w:cs="宋体"/>
          <w:color w:val="000000"/>
          <w:kern w:val="2"/>
          <w:sz w:val="24"/>
          <w:szCs w:val="24"/>
        </w:rPr>
        <w:t>］</w:t>
      </w:r>
      <w:r>
        <w:rPr>
          <w:rFonts w:hint="eastAsia" w:ascii="宋体" w:hAnsi="宋体" w:cs="宋体"/>
          <w:color w:val="000000"/>
          <w:kern w:val="2"/>
          <w:sz w:val="24"/>
          <w:szCs w:val="24"/>
        </w:rPr>
        <w:t>。然而在高中化学领域，对HPS融入教学培养科学本质观的系统研究相对不足。本研究通过具体教学设计与实践，深化了这一范式在化学学科的应用：一方面补充了传统科学教学的不足，强调科学知识背后的历史演进和哲学思辨，对现有理科教学形成有益补充；另一方面构建了“HPS教学理念下科学本质观教学设计”的框架与策略，在理论上对已有文献进行了呼应和发展，丰富了科学教育理论中学科渗透科学本质观的讨论，并提供了新的证据支撑。</w:t>
      </w:r>
    </w:p>
    <w:p w14:paraId="1DE69A7C">
      <w:pPr>
        <w:pStyle w:val="6"/>
        <w:widowControl w:val="0"/>
        <w:numPr>
          <w:ilvl w:val="2"/>
          <w:numId w:val="11"/>
        </w:numPr>
        <w:tabs>
          <w:tab w:val="left" w:pos="0"/>
        </w:tabs>
        <w:spacing w:before="100" w:after="100" w:line="312" w:lineRule="auto"/>
        <w:ind w:left="0" w:leftChars="0" w:firstLine="402" w:firstLineChars="0"/>
        <w:rPr>
          <w:rFonts w:hint="default" w:ascii="黑体" w:hAnsi="黑体" w:eastAsia="黑体"/>
          <w:b w:val="0"/>
          <w:bCs w:val="0"/>
          <w:spacing w:val="0"/>
          <w:sz w:val="24"/>
        </w:rPr>
      </w:pPr>
      <w:r>
        <w:rPr>
          <w:rFonts w:ascii="黑体" w:hAnsi="黑体" w:eastAsia="黑体"/>
          <w:b w:val="0"/>
          <w:bCs w:val="0"/>
          <w:spacing w:val="0"/>
          <w:sz w:val="24"/>
        </w:rPr>
        <w:t>实践意义</w:t>
      </w:r>
    </w:p>
    <w:p w14:paraId="32C15473">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 xml:space="preserve">在实践层面上，本研究直面当前高中化学教学中的现实困境，并提出切实可行的解决方案。通过问卷调查和课堂观察，本研究明确了学生科学本质观的薄弱环节以及教师在实施化学史教学时遇到的难点。基于此，本研究设计了具有可操作性的教学方案，将零散的化学史材料整合为系统的课堂教学活动，以便更好地培养学生对化学科学本质的理解。该方案还配套设计了调查问卷等工具，用于收集课堂教学的多源数据，为后续的教学效果评估与改进提供依据。 </w:t>
      </w:r>
    </w:p>
    <w:p w14:paraId="3DD18B9B">
      <w:pPr>
        <w:pStyle w:val="23"/>
        <w:widowControl w:val="0"/>
        <w:ind w:firstLine="460"/>
        <w:rPr>
          <w:rFonts w:hint="eastAsia" w:ascii="宋体" w:hAnsi="宋体" w:cs="宋体"/>
          <w:color w:val="000000"/>
          <w:kern w:val="2"/>
          <w:sz w:val="24"/>
          <w:szCs w:val="24"/>
          <w:u w:val="single"/>
        </w:rPr>
      </w:pPr>
      <w:r>
        <w:rPr>
          <w:rFonts w:hint="eastAsia" w:ascii="宋体" w:hAnsi="宋体" w:cs="宋体"/>
          <w:color w:val="000000"/>
          <w:kern w:val="2"/>
          <w:sz w:val="24"/>
          <w:szCs w:val="24"/>
        </w:rPr>
        <w:t>此外，在教学评价方面，本研究进行了创新实践。为了更准确地评估科学本质观教学效果，研究基于已有的成熟量表，借助德尔菲法凝聚专家共识，并结合高中化学课堂实际情况对评价指标进行了修订，开发了更符合化学课堂特点的科学本质观测评工具。该工具的开发提高了测评的有效性和针对性，使教师能够更加清晰地了解学生对科学本质的认识水平，从而为后续教学提供参考和改进依据。</w:t>
      </w:r>
    </w:p>
    <w:p w14:paraId="2AE58C41">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 xml:space="preserve"> 综上所述，本研究为高中化学教学提供了有益的策略指导和工具支持。教师可借鉴本研究的教学设计思路和评价手段，将科学史与科学本质观有机融合进课堂教学，从而改善教学效果。同时，本研究探索出科学本质观在学科课堂中落地的可行路径，为科学本质观教育的实施提供了可操作的方案，这将有助于提升学生的科学素养，并为一线教学改革和创新提供宝贵经验。</w:t>
      </w:r>
    </w:p>
    <w:p w14:paraId="43427660">
      <w:pPr>
        <w:pStyle w:val="2"/>
        <w:numPr>
          <w:ilvl w:val="1"/>
          <w:numId w:val="3"/>
        </w:numPr>
        <w:jc w:val="center"/>
        <w:rPr>
          <w:rFonts w:hint="eastAsia"/>
        </w:rPr>
      </w:pPr>
      <w:r>
        <w:rPr>
          <w:rFonts w:hint="eastAsia"/>
        </w:rPr>
        <w:t>研究内容与方法</w:t>
      </w:r>
    </w:p>
    <w:p w14:paraId="67C415C4">
      <w:pPr>
        <w:pStyle w:val="5"/>
        <w:numPr>
          <w:ilvl w:val="1"/>
          <w:numId w:val="13"/>
        </w:numPr>
        <w:ind w:firstLine="0"/>
        <w:rPr>
          <w:rFonts w:hint="eastAsia"/>
        </w:rPr>
      </w:pPr>
      <w:r>
        <w:rPr>
          <w:rFonts w:hint="eastAsia"/>
        </w:rPr>
        <w:t>研究内容</w:t>
      </w:r>
    </w:p>
    <w:p w14:paraId="6883F8B0">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本文旨在通过文献分析、实证调查与行动研究的有机结合，系统解决前文提出的关于高中生科学本质观现状、教师实施困境、教学设计构建及其实践有效性这四个核心问题。具体研究内容展开如下：</w:t>
      </w:r>
    </w:p>
    <w:p w14:paraId="29E854C6">
      <w:pPr>
        <w:pStyle w:val="23"/>
        <w:widowControl w:val="0"/>
        <w:numPr>
          <w:ilvl w:val="0"/>
          <w:numId w:val="14"/>
        </w:numPr>
        <w:ind w:firstLine="460"/>
        <w:rPr>
          <w:rFonts w:hint="eastAsia" w:ascii="宋体" w:hAnsi="宋体" w:cs="宋体"/>
          <w:color w:val="000000"/>
          <w:kern w:val="2"/>
          <w:sz w:val="24"/>
          <w:szCs w:val="24"/>
        </w:rPr>
      </w:pPr>
      <w:r>
        <w:rPr>
          <w:rFonts w:hint="eastAsia" w:ascii="宋体" w:hAnsi="宋体" w:cs="宋体"/>
          <w:color w:val="000000"/>
          <w:kern w:val="2"/>
          <w:sz w:val="24"/>
          <w:szCs w:val="24"/>
        </w:rPr>
        <w:t>文献梳理与理论基础构建。通过对国内外相关文献的查阅与系统整理，首先精准界定高中化学情境下 HPS 教学理念与科学本质观（NOS）的核心内涵及关键维度，梳理本课题的国内外研究现状，从理论上阐述本研究切实可行。</w:t>
      </w:r>
    </w:p>
    <w:p w14:paraId="51090BCB">
      <w:pPr>
        <w:pStyle w:val="23"/>
        <w:widowControl w:val="0"/>
        <w:numPr>
          <w:ilvl w:val="0"/>
          <w:numId w:val="14"/>
        </w:numPr>
        <w:ind w:firstLine="460"/>
        <w:rPr>
          <w:rFonts w:hint="eastAsia" w:ascii="宋体" w:hAnsi="宋体" w:cs="宋体"/>
          <w:color w:val="000000"/>
          <w:kern w:val="2"/>
          <w:sz w:val="24"/>
          <w:szCs w:val="24"/>
        </w:rPr>
      </w:pPr>
      <w:r>
        <w:rPr>
          <w:rFonts w:hint="eastAsia" w:ascii="宋体" w:hAnsi="宋体" w:cs="宋体"/>
          <w:color w:val="000000"/>
          <w:kern w:val="2"/>
          <w:sz w:val="24"/>
          <w:szCs w:val="24"/>
        </w:rPr>
        <w:t>师生现状调查与问题诊断。针对“教”与“学”的现实基础开展实证调查。一方面，向学生分发问卷开展面向高中生科学本质观测评；另一方面，深入调查一线化学教师对HPS理念的理解程度、应用现状及实施困难，从而精准定位教学改进的现实痛点与具体需求。</w:t>
      </w:r>
    </w:p>
    <w:p w14:paraId="631638BF">
      <w:pPr>
        <w:pStyle w:val="23"/>
        <w:widowControl w:val="0"/>
        <w:numPr>
          <w:ilvl w:val="0"/>
          <w:numId w:val="14"/>
        </w:numPr>
        <w:ind w:firstLine="460"/>
        <w:rPr>
          <w:rFonts w:hint="eastAsia" w:ascii="宋体" w:hAnsi="宋体" w:cs="宋体"/>
          <w:color w:val="000000"/>
          <w:kern w:val="2"/>
          <w:sz w:val="24"/>
          <w:szCs w:val="24"/>
        </w:rPr>
      </w:pPr>
      <w:r>
        <w:rPr>
          <w:rFonts w:hint="eastAsia" w:ascii="宋体" w:hAnsi="宋体" w:cs="宋体"/>
          <w:color w:val="000000"/>
          <w:kern w:val="2"/>
          <w:sz w:val="24"/>
          <w:szCs w:val="24"/>
        </w:rPr>
        <w:t>构建教学设计框架并开发课例。基于课标要求与调查诊断结果，构建HPS教学理念下高中化学科学本质观教学设计。本研究将选取“”“”两个教学主题内容，开发对应的教学案例。</w:t>
      </w:r>
    </w:p>
    <w:p w14:paraId="668BD498">
      <w:pPr>
        <w:pStyle w:val="23"/>
        <w:widowControl w:val="0"/>
        <w:numPr>
          <w:ilvl w:val="0"/>
          <w:numId w:val="14"/>
        </w:numPr>
        <w:ind w:firstLine="460"/>
        <w:rPr>
          <w:rFonts w:hint="eastAsia" w:ascii="宋体" w:hAnsi="宋体" w:cs="宋体"/>
          <w:color w:val="000000"/>
          <w:kern w:val="2"/>
          <w:sz w:val="24"/>
          <w:szCs w:val="24"/>
        </w:rPr>
      </w:pPr>
      <w:r>
        <w:rPr>
          <w:rFonts w:hint="eastAsia" w:ascii="宋体" w:hAnsi="宋体" w:cs="宋体"/>
          <w:color w:val="000000"/>
          <w:kern w:val="2"/>
          <w:sz w:val="24"/>
          <w:szCs w:val="24"/>
        </w:rPr>
        <w:t>教学实践与效果验证。将开发的教学课例应用于真实的高中化学课堂，开展行动研究。采用前后测数据对比、访谈实录等多源证据，对教学实践的效果进行总结与反思，并分析影响教学效果的关键因素。研究框架如图1-1所示：</w:t>
      </w:r>
    </w:p>
    <w:p w14:paraId="1D67C9ED">
      <w:pPr>
        <w:pStyle w:val="23"/>
        <w:widowControl w:val="0"/>
        <w:ind w:firstLine="0" w:firstLineChars="0"/>
        <w:jc w:val="center"/>
        <w:rPr>
          <w:rFonts w:hint="eastAsia" w:ascii="宋体" w:hAnsi="宋体" w:cs="宋体"/>
          <w:color w:val="000000"/>
          <w:kern w:val="2"/>
          <w:sz w:val="24"/>
          <w:szCs w:val="24"/>
        </w:rPr>
      </w:pPr>
      <w:r>
        <w:rPr>
          <w:rFonts w:hint="eastAsia" w:ascii="宋体" w:hAnsi="宋体" w:cs="宋体"/>
          <w:color w:val="000000"/>
          <w:kern w:val="2"/>
          <w:sz w:val="24"/>
          <w:szCs w:val="24"/>
        </w:rPr>
        <w:drawing>
          <wp:inline distT="0" distB="0" distL="114300" distR="114300">
            <wp:extent cx="5261610" cy="6414770"/>
            <wp:effectExtent l="0" t="0" r="0" b="0"/>
            <wp:docPr id="2" name="图片 2" descr="技术路线图13_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技术路线图13_02(2)"/>
                    <pic:cNvPicPr>
                      <a:picLocks noChangeAspect="1"/>
                    </pic:cNvPicPr>
                  </pic:nvPicPr>
                  <pic:blipFill>
                    <a:blip r:embed="rId6"/>
                    <a:srcRect t="8158" b="5640"/>
                    <a:stretch>
                      <a:fillRect/>
                    </a:stretch>
                  </pic:blipFill>
                  <pic:spPr>
                    <a:xfrm>
                      <a:off x="0" y="0"/>
                      <a:ext cx="5261610" cy="6414770"/>
                    </a:xfrm>
                    <a:prstGeom prst="rect">
                      <a:avLst/>
                    </a:prstGeom>
                  </pic:spPr>
                </pic:pic>
              </a:graphicData>
            </a:graphic>
          </wp:inline>
        </w:drawing>
      </w:r>
    </w:p>
    <w:p w14:paraId="31BA427E">
      <w:pPr>
        <w:pStyle w:val="13"/>
        <w:widowControl w:val="0"/>
        <w:jc w:val="center"/>
        <w:rPr>
          <w:rFonts w:hint="eastAsia" w:ascii="宋体" w:hAnsi="宋体" w:cs="宋体"/>
          <w:color w:val="000000"/>
          <w:kern w:val="2"/>
          <w:sz w:val="24"/>
          <w:szCs w:val="24"/>
        </w:rPr>
      </w:pPr>
      <w:r>
        <w:rPr>
          <w:rFonts w:hint="eastAsia"/>
        </w:rPr>
        <w:t>图1</w:t>
      </w:r>
      <w:r>
        <w:noBreakHyphen/>
      </w:r>
      <w:r>
        <w:rPr>
          <w:rFonts w:hint="eastAsia"/>
        </w:rPr>
        <w:t>1 研究框架</w:t>
      </w:r>
    </w:p>
    <w:p w14:paraId="5195BADB">
      <w:pPr>
        <w:pStyle w:val="5"/>
        <w:pageBreakBefore w:val="0"/>
        <w:numPr>
          <w:ilvl w:val="1"/>
          <w:numId w:val="15"/>
        </w:numPr>
        <w:kinsoku/>
        <w:wordWrap/>
        <w:overflowPunct/>
        <w:topLinePunct w:val="0"/>
        <w:autoSpaceDE/>
        <w:autoSpaceDN/>
        <w:bidi w:val="0"/>
        <w:adjustRightInd/>
        <w:snapToGrid/>
        <w:spacing w:line="400" w:lineRule="exact"/>
        <w:ind w:firstLine="0"/>
        <w:textAlignment w:val="auto"/>
        <w:rPr>
          <w:rFonts w:hint="eastAsia"/>
        </w:rPr>
      </w:pPr>
      <w:r>
        <w:rPr>
          <w:rFonts w:hint="eastAsia"/>
        </w:rPr>
        <w:t>研究方法</w:t>
      </w:r>
    </w:p>
    <w:p w14:paraId="782E50A7">
      <w:pPr>
        <w:pStyle w:val="6"/>
        <w:pageBreakBefore w:val="0"/>
        <w:widowControl w:val="0"/>
        <w:numPr>
          <w:ilvl w:val="2"/>
          <w:numId w:val="15"/>
        </w:numPr>
        <w:tabs>
          <w:tab w:val="left" w:pos="0"/>
        </w:tabs>
        <w:kinsoku/>
        <w:wordWrap/>
        <w:overflowPunct/>
        <w:topLinePunct w:val="0"/>
        <w:autoSpaceDE/>
        <w:autoSpaceDN/>
        <w:bidi w:val="0"/>
        <w:adjustRightInd/>
        <w:snapToGrid/>
        <w:spacing w:before="100" w:after="100" w:line="400" w:lineRule="exact"/>
        <w:ind w:left="0" w:leftChars="0" w:firstLine="402" w:firstLineChars="0"/>
        <w:textAlignment w:val="auto"/>
        <w:rPr>
          <w:rFonts w:ascii="黑体" w:hAnsi="黑体" w:eastAsia="黑体"/>
          <w:b w:val="0"/>
          <w:bCs w:val="0"/>
          <w:spacing w:val="0"/>
          <w:sz w:val="24"/>
        </w:rPr>
      </w:pPr>
      <w:r>
        <w:rPr>
          <w:rFonts w:hint="eastAsia" w:ascii="黑体" w:hAnsi="黑体" w:eastAsia="黑体"/>
          <w:b w:val="0"/>
          <w:bCs w:val="0"/>
          <w:spacing w:val="0"/>
          <w:sz w:val="24"/>
        </w:rPr>
        <w:t>文献研究法</w:t>
      </w:r>
    </w:p>
    <w:p w14:paraId="23D9027E">
      <w:pPr>
        <w:pStyle w:val="23"/>
        <w:pageBreakBefore w:val="0"/>
        <w:widowControl w:val="0"/>
        <w:kinsoku/>
        <w:wordWrap/>
        <w:overflowPunct/>
        <w:topLinePunct w:val="0"/>
        <w:autoSpaceDE/>
        <w:autoSpaceDN/>
        <w:bidi w:val="0"/>
        <w:adjustRightInd/>
        <w:snapToGrid/>
        <w:spacing w:line="400" w:lineRule="exact"/>
        <w:ind w:firstLine="460"/>
        <w:textAlignment w:val="auto"/>
        <w:rPr>
          <w:rFonts w:hint="eastAsia" w:ascii="宋体" w:hAnsi="宋体" w:cs="宋体"/>
          <w:color w:val="000000"/>
          <w:kern w:val="2"/>
          <w:sz w:val="24"/>
          <w:szCs w:val="24"/>
        </w:rPr>
      </w:pPr>
      <w:r>
        <w:rPr>
          <w:rFonts w:hint="eastAsia" w:ascii="宋体" w:hAnsi="宋体" w:cs="宋体"/>
          <w:color w:val="000000"/>
          <w:kern w:val="2"/>
          <w:sz w:val="24"/>
          <w:szCs w:val="24"/>
        </w:rPr>
        <w:t>文献研究法是本研究开展的基石，贯穿于研究的全过程。在研究初期，笔者利用中国知网（CNKI）、Web of Science、万方数据知识服务平台以及学校图书馆资源，以“HPS教学理念”、“科学本质观（NOS）”、“高中化学教学设计”、“化学史教育”为关键词进行广泛检索，搜集了大量国内外相关学术期刊、博硕士学位论文及专著。通过对这些文献的深度研读、归纳与整理，笔者梳理了HPS教学的发展脉络，界定了科学本质观的核心内涵与维度，并分析了当前HPS融入理科教学的主流模式与存在的问题，从而确立了本研究的理论基础与切入点。此外，笔者还重点对《普通高中化学课程标准（2017年版2020年修订）》及现行人教版高中化学必修教材进行了系统分析，挖掘教材中隐含的化学史实、科学哲学思想及科学社会学素材，探寻HPS内容与化学学科知识融合的最佳契合点，为后续构建基于HPS理念的教学流程、选择教学内容以及设计具体的教学案例提供了坚实的理论支撑与丰富的素材来源。</w:t>
      </w:r>
    </w:p>
    <w:p w14:paraId="57415DEF">
      <w:pPr>
        <w:pStyle w:val="6"/>
        <w:pageBreakBefore w:val="0"/>
        <w:widowControl w:val="0"/>
        <w:numPr>
          <w:ilvl w:val="2"/>
          <w:numId w:val="15"/>
        </w:numPr>
        <w:tabs>
          <w:tab w:val="left" w:pos="0"/>
        </w:tabs>
        <w:kinsoku/>
        <w:wordWrap/>
        <w:overflowPunct/>
        <w:topLinePunct w:val="0"/>
        <w:autoSpaceDE/>
        <w:autoSpaceDN/>
        <w:bidi w:val="0"/>
        <w:adjustRightInd/>
        <w:snapToGrid/>
        <w:spacing w:before="100" w:after="100" w:line="400" w:lineRule="exact"/>
        <w:ind w:left="0" w:leftChars="0" w:firstLine="402" w:firstLineChars="0"/>
        <w:textAlignment w:val="auto"/>
        <w:rPr>
          <w:rFonts w:ascii="黑体" w:hAnsi="黑体" w:eastAsia="黑体"/>
          <w:b w:val="0"/>
          <w:bCs w:val="0"/>
          <w:spacing w:val="0"/>
          <w:sz w:val="24"/>
        </w:rPr>
      </w:pPr>
      <w:r>
        <w:rPr>
          <w:rFonts w:hint="eastAsia" w:ascii="黑体" w:hAnsi="黑体" w:eastAsia="黑体"/>
          <w:b w:val="0"/>
          <w:bCs w:val="0"/>
          <w:spacing w:val="0"/>
          <w:sz w:val="24"/>
        </w:rPr>
        <w:t>问卷调查法</w:t>
      </w:r>
    </w:p>
    <w:p w14:paraId="01BD8294">
      <w:pPr>
        <w:pStyle w:val="23"/>
        <w:pageBreakBefore w:val="0"/>
        <w:widowControl w:val="0"/>
        <w:kinsoku/>
        <w:wordWrap/>
        <w:overflowPunct/>
        <w:topLinePunct w:val="0"/>
        <w:autoSpaceDE/>
        <w:autoSpaceDN/>
        <w:bidi w:val="0"/>
        <w:adjustRightInd/>
        <w:snapToGrid/>
        <w:spacing w:line="400" w:lineRule="exact"/>
        <w:ind w:firstLine="460"/>
        <w:textAlignment w:val="auto"/>
        <w:rPr>
          <w:rFonts w:hint="eastAsia" w:ascii="宋体" w:hAnsi="宋体" w:cs="宋体"/>
          <w:color w:val="000000"/>
          <w:kern w:val="2"/>
          <w:sz w:val="24"/>
          <w:szCs w:val="24"/>
        </w:rPr>
      </w:pPr>
      <w:r>
        <w:rPr>
          <w:rFonts w:hint="eastAsia" w:ascii="宋体" w:hAnsi="宋体" w:cs="宋体"/>
          <w:color w:val="000000"/>
          <w:kern w:val="2"/>
          <w:sz w:val="24"/>
          <w:szCs w:val="24"/>
        </w:rPr>
        <w:t>问卷调查法是本研究获取量化数据、评估教学效果的主要手段。为了全面了解当前高中生的科学本质观现状，并准确评估本研究提出的教学设计方案的实践成效，笔者将参考刘健智、Reinders Duit等国内外学者成熟量表的基础上，结合高中生的认知发展水平与化学学科特点，编制《高中生科学本质观调查问卷》。该问卷涵盖了科学知识的本质、科学探究的本质、科学事业的本质等多个维度。在正式研究中，该方法分两个阶段实施：首先，在教学干预前对实验班和对照班学生进行前测，通过数据分析掌握学生科学本质观的初始水平，明确教学设计的重点与难点；其次，在为期一学期的教学实践结束后，再次发放问卷进行后测。通过前后两次数据的对比，量化分析学生在科学本质观各维度上的观念转变情况，从而为HPS教学理念的有效性提供客观的数据支持。</w:t>
      </w:r>
    </w:p>
    <w:p w14:paraId="5E4718B1">
      <w:pPr>
        <w:pStyle w:val="6"/>
        <w:pageBreakBefore w:val="0"/>
        <w:widowControl w:val="0"/>
        <w:numPr>
          <w:ilvl w:val="2"/>
          <w:numId w:val="15"/>
        </w:numPr>
        <w:tabs>
          <w:tab w:val="left" w:pos="0"/>
        </w:tabs>
        <w:kinsoku/>
        <w:wordWrap/>
        <w:overflowPunct/>
        <w:topLinePunct w:val="0"/>
        <w:autoSpaceDE/>
        <w:autoSpaceDN/>
        <w:bidi w:val="0"/>
        <w:adjustRightInd/>
        <w:snapToGrid/>
        <w:spacing w:before="100" w:after="100" w:line="400" w:lineRule="exact"/>
        <w:ind w:left="0" w:leftChars="0" w:firstLine="402" w:firstLineChars="0"/>
        <w:textAlignment w:val="auto"/>
        <w:rPr>
          <w:rFonts w:ascii="黑体" w:hAnsi="黑体" w:eastAsia="黑体"/>
          <w:b w:val="0"/>
          <w:bCs w:val="0"/>
          <w:spacing w:val="0"/>
          <w:sz w:val="24"/>
        </w:rPr>
      </w:pPr>
      <w:r>
        <w:rPr>
          <w:rFonts w:hint="eastAsia" w:ascii="黑体" w:hAnsi="黑体" w:eastAsia="黑体"/>
          <w:b w:val="0"/>
          <w:bCs w:val="0"/>
          <w:spacing w:val="0"/>
          <w:sz w:val="24"/>
        </w:rPr>
        <w:t>访谈法</w:t>
      </w:r>
    </w:p>
    <w:p w14:paraId="688B2F98">
      <w:pPr>
        <w:pStyle w:val="23"/>
        <w:pageBreakBefore w:val="0"/>
        <w:widowControl w:val="0"/>
        <w:kinsoku/>
        <w:wordWrap/>
        <w:overflowPunct/>
        <w:topLinePunct w:val="0"/>
        <w:autoSpaceDE/>
        <w:autoSpaceDN/>
        <w:bidi w:val="0"/>
        <w:adjustRightInd/>
        <w:snapToGrid/>
        <w:spacing w:line="400" w:lineRule="exact"/>
        <w:ind w:firstLine="460"/>
        <w:textAlignment w:val="auto"/>
        <w:rPr>
          <w:rFonts w:hint="eastAsia" w:ascii="宋体" w:hAnsi="宋体" w:cs="宋体"/>
          <w:color w:val="000000"/>
          <w:kern w:val="2"/>
          <w:sz w:val="24"/>
          <w:szCs w:val="24"/>
        </w:rPr>
      </w:pPr>
      <w:r>
        <w:rPr>
          <w:rFonts w:hint="eastAsia" w:ascii="宋体" w:hAnsi="宋体" w:cs="宋体"/>
          <w:color w:val="000000"/>
          <w:kern w:val="2"/>
          <w:sz w:val="24"/>
          <w:szCs w:val="24"/>
        </w:rPr>
        <w:t>为了弥补问卷调查只能获取量化数据而难以触及深层原因的局限性，本研究采用了访谈法作为辅助研究手段，旨在从质性角度丰富研究结论。访谈主要分为教师访谈和学生访谈两个层面。在研究准备阶段，笔者制定了半结构化访谈提纲，对一线高中化学教师进行访谈，深入了解他们对HPS教学理念的认知程度、在日常教学中融入化学史的频率与方式，以及在开展科学本质教育时面临的实际困难，这为本研究优化教学设计提供了现实依据。在教学实验结束后，笔者从实验班中依据学业水平分层随机抽取部分学生进行访谈，重点询问他们对融入HPS教学内容的真实感受、对某些具体化学史案例的看法，以及这种新颖的教学方式是否改变了他们对科学探究及科学家群体的刻板印象。这些质性反馈不仅验证了问卷数据的真实性，也为后续教学策略的改进提供了宝贵的建议。</w:t>
      </w:r>
    </w:p>
    <w:p w14:paraId="3EADBD46">
      <w:pPr>
        <w:pStyle w:val="6"/>
        <w:pageBreakBefore w:val="0"/>
        <w:widowControl w:val="0"/>
        <w:numPr>
          <w:ilvl w:val="2"/>
          <w:numId w:val="15"/>
        </w:numPr>
        <w:tabs>
          <w:tab w:val="left" w:pos="0"/>
        </w:tabs>
        <w:kinsoku/>
        <w:wordWrap/>
        <w:overflowPunct/>
        <w:topLinePunct w:val="0"/>
        <w:autoSpaceDE/>
        <w:autoSpaceDN/>
        <w:bidi w:val="0"/>
        <w:adjustRightInd/>
        <w:snapToGrid/>
        <w:spacing w:before="100" w:after="100" w:line="400" w:lineRule="exact"/>
        <w:ind w:left="0" w:leftChars="0" w:firstLine="402" w:firstLineChars="0"/>
        <w:textAlignment w:val="auto"/>
        <w:rPr>
          <w:rFonts w:ascii="黑体" w:hAnsi="黑体" w:eastAsia="黑体"/>
          <w:b w:val="0"/>
          <w:bCs w:val="0"/>
          <w:spacing w:val="0"/>
          <w:sz w:val="24"/>
        </w:rPr>
      </w:pPr>
      <w:r>
        <w:rPr>
          <w:rFonts w:hint="eastAsia" w:ascii="黑体" w:hAnsi="黑体" w:eastAsia="黑体"/>
          <w:b w:val="0"/>
          <w:bCs w:val="0"/>
          <w:spacing w:val="0"/>
          <w:sz w:val="24"/>
        </w:rPr>
        <w:t>行动研究法</w:t>
      </w:r>
    </w:p>
    <w:p w14:paraId="2A430537">
      <w:pPr>
        <w:pStyle w:val="23"/>
        <w:pageBreakBefore w:val="0"/>
        <w:widowControl w:val="0"/>
        <w:kinsoku/>
        <w:wordWrap/>
        <w:overflowPunct/>
        <w:topLinePunct w:val="0"/>
        <w:autoSpaceDE/>
        <w:autoSpaceDN/>
        <w:bidi w:val="0"/>
        <w:adjustRightInd/>
        <w:snapToGrid/>
        <w:spacing w:line="400" w:lineRule="exact"/>
        <w:ind w:firstLine="460"/>
        <w:textAlignment w:val="auto"/>
        <w:rPr>
          <w:rFonts w:hint="eastAsia" w:ascii="宋体" w:hAnsi="宋体" w:cs="宋体"/>
          <w:color w:val="000000"/>
          <w:kern w:val="2"/>
          <w:sz w:val="24"/>
          <w:szCs w:val="24"/>
        </w:rPr>
      </w:pPr>
      <w:r>
        <w:rPr>
          <w:rFonts w:ascii="宋体" w:hAnsi="宋体" w:cs="宋体"/>
          <w:color w:val="000000"/>
          <w:kern w:val="2"/>
          <w:sz w:val="24"/>
          <w:szCs w:val="24"/>
        </w:rPr>
        <w:t>本研究的核心在于解决教学实践中的真实问题，因此主要采用行动研究法，遵循“计划—行动—观察—反思”的螺旋循环范式开展研究。在“计划”阶段，基于文献与现状调查构建HPS教学设计的初稿；在“行动”阶段，选取实习学校两个生源质量相当的平行班级，设立实验班与对照班，实验班严格实施HPS教学理念下高中化学科学本质观教学，对照班维持常规教学以提供参照；在“观察”阶段，利用课堂录像与观察量表，记录学生在史料阅读、模型建构及哲学研讨中的实时反应与思维障碍；在“反思”阶段，结合测评数据与课堂观察结果，分析教学设计中的不足</w:t>
      </w:r>
      <w:r>
        <w:rPr>
          <w:rFonts w:hint="eastAsia" w:ascii="宋体" w:hAnsi="宋体" w:cs="宋体"/>
          <w:color w:val="000000"/>
          <w:kern w:val="2"/>
          <w:sz w:val="24"/>
          <w:szCs w:val="24"/>
        </w:rPr>
        <w:t>与优势</w:t>
      </w:r>
      <w:r>
        <w:rPr>
          <w:rFonts w:ascii="宋体" w:hAnsi="宋体" w:cs="宋体"/>
          <w:color w:val="000000"/>
          <w:kern w:val="2"/>
          <w:sz w:val="24"/>
          <w:szCs w:val="24"/>
        </w:rPr>
        <w:t>。</w:t>
      </w:r>
    </w:p>
    <w:p w14:paraId="682BE033">
      <w:pPr>
        <w:pStyle w:val="6"/>
        <w:pageBreakBefore w:val="0"/>
        <w:widowControl w:val="0"/>
        <w:numPr>
          <w:ilvl w:val="2"/>
          <w:numId w:val="15"/>
        </w:numPr>
        <w:tabs>
          <w:tab w:val="left" w:pos="0"/>
        </w:tabs>
        <w:kinsoku/>
        <w:wordWrap/>
        <w:overflowPunct/>
        <w:topLinePunct w:val="0"/>
        <w:autoSpaceDE/>
        <w:autoSpaceDN/>
        <w:bidi w:val="0"/>
        <w:adjustRightInd/>
        <w:snapToGrid/>
        <w:spacing w:before="100" w:after="100" w:line="400" w:lineRule="exact"/>
        <w:ind w:left="0" w:leftChars="0" w:firstLine="402" w:firstLineChars="0"/>
        <w:textAlignment w:val="auto"/>
        <w:rPr>
          <w:rFonts w:ascii="黑体" w:hAnsi="黑体" w:eastAsia="黑体"/>
          <w:b w:val="0"/>
          <w:bCs w:val="0"/>
          <w:spacing w:val="0"/>
          <w:sz w:val="24"/>
        </w:rPr>
      </w:pPr>
      <w:r>
        <w:rPr>
          <w:rFonts w:hint="eastAsia" w:ascii="黑体" w:hAnsi="黑体" w:eastAsia="黑体"/>
          <w:b w:val="0"/>
          <w:bCs w:val="0"/>
          <w:spacing w:val="0"/>
          <w:sz w:val="24"/>
        </w:rPr>
        <w:t>统计分析法</w:t>
      </w:r>
    </w:p>
    <w:p w14:paraId="764500D5">
      <w:pPr>
        <w:pStyle w:val="23"/>
        <w:pageBreakBefore w:val="0"/>
        <w:widowControl w:val="0"/>
        <w:kinsoku/>
        <w:wordWrap/>
        <w:overflowPunct/>
        <w:topLinePunct w:val="0"/>
        <w:autoSpaceDE/>
        <w:autoSpaceDN/>
        <w:bidi w:val="0"/>
        <w:adjustRightInd/>
        <w:snapToGrid/>
        <w:spacing w:line="400" w:lineRule="exact"/>
        <w:ind w:firstLine="460"/>
        <w:textAlignment w:val="auto"/>
        <w:rPr>
          <w:rFonts w:hint="eastAsia" w:ascii="宋体" w:hAnsi="宋体" w:cs="宋体"/>
          <w:color w:val="000000"/>
          <w:kern w:val="2"/>
          <w:sz w:val="24"/>
          <w:szCs w:val="24"/>
        </w:rPr>
      </w:pPr>
      <w:r>
        <w:rPr>
          <w:rFonts w:hint="eastAsia" w:ascii="宋体" w:hAnsi="宋体" w:cs="宋体"/>
          <w:color w:val="000000"/>
          <w:kern w:val="2"/>
          <w:sz w:val="24"/>
          <w:szCs w:val="24"/>
        </w:rPr>
        <w:t>科学的数据处理是得出可靠结论的保障。本研究利用SPSS及Microsoft Excel软件对收集到的问卷数据和考试成绩进行统计分析。具体操作包括：运用描述性统计分析学生科学本质观的现状分布特征；采用独立样本T检验对实验班和对照班的前测数据进行分析，以检验两个班级在实验前是否处于同质水平；采用配对样本T检验及协方差分析，对比实验班学生在教学干预前后的数据差异，以及实验班与对照班在后测中的显著性差异。通过严谨的量化分析，探究基于HPS理念的教学设计对提升学生科学本质观及化学学业成绩的具体影响程度，从而确保研究结论的客观性、科学性与说服力。</w:t>
      </w:r>
    </w:p>
    <w:p w14:paraId="503DD254">
      <w:pPr>
        <w:pStyle w:val="2"/>
        <w:widowControl w:val="0"/>
        <w:numPr>
          <w:ilvl w:val="0"/>
          <w:numId w:val="15"/>
        </w:numPr>
        <w:tabs>
          <w:tab w:val="left" w:pos="0"/>
        </w:tabs>
        <w:ind w:left="0" w:leftChars="0" w:firstLine="402" w:firstLineChars="0"/>
        <w:jc w:val="center"/>
        <w:rPr>
          <w:rFonts w:hint="eastAsia" w:ascii="黑体" w:hAnsi="黑体" w:eastAsia="黑体"/>
          <w:b w:val="0"/>
          <w:bCs/>
        </w:rPr>
      </w:pPr>
      <w:bookmarkStart w:id="3" w:name="_Toc533927475"/>
      <w:bookmarkEnd w:id="3"/>
      <w:bookmarkStart w:id="4" w:name="_Toc86127698"/>
      <w:bookmarkEnd w:id="4"/>
      <w:r>
        <w:rPr>
          <w:rFonts w:hint="eastAsia" w:ascii="黑体" w:hAnsi="黑体" w:eastAsia="黑体"/>
          <w:b w:val="0"/>
          <w:bCs/>
        </w:rPr>
        <w:t>文献综述与理论框架</w:t>
      </w:r>
    </w:p>
    <w:p w14:paraId="6EBAD088">
      <w:pPr>
        <w:pStyle w:val="5"/>
        <w:widowControl w:val="0"/>
        <w:numPr>
          <w:ilvl w:val="1"/>
          <w:numId w:val="15"/>
        </w:numPr>
        <w:ind w:left="0" w:leftChars="0" w:firstLine="402" w:firstLineChars="0"/>
      </w:pPr>
      <w:r>
        <w:rPr>
          <w:rFonts w:hint="eastAsia"/>
        </w:rPr>
        <w:t>科学本质观的研究现状</w:t>
      </w:r>
    </w:p>
    <w:p w14:paraId="0FDEE074">
      <w:pPr>
        <w:pStyle w:val="6"/>
        <w:widowControl w:val="0"/>
        <w:numPr>
          <w:ilvl w:val="2"/>
          <w:numId w:val="15"/>
        </w:numPr>
        <w:tabs>
          <w:tab w:val="left" w:pos="0"/>
        </w:tabs>
        <w:spacing w:line="312" w:lineRule="auto"/>
        <w:ind w:left="0" w:leftChars="0" w:firstLine="402" w:firstLineChars="0"/>
        <w:rPr>
          <w:rFonts w:ascii="黑体" w:hAnsi="黑体" w:eastAsia="黑体"/>
          <w:b w:val="0"/>
          <w:bCs w:val="0"/>
          <w:spacing w:val="0"/>
          <w:sz w:val="24"/>
        </w:rPr>
      </w:pPr>
      <w:r>
        <w:rPr>
          <w:rFonts w:ascii="黑体" w:hAnsi="黑体" w:eastAsia="黑体"/>
          <w:b w:val="0"/>
          <w:bCs w:val="0"/>
          <w:spacing w:val="0"/>
          <w:sz w:val="24"/>
        </w:rPr>
        <w:t>科学本质观国外研究现状</w:t>
      </w:r>
    </w:p>
    <w:p w14:paraId="74557D1B">
      <w:pPr>
        <w:pStyle w:val="23"/>
        <w:keepNext/>
        <w:keepLines w:val="0"/>
        <w:pageBreakBefore w:val="0"/>
        <w:widowControl w:val="0"/>
        <w:kinsoku/>
        <w:wordWrap/>
        <w:overflowPunct/>
        <w:topLinePunct w:val="0"/>
        <w:autoSpaceDE/>
        <w:autoSpaceDN/>
        <w:bidi w:val="0"/>
        <w:adjustRightInd/>
        <w:snapToGrid/>
        <w:ind w:firstLine="460"/>
        <w:textAlignment w:val="auto"/>
        <w:rPr>
          <w:rFonts w:hint="eastAsia" w:ascii="宋体" w:hAnsi="宋体" w:cs="宋体"/>
          <w:bCs/>
          <w:color w:val="000000"/>
          <w:sz w:val="24"/>
          <w:szCs w:val="24"/>
        </w:rPr>
      </w:pPr>
      <w:r>
        <w:rPr>
          <w:rFonts w:hint="eastAsia" w:ascii="宋体" w:hAnsi="宋体" w:cs="宋体"/>
          <w:bCs/>
          <w:color w:val="000000"/>
          <w:sz w:val="24"/>
          <w:szCs w:val="24"/>
        </w:rPr>
        <w:t>科学本质观（Nature of Science, NOS）的研究可以追溯到早期哲学思想。16世纪的培根（Francis Bacon）等人就强调科学方法的客观性和经验归纳，他坚定地认为，科学知识及其生成路径均具备高度的客观属性，且具有确定性与不可更改性，一旦被证实，便是永恒的真理</w:t>
      </w:r>
      <w:r>
        <w:rPr>
          <w:rFonts w:hint="eastAsia" w:ascii="宋体" w:hAnsi="宋体" w:cs="宋体"/>
          <w:bCs/>
          <w:color w:val="000000"/>
          <w:sz w:val="24"/>
          <w:szCs w:val="24"/>
          <w:vertAlign w:val="superscript"/>
        </w:rPr>
        <w:t>［</w:t>
      </w:r>
      <w:r>
        <w:rPr>
          <w:rFonts w:hint="eastAsia" w:ascii="宋体" w:hAnsi="宋体" w:cs="宋体"/>
          <w:bCs/>
          <w:color w:val="000000"/>
          <w:sz w:val="24"/>
          <w:szCs w:val="24"/>
          <w:vertAlign w:val="superscript"/>
        </w:rPr>
        <w:footnoteReference w:id="12"/>
      </w:r>
      <w:r>
        <w:rPr>
          <w:rFonts w:hint="eastAsia" w:ascii="宋体" w:hAnsi="宋体" w:cs="宋体"/>
          <w:bCs/>
          <w:color w:val="000000"/>
          <w:sz w:val="24"/>
          <w:szCs w:val="24"/>
          <w:vertAlign w:val="superscript"/>
        </w:rPr>
        <w:t>］</w:t>
      </w:r>
      <w:r>
        <w:rPr>
          <w:rFonts w:hint="eastAsia" w:ascii="宋体" w:hAnsi="宋体" w:cs="宋体"/>
          <w:bCs/>
          <w:color w:val="000000"/>
          <w:sz w:val="24"/>
          <w:szCs w:val="24"/>
        </w:rPr>
        <w:t>；以笛卡尔和康德为代表的近代理性主义学者则关注科学知识的理性结构，科学知识是从人类理性所认定的公理中生发出来的，是独立于人类主体而存在的客观实体，体现了自然界内在的相似性、统一性与规律性</w:t>
      </w:r>
      <w:r>
        <w:rPr>
          <w:rStyle w:val="22"/>
          <w:rFonts w:hint="eastAsia" w:ascii="宋体" w:hAnsi="宋体" w:cs="宋体"/>
          <w:bCs/>
          <w:color w:val="000000"/>
          <w:sz w:val="24"/>
          <w:szCs w:val="24"/>
        </w:rPr>
        <w:t>［</w:t>
      </w:r>
      <w:r>
        <w:rPr>
          <w:rStyle w:val="22"/>
          <w:rFonts w:hint="eastAsia" w:ascii="宋体" w:hAnsi="宋体" w:cs="宋体"/>
          <w:bCs/>
          <w:color w:val="000000"/>
          <w:sz w:val="24"/>
          <w:szCs w:val="24"/>
        </w:rPr>
        <w:footnoteReference w:id="13"/>
      </w:r>
      <w:r>
        <w:rPr>
          <w:rStyle w:val="22"/>
          <w:rFonts w:hint="eastAsia" w:ascii="宋体" w:hAnsi="宋体" w:cs="宋体"/>
          <w:bCs/>
          <w:color w:val="000000"/>
          <w:sz w:val="24"/>
          <w:szCs w:val="24"/>
        </w:rPr>
        <w:t>］</w:t>
      </w:r>
      <w:r>
        <w:rPr>
          <w:rFonts w:hint="eastAsia" w:ascii="宋体" w:hAnsi="宋体" w:cs="宋体"/>
          <w:bCs/>
          <w:color w:val="000000"/>
          <w:sz w:val="24"/>
          <w:szCs w:val="24"/>
        </w:rPr>
        <w:t>。</w:t>
      </w:r>
    </w:p>
    <w:p w14:paraId="0EAD7324">
      <w:pPr>
        <w:pStyle w:val="23"/>
        <w:keepNext/>
        <w:keepLines w:val="0"/>
        <w:pageBreakBefore w:val="0"/>
        <w:widowControl w:val="0"/>
        <w:kinsoku/>
        <w:wordWrap/>
        <w:overflowPunct/>
        <w:topLinePunct w:val="0"/>
        <w:autoSpaceDE/>
        <w:autoSpaceDN/>
        <w:bidi w:val="0"/>
        <w:adjustRightInd/>
        <w:snapToGrid/>
        <w:ind w:firstLine="460"/>
        <w:jc w:val="both"/>
        <w:textAlignment w:val="auto"/>
        <w:rPr>
          <w:rFonts w:hint="eastAsia" w:ascii="宋体" w:hAnsi="宋体" w:cs="宋体"/>
          <w:bCs/>
          <w:color w:val="000000"/>
          <w:sz w:val="24"/>
          <w:szCs w:val="24"/>
        </w:rPr>
      </w:pPr>
      <w:r>
        <w:rPr>
          <w:rFonts w:hint="eastAsia" w:ascii="宋体" w:hAnsi="宋体" w:cs="宋体"/>
          <w:bCs/>
          <w:color w:val="000000"/>
          <w:sz w:val="24"/>
          <w:szCs w:val="24"/>
        </w:rPr>
        <w:t>20世纪中叶，科学本质观研究逐渐由“科学知识如何发展”以及“科学活动如何展开”，并把讨论范围扩展到科学知识、科学方法与科学事业等多个维度</w:t>
      </w:r>
      <w:r>
        <w:rPr>
          <w:rStyle w:val="22"/>
          <w:rFonts w:hint="eastAsia" w:ascii="宋体" w:hAnsi="宋体" w:cs="宋体"/>
          <w:bCs/>
          <w:color w:val="000000"/>
          <w:sz w:val="24"/>
          <w:szCs w:val="24"/>
        </w:rPr>
        <w:t>［</w:t>
      </w:r>
      <w:r>
        <w:rPr>
          <w:rStyle w:val="22"/>
          <w:rFonts w:hint="eastAsia" w:ascii="宋体" w:hAnsi="宋体" w:cs="宋体"/>
          <w:bCs/>
          <w:color w:val="000000"/>
          <w:sz w:val="24"/>
          <w:szCs w:val="24"/>
        </w:rPr>
        <w:footnoteReference w:id="14"/>
      </w:r>
      <w:r>
        <w:rPr>
          <w:rStyle w:val="22"/>
          <w:rFonts w:hint="eastAsia" w:ascii="宋体" w:hAnsi="宋体" w:cs="宋体"/>
          <w:bCs/>
          <w:color w:val="000000"/>
          <w:sz w:val="24"/>
          <w:szCs w:val="24"/>
        </w:rPr>
        <w:t>］</w:t>
      </w:r>
      <w:r>
        <w:rPr>
          <w:rFonts w:hint="eastAsia" w:ascii="宋体" w:hAnsi="宋体" w:cs="宋体"/>
          <w:bCs/>
          <w:color w:val="000000"/>
          <w:sz w:val="24"/>
          <w:szCs w:val="24"/>
        </w:rPr>
        <w:t>。</w:t>
      </w:r>
      <w:r>
        <w:rPr>
          <w:rFonts w:hint="eastAsia"/>
          <w:sz w:val="24"/>
          <w:szCs w:val="24"/>
        </w:rPr>
        <w:t>在科学本质观的核心内涵方面，Lederman等人的研究长期被视为该领域的重要参照。相关研究普遍认为，NOS并不是一个笼统的教育口号，而是一组可以进入课堂教学、并能够在研究中加以考察的理解内容</w:t>
      </w:r>
      <w:r>
        <w:rPr>
          <w:rStyle w:val="22"/>
          <w:rFonts w:ascii="宋体" w:hAnsi="宋体" w:cs="宋体"/>
          <w:bCs/>
          <w:color w:val="000000"/>
          <w:sz w:val="24"/>
          <w:szCs w:val="24"/>
        </w:rPr>
        <w:t>［</w:t>
      </w:r>
      <w:r>
        <w:rPr>
          <w:rStyle w:val="22"/>
          <w:rFonts w:ascii="宋体" w:hAnsi="宋体" w:cs="宋体"/>
          <w:bCs/>
          <w:color w:val="000000"/>
          <w:sz w:val="24"/>
          <w:szCs w:val="24"/>
        </w:rPr>
        <w:footnoteReference w:id="15"/>
      </w:r>
      <w:r>
        <w:rPr>
          <w:rStyle w:val="22"/>
          <w:rFonts w:ascii="宋体" w:hAnsi="宋体" w:cs="宋体"/>
          <w:bCs/>
          <w:color w:val="000000"/>
          <w:sz w:val="24"/>
          <w:szCs w:val="24"/>
        </w:rPr>
        <w:t>］</w:t>
      </w:r>
      <w:r>
        <w:rPr>
          <w:rFonts w:ascii="宋体" w:hAnsi="宋体" w:cs="宋体"/>
          <w:bCs/>
          <w:color w:val="000000"/>
          <w:sz w:val="24"/>
          <w:szCs w:val="24"/>
        </w:rPr>
        <w:t>。</w:t>
      </w:r>
      <w:r>
        <w:rPr>
          <w:rFonts w:hint="eastAsia" w:ascii="宋体" w:hAnsi="宋体" w:cs="宋体"/>
          <w:bCs/>
          <w:color w:val="000000"/>
          <w:sz w:val="24"/>
          <w:szCs w:val="24"/>
        </w:rPr>
        <w:t>这一共识也在政策层面得到了进一步落实。2013年发布的美国《下一代科学教育标准》（NGSS）及其附录 Appendix H将科学本质纳入标准体系之中，并强调：科学知识并非一成不变，而是会随着新证据、新方法和新解释的出现不断修正；科学解释应建立在经验事实和证据基础之上；科学研究中的观察、问题选择与解释建构会受到已有知识背景和研究经验的影响；模型、假设与解释的形成包含推理、想象与创造；同时，科学还是一种处于社会文化情境中的人类活动，受到共同体规范、社会需求与文化背景的制约</w:t>
      </w:r>
      <w:r>
        <w:rPr>
          <w:rStyle w:val="22"/>
          <w:rFonts w:hint="eastAsia" w:ascii="宋体" w:hAnsi="宋体" w:cs="宋体"/>
          <w:bCs/>
          <w:color w:val="000000"/>
          <w:sz w:val="24"/>
          <w:szCs w:val="24"/>
        </w:rPr>
        <w:t>［</w:t>
      </w:r>
      <w:r>
        <w:rPr>
          <w:rStyle w:val="22"/>
          <w:rFonts w:hint="eastAsia" w:ascii="宋体" w:hAnsi="宋体" w:cs="宋体"/>
          <w:bCs/>
          <w:color w:val="000000"/>
          <w:sz w:val="24"/>
          <w:szCs w:val="24"/>
        </w:rPr>
        <w:footnoteReference w:id="16"/>
      </w:r>
      <w:r>
        <w:rPr>
          <w:rStyle w:val="22"/>
          <w:rFonts w:hint="eastAsia" w:ascii="宋体" w:hAnsi="宋体" w:cs="宋体"/>
          <w:bCs/>
          <w:color w:val="000000"/>
          <w:sz w:val="24"/>
          <w:szCs w:val="24"/>
        </w:rPr>
        <w:t>］</w:t>
      </w:r>
      <w:r>
        <w:rPr>
          <w:rFonts w:hint="eastAsia" w:ascii="宋体" w:hAnsi="宋体" w:cs="宋体"/>
          <w:bCs/>
          <w:color w:val="000000"/>
          <w:sz w:val="24"/>
          <w:szCs w:val="24"/>
        </w:rPr>
        <w:t>。这类界定之所以被广泛采用，一个很重要的原因就在于，它不仅回答了科学本质观“教什么”的问题，也为后续的教学评价提供了相对清晰的依据。</w:t>
      </w:r>
    </w:p>
    <w:p w14:paraId="2F26E925">
      <w:pPr>
        <w:pStyle w:val="23"/>
        <w:keepLines/>
        <w:widowControl w:val="0"/>
        <w:ind w:firstLine="460"/>
        <w:rPr>
          <w:rFonts w:hint="eastAsia" w:ascii="宋体" w:hAnsi="宋体" w:cs="宋体"/>
          <w:bCs/>
          <w:color w:val="000000"/>
          <w:sz w:val="24"/>
          <w:szCs w:val="24"/>
        </w:rPr>
      </w:pPr>
      <w:r>
        <w:rPr>
          <w:rFonts w:hint="eastAsia" w:ascii="宋体" w:hAnsi="宋体" w:cs="宋体"/>
          <w:bCs/>
          <w:color w:val="000000"/>
          <w:sz w:val="24"/>
          <w:szCs w:val="24"/>
        </w:rPr>
        <w:t>在测评工具方面，国外研究较早便将科学本质观的维度界定与评价方式结合起来，形成了比较成熟的工具体系。其中，VNOS系列工具是使用最广的一类。它通常通过开放式问卷配合追问式访谈，呈现学生对相关问题的理解逻辑及其理由链条，更适合用于分析学生是如何理解科学知识、如何解释科学活动的</w:t>
      </w:r>
      <w:r>
        <w:rPr>
          <w:rStyle w:val="22"/>
          <w:rFonts w:hint="eastAsia" w:ascii="宋体" w:hAnsi="宋体" w:cs="宋体"/>
          <w:bCs/>
          <w:color w:val="000000"/>
          <w:sz w:val="24"/>
          <w:szCs w:val="24"/>
        </w:rPr>
        <w:t>［</w:t>
      </w:r>
      <w:r>
        <w:rPr>
          <w:rStyle w:val="22"/>
          <w:rFonts w:hint="eastAsia" w:ascii="宋体" w:hAnsi="宋体" w:cs="宋体"/>
          <w:bCs/>
          <w:color w:val="000000"/>
          <w:sz w:val="24"/>
          <w:szCs w:val="24"/>
        </w:rPr>
        <w:footnoteReference w:id="17"/>
      </w:r>
      <w:r>
        <w:rPr>
          <w:rStyle w:val="22"/>
          <w:rFonts w:hint="eastAsia" w:ascii="宋体" w:hAnsi="宋体" w:cs="宋体"/>
          <w:bCs/>
          <w:color w:val="000000"/>
          <w:sz w:val="24"/>
          <w:szCs w:val="24"/>
        </w:rPr>
        <w:t>］</w:t>
      </w:r>
      <w:r>
        <w:rPr>
          <w:rFonts w:hint="eastAsia" w:ascii="宋体" w:hAnsi="宋体" w:cs="宋体"/>
          <w:bCs/>
          <w:color w:val="000000"/>
          <w:sz w:val="24"/>
          <w:szCs w:val="24"/>
        </w:rPr>
        <w:t>。与之相比，量表式工具在大样本前后测比较中操作更为便捷，能够较清楚地呈现学生总体水平和维度变化，但在理解深度、理由结构和具体误解的呈现上相对有限，因此解释时往往需要更加谨慎</w:t>
      </w:r>
      <w:r>
        <w:rPr>
          <w:rStyle w:val="22"/>
          <w:rFonts w:hint="eastAsia" w:ascii="宋体" w:hAnsi="宋体" w:cs="宋体"/>
          <w:bCs/>
          <w:color w:val="000000"/>
          <w:sz w:val="24"/>
          <w:szCs w:val="24"/>
        </w:rPr>
        <w:t>［</w:t>
      </w:r>
      <w:r>
        <w:rPr>
          <w:rStyle w:val="22"/>
          <w:rFonts w:hint="eastAsia" w:ascii="宋体" w:hAnsi="宋体" w:cs="宋体"/>
          <w:bCs/>
          <w:color w:val="000000"/>
          <w:sz w:val="24"/>
          <w:szCs w:val="24"/>
        </w:rPr>
        <w:footnoteReference w:id="18"/>
      </w:r>
      <w:r>
        <w:rPr>
          <w:rStyle w:val="22"/>
          <w:rFonts w:hint="eastAsia" w:ascii="宋体" w:hAnsi="宋体" w:cs="宋体"/>
          <w:bCs/>
          <w:color w:val="000000"/>
          <w:sz w:val="24"/>
          <w:szCs w:val="24"/>
        </w:rPr>
        <w:t>］</w:t>
      </w:r>
      <w:r>
        <w:rPr>
          <w:rFonts w:hint="eastAsia" w:ascii="宋体" w:hAnsi="宋体" w:cs="宋体"/>
          <w:bCs/>
          <w:color w:val="000000"/>
          <w:sz w:val="24"/>
          <w:szCs w:val="24"/>
        </w:rPr>
        <w:t>。</w:t>
      </w:r>
    </w:p>
    <w:p w14:paraId="02CB0BB5">
      <w:pPr>
        <w:pStyle w:val="23"/>
        <w:keepNext/>
        <w:widowControl w:val="0"/>
        <w:ind w:firstLine="460"/>
        <w:rPr>
          <w:rFonts w:hint="eastAsia" w:ascii="宋体" w:hAnsi="宋体" w:cs="宋体"/>
          <w:bCs/>
          <w:color w:val="000000"/>
          <w:sz w:val="24"/>
          <w:szCs w:val="24"/>
        </w:rPr>
      </w:pPr>
      <w:r>
        <w:rPr>
          <w:rFonts w:hint="eastAsia" w:ascii="宋体" w:hAnsi="宋体" w:cs="宋体"/>
          <w:bCs/>
          <w:color w:val="000000"/>
          <w:sz w:val="24"/>
          <w:szCs w:val="24"/>
        </w:rPr>
        <w:t>从国外研究的整体情况来看，关于中学生NOS现状的研究已经积累了较多一般性认识，例如学生往往容易把科学知识理解为固定答案，在暂定性、理论负载性和社会文化性等方面的认识相对薄弱。由此也可以看出，后续教学设计如果只停留在“融入HPS有助于促进NOS”的一般判断上，仍然是不够的，还需要把NOS目标细化到具体的化学学习任务中，并通过可检验的数据来说明这种变化是否真正发生。</w:t>
      </w:r>
    </w:p>
    <w:p w14:paraId="428CDB5F">
      <w:pPr>
        <w:pStyle w:val="6"/>
        <w:keepLines w:val="0"/>
        <w:widowControl w:val="0"/>
        <w:numPr>
          <w:ilvl w:val="2"/>
          <w:numId w:val="15"/>
        </w:numPr>
        <w:tabs>
          <w:tab w:val="left" w:pos="0"/>
        </w:tabs>
        <w:spacing w:beforeAutospacing="0" w:afterAutospacing="0" w:line="312" w:lineRule="auto"/>
        <w:ind w:left="0" w:leftChars="0" w:firstLine="402" w:firstLineChars="0"/>
        <w:rPr>
          <w:rFonts w:ascii="黑体" w:hAnsi="黑体" w:eastAsia="黑体"/>
          <w:b w:val="0"/>
          <w:bCs w:val="0"/>
          <w:spacing w:val="0"/>
          <w:sz w:val="24"/>
        </w:rPr>
      </w:pPr>
      <w:r>
        <w:rPr>
          <w:rFonts w:ascii="黑体" w:hAnsi="黑体" w:eastAsia="黑体"/>
          <w:b w:val="0"/>
          <w:bCs w:val="0"/>
          <w:spacing w:val="0"/>
          <w:sz w:val="24"/>
        </w:rPr>
        <w:t>科学本质观国内研究现状</w:t>
      </w:r>
    </w:p>
    <w:p w14:paraId="30C8A355">
      <w:pPr>
        <w:pStyle w:val="23"/>
        <w:keepNext/>
        <w:widowControl w:val="0"/>
        <w:ind w:firstLine="460"/>
        <w:rPr>
          <w:rFonts w:hint="eastAsia" w:ascii="宋体" w:hAnsi="宋体" w:cs="宋体"/>
          <w:bCs/>
          <w:color w:val="000000"/>
          <w:sz w:val="24"/>
          <w:szCs w:val="24"/>
        </w:rPr>
      </w:pPr>
      <w:r>
        <w:rPr>
          <w:rFonts w:hint="eastAsia" w:ascii="宋体" w:hAnsi="宋体" w:cs="宋体"/>
          <w:bCs/>
          <w:color w:val="000000"/>
          <w:sz w:val="24"/>
          <w:szCs w:val="24"/>
        </w:rPr>
        <w:t>国内关于科学本质观的研究起步相对较晚，但推进较快，整体上经历了由文献引入到框架建构，再到测评工具开发和课堂策略探索的过程。随着国外研究成果的不断引入，国内学者逐渐开始结合本土课程语境对科学本质观进行界定。目前较常见、也较符合国内课程表述习惯的一种划分，是从科学知识观、科学探究观和科学事业观三个方面来把握科学本质观。其中，科学知识观关注知识的暂定性、累积性和创造性，强调科学知识并非绝对真理，而是会随着证据和解释的变化不断修正；科学探究观强调探究活动的实证性、多样性以及观察与解释之间并非简单对应；科学事业观则更多关注科学的社会文化属性、科学与技术之间的互动关系以及科学共同体的规范要求。这样的框架与</w:t>
      </w:r>
      <w:r>
        <w:rPr>
          <w:rFonts w:ascii="宋体" w:hAnsi="宋体" w:cs="宋体"/>
          <w:bCs/>
          <w:color w:val="000000"/>
          <w:sz w:val="24"/>
          <w:szCs w:val="24"/>
        </w:rPr>
        <w:t>教育部在《义务教育科学课程标准》及后续的《普通高中化学课程标准》中“理解科学本质”</w:t>
      </w:r>
      <w:r>
        <w:rPr>
          <w:rFonts w:hint="eastAsia" w:ascii="宋体" w:hAnsi="宋体" w:cs="宋体"/>
          <w:bCs/>
          <w:color w:val="000000"/>
          <w:sz w:val="24"/>
          <w:szCs w:val="24"/>
        </w:rPr>
        <w:t>的相关目标较为契合</w:t>
      </w:r>
      <w:r>
        <w:rPr>
          <w:rStyle w:val="22"/>
          <w:rFonts w:hint="eastAsia" w:ascii="宋体" w:hAnsi="宋体" w:cs="宋体"/>
          <w:bCs/>
          <w:color w:val="000000"/>
          <w:sz w:val="24"/>
          <w:szCs w:val="24"/>
        </w:rPr>
        <w:t>［</w:t>
      </w:r>
      <w:r>
        <w:rPr>
          <w:rStyle w:val="22"/>
          <w:rFonts w:hint="eastAsia" w:ascii="宋体" w:hAnsi="宋体" w:cs="宋体"/>
          <w:bCs/>
          <w:color w:val="000000"/>
          <w:sz w:val="24"/>
          <w:szCs w:val="24"/>
        </w:rPr>
        <w:footnoteReference w:id="19"/>
      </w:r>
      <w:r>
        <w:rPr>
          <w:rStyle w:val="22"/>
          <w:rFonts w:hint="eastAsia" w:ascii="宋体" w:hAnsi="宋体" w:cs="宋体"/>
          <w:bCs/>
          <w:color w:val="000000"/>
          <w:sz w:val="24"/>
          <w:szCs w:val="24"/>
        </w:rPr>
        <w:t>］</w:t>
      </w:r>
      <w:r>
        <w:rPr>
          <w:rFonts w:hint="eastAsia" w:ascii="宋体" w:hAnsi="宋体" w:cs="宋体"/>
          <w:bCs/>
          <w:color w:val="000000"/>
          <w:sz w:val="24"/>
          <w:szCs w:val="24"/>
        </w:rPr>
        <w:t>，也更便于将科学本质观的要求落到具体学科教学中。</w:t>
      </w:r>
    </w:p>
    <w:p w14:paraId="1C2EB9DD">
      <w:pPr>
        <w:pStyle w:val="23"/>
        <w:widowControl w:val="0"/>
        <w:ind w:firstLine="460"/>
        <w:rPr>
          <w:rFonts w:hint="eastAsia" w:ascii="宋体" w:hAnsi="宋体" w:cs="宋体"/>
          <w:bCs/>
          <w:color w:val="000000"/>
          <w:sz w:val="24"/>
          <w:szCs w:val="24"/>
        </w:rPr>
      </w:pPr>
      <w:r>
        <w:rPr>
          <w:rFonts w:hint="eastAsia" w:ascii="宋体" w:hAnsi="宋体" w:cs="宋体"/>
          <w:bCs/>
          <w:color w:val="000000"/>
          <w:sz w:val="24"/>
          <w:szCs w:val="24"/>
        </w:rPr>
        <w:t>在测评研究方面，</w:t>
      </w:r>
      <w:r>
        <w:rPr>
          <w:rFonts w:ascii="宋体" w:hAnsi="宋体" w:cs="宋体"/>
          <w:bCs/>
          <w:color w:val="000000"/>
          <w:sz w:val="24"/>
          <w:szCs w:val="24"/>
        </w:rPr>
        <w:t>为了更客观地把握我国师生的科学本质观水平，国内研究逐渐从“概念讨论”转向“量化/测评”。在</w:t>
      </w:r>
      <w:r>
        <w:rPr>
          <w:rFonts w:hint="eastAsia" w:ascii="宋体" w:hAnsi="宋体" w:cs="宋体"/>
          <w:bCs/>
          <w:color w:val="000000"/>
          <w:sz w:val="24"/>
          <w:szCs w:val="24"/>
        </w:rPr>
        <w:t>测评</w:t>
      </w:r>
      <w:r>
        <w:rPr>
          <w:rFonts w:ascii="宋体" w:hAnsi="宋体" w:cs="宋体"/>
          <w:bCs/>
          <w:color w:val="000000"/>
          <w:sz w:val="24"/>
          <w:szCs w:val="24"/>
        </w:rPr>
        <w:t>工具层面，有学者对国外经典量表进行系统梳理与引入，例如黄晓汇总了包括VNOS在内的多种测评工具，并尝试将其用于我国情境下的调查研究</w:t>
      </w:r>
      <w:r>
        <w:rPr>
          <w:rStyle w:val="22"/>
          <w:rFonts w:ascii="宋体" w:hAnsi="宋体" w:cs="宋体"/>
          <w:bCs/>
          <w:color w:val="000000"/>
          <w:sz w:val="24"/>
          <w:szCs w:val="24"/>
        </w:rPr>
        <w:t>［</w:t>
      </w:r>
      <w:r>
        <w:rPr>
          <w:rStyle w:val="22"/>
          <w:rFonts w:ascii="宋体" w:hAnsi="宋体" w:cs="宋体"/>
          <w:bCs/>
          <w:color w:val="000000"/>
          <w:sz w:val="24"/>
          <w:szCs w:val="24"/>
        </w:rPr>
        <w:footnoteReference w:id="20"/>
      </w:r>
      <w:r>
        <w:rPr>
          <w:rStyle w:val="22"/>
          <w:rFonts w:ascii="宋体" w:hAnsi="宋体" w:cs="宋体"/>
          <w:bCs/>
          <w:color w:val="000000"/>
          <w:sz w:val="24"/>
          <w:szCs w:val="24"/>
        </w:rPr>
        <w:t>］</w:t>
      </w:r>
      <w:r>
        <w:rPr>
          <w:rFonts w:hint="eastAsia" w:ascii="宋体" w:hAnsi="宋体" w:cs="宋体"/>
          <w:bCs/>
          <w:color w:val="000000"/>
          <w:sz w:val="24"/>
          <w:szCs w:val="24"/>
        </w:rPr>
        <w:t>；在本土化开发方面，刘健智基于“科学知识观—科学探究观—科学事业观”的三维框架，提出了较为具体的测量指标体系，明确了各维度的构成因素，并为后续研究提供了可操作的量表思路</w:t>
      </w:r>
      <w:r>
        <w:rPr>
          <w:rStyle w:val="22"/>
          <w:rFonts w:ascii="宋体" w:hAnsi="宋体" w:cs="宋体"/>
          <w:bCs/>
          <w:color w:val="000000"/>
          <w:sz w:val="24"/>
          <w:szCs w:val="24"/>
        </w:rPr>
        <w:t>［</w:t>
      </w:r>
      <w:r>
        <w:rPr>
          <w:rStyle w:val="22"/>
          <w:rFonts w:ascii="宋体" w:hAnsi="宋体" w:cs="宋体"/>
          <w:bCs/>
          <w:color w:val="000000"/>
          <w:sz w:val="24"/>
          <w:szCs w:val="24"/>
        </w:rPr>
        <w:footnoteReference w:id="21"/>
      </w:r>
      <w:r>
        <w:rPr>
          <w:rStyle w:val="22"/>
          <w:rFonts w:ascii="宋体" w:hAnsi="宋体" w:cs="宋体"/>
          <w:bCs/>
          <w:color w:val="000000"/>
          <w:sz w:val="24"/>
          <w:szCs w:val="24"/>
        </w:rPr>
        <w:t>］</w:t>
      </w:r>
      <w:r>
        <w:rPr>
          <w:rFonts w:hint="eastAsia" w:ascii="宋体" w:hAnsi="宋体" w:cs="宋体"/>
          <w:bCs/>
          <w:color w:val="000000"/>
          <w:sz w:val="24"/>
          <w:szCs w:val="24"/>
        </w:rPr>
        <w:t>。梁永平、宁君迎在高中生微观认识学习背景下的研究表明，学生对“科学知识是什么、如何形成”的理解往往较为表层，容易将科学知识视作固定不变的答案</w:t>
      </w:r>
      <w:r>
        <w:rPr>
          <w:rStyle w:val="22"/>
          <w:rFonts w:hint="eastAsia" w:ascii="宋体" w:hAnsi="宋体" w:cs="宋体"/>
          <w:bCs/>
          <w:color w:val="000000"/>
          <w:sz w:val="24"/>
          <w:szCs w:val="24"/>
        </w:rPr>
        <w:t>［</w:t>
      </w:r>
      <w:r>
        <w:rPr>
          <w:rStyle w:val="22"/>
          <w:rFonts w:hint="eastAsia" w:ascii="宋体" w:hAnsi="宋体" w:cs="宋体"/>
          <w:bCs/>
          <w:color w:val="000000"/>
          <w:sz w:val="24"/>
          <w:szCs w:val="24"/>
        </w:rPr>
        <w:footnoteReference w:id="22"/>
      </w:r>
      <w:r>
        <w:rPr>
          <w:rStyle w:val="22"/>
          <w:rFonts w:hint="eastAsia" w:ascii="宋体" w:hAnsi="宋体" w:cs="宋体"/>
          <w:bCs/>
          <w:color w:val="000000"/>
          <w:sz w:val="24"/>
          <w:szCs w:val="24"/>
        </w:rPr>
        <w:t>］</w:t>
      </w:r>
      <w:r>
        <w:rPr>
          <w:rFonts w:hint="eastAsia" w:ascii="宋体" w:hAnsi="宋体" w:cs="宋体"/>
          <w:bCs/>
          <w:color w:val="000000"/>
          <w:sz w:val="24"/>
          <w:szCs w:val="24"/>
        </w:rPr>
        <w:t>。黄晓的相关调查也提示，学生在“科学探究”与“科学事业”等维度上存在明显薄弱环节，常把科学等同于绝对真理、忽视科学知识的可修正性与社会文化嵌入性。</w:t>
      </w:r>
    </w:p>
    <w:p w14:paraId="479D1FC9">
      <w:pPr>
        <w:pStyle w:val="23"/>
        <w:widowControl w:val="0"/>
        <w:ind w:firstLine="460"/>
        <w:rPr>
          <w:rFonts w:hint="eastAsia" w:ascii="宋体" w:hAnsi="宋体" w:cs="宋体"/>
          <w:bCs/>
          <w:color w:val="000000"/>
          <w:sz w:val="24"/>
          <w:szCs w:val="24"/>
        </w:rPr>
      </w:pPr>
      <w:r>
        <w:rPr>
          <w:rFonts w:ascii="宋体" w:hAnsi="宋体" w:cs="宋体"/>
          <w:bCs/>
          <w:color w:val="000000"/>
          <w:sz w:val="24"/>
          <w:szCs w:val="24"/>
        </w:rPr>
        <w:t>在中国知网（CNKI）高级搜索栏输入“科学本质观”和“化学”为主题进行搜索，共检索到使用</w:t>
      </w:r>
      <w:r>
        <w:rPr>
          <w:rFonts w:hint="eastAsia" w:ascii="宋体" w:hAnsi="宋体" w:cs="宋体"/>
          <w:bCs/>
          <w:color w:val="000000"/>
          <w:sz w:val="24"/>
          <w:szCs w:val="24"/>
        </w:rPr>
        <w:t>150</w:t>
      </w:r>
      <w:r>
        <w:rPr>
          <w:rFonts w:ascii="宋体" w:hAnsi="宋体" w:cs="宋体"/>
          <w:bCs/>
          <w:color w:val="000000"/>
          <w:sz w:val="24"/>
          <w:szCs w:val="24"/>
        </w:rPr>
        <w:t>条结果，其中期刊</w:t>
      </w:r>
      <w:r>
        <w:rPr>
          <w:rFonts w:hint="eastAsia" w:ascii="宋体" w:hAnsi="宋体" w:cs="宋体"/>
          <w:bCs/>
          <w:color w:val="000000"/>
          <w:sz w:val="24"/>
          <w:szCs w:val="24"/>
        </w:rPr>
        <w:t>30</w:t>
      </w:r>
      <w:r>
        <w:rPr>
          <w:rFonts w:ascii="宋体" w:hAnsi="宋体" w:cs="宋体"/>
          <w:bCs/>
          <w:color w:val="000000"/>
          <w:sz w:val="24"/>
          <w:szCs w:val="24"/>
        </w:rPr>
        <w:t>篇，学位论文</w:t>
      </w:r>
      <w:r>
        <w:rPr>
          <w:rFonts w:hint="eastAsia" w:ascii="宋体" w:hAnsi="宋体" w:cs="宋体"/>
          <w:bCs/>
          <w:color w:val="000000"/>
          <w:sz w:val="24"/>
          <w:szCs w:val="24"/>
        </w:rPr>
        <w:t>87</w:t>
      </w:r>
      <w:r>
        <w:rPr>
          <w:rFonts w:ascii="宋体" w:hAnsi="宋体" w:cs="宋体"/>
          <w:bCs/>
          <w:color w:val="000000"/>
          <w:sz w:val="24"/>
          <w:szCs w:val="24"/>
        </w:rPr>
        <w:t>篇，会议</w:t>
      </w:r>
      <w:r>
        <w:rPr>
          <w:rFonts w:hint="eastAsia" w:ascii="宋体" w:hAnsi="宋体" w:cs="宋体"/>
          <w:bCs/>
          <w:color w:val="000000"/>
          <w:sz w:val="24"/>
          <w:szCs w:val="24"/>
        </w:rPr>
        <w:t>3</w:t>
      </w:r>
      <w:r>
        <w:rPr>
          <w:rFonts w:ascii="宋体" w:hAnsi="宋体" w:cs="宋体"/>
          <w:bCs/>
          <w:color w:val="000000"/>
          <w:sz w:val="24"/>
          <w:szCs w:val="24"/>
        </w:rPr>
        <w:t>篇，根据发表年度趋势图（图</w:t>
      </w:r>
      <w:r>
        <w:rPr>
          <w:rFonts w:hint="eastAsia" w:ascii="宋体" w:hAnsi="宋体" w:cs="宋体"/>
          <w:bCs/>
          <w:color w:val="000000"/>
          <w:sz w:val="24"/>
          <w:szCs w:val="24"/>
        </w:rPr>
        <w:t>2-7</w:t>
      </w:r>
      <w:r>
        <w:rPr>
          <w:rFonts w:ascii="宋体" w:hAnsi="宋体" w:cs="宋体"/>
          <w:bCs/>
          <w:color w:val="000000"/>
          <w:sz w:val="24"/>
          <w:szCs w:val="24"/>
        </w:rPr>
        <w:t>）我们可以看出</w:t>
      </w:r>
      <w:r>
        <w:rPr>
          <w:rFonts w:hint="eastAsia" w:ascii="宋体" w:hAnsi="宋体" w:cs="宋体"/>
          <w:bCs/>
          <w:color w:val="000000"/>
          <w:sz w:val="24"/>
          <w:szCs w:val="24"/>
        </w:rPr>
        <w:t>，该领域的研究自2005年前后开始逐步展开，整体上呈现上升趋势，并在2022年前后达到相对高点。这不仅仅是说明相关文献数量有所增加，更重要的是反映出化学学科中的科学本质观研究已经逐渐形成较稳定的研究议题，并且具备继续向课堂干预与证据深化推进的基础。</w:t>
      </w:r>
    </w:p>
    <w:p w14:paraId="71D94D50">
      <w:pPr>
        <w:pStyle w:val="23"/>
        <w:widowControl w:val="0"/>
        <w:ind w:firstLine="0" w:firstLineChars="0"/>
        <w:jc w:val="center"/>
        <w:rPr>
          <w:color w:val="000000"/>
        </w:rPr>
      </w:pPr>
      <w:r>
        <w:drawing>
          <wp:inline distT="0" distB="0" distL="114300" distR="114300">
            <wp:extent cx="5168265" cy="1421130"/>
            <wp:effectExtent l="0" t="0" r="381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168265" cy="1421130"/>
                    </a:xfrm>
                    <a:prstGeom prst="rect">
                      <a:avLst/>
                    </a:prstGeom>
                    <a:noFill/>
                    <a:ln>
                      <a:noFill/>
                    </a:ln>
                  </pic:spPr>
                </pic:pic>
              </a:graphicData>
            </a:graphic>
          </wp:inline>
        </w:drawing>
      </w:r>
    </w:p>
    <w:p w14:paraId="3877FA76">
      <w:pPr>
        <w:pStyle w:val="23"/>
        <w:widowControl w:val="0"/>
        <w:ind w:firstLine="460"/>
        <w:jc w:val="center"/>
        <w:rPr>
          <w:rFonts w:hint="eastAsia" w:ascii="宋体" w:hAnsi="宋体" w:cs="宋体"/>
          <w:bCs/>
          <w:color w:val="000000"/>
          <w:sz w:val="24"/>
          <w:szCs w:val="24"/>
        </w:rPr>
      </w:pPr>
      <w:r>
        <w:rPr>
          <w:rFonts w:ascii="宋体" w:hAnsi="宋体" w:cs="宋体"/>
          <w:bCs/>
          <w:color w:val="000000"/>
          <w:sz w:val="24"/>
          <w:szCs w:val="24"/>
        </w:rPr>
        <w:t>图</w:t>
      </w:r>
      <w:r>
        <w:rPr>
          <w:rFonts w:hint="eastAsia" w:ascii="宋体" w:hAnsi="宋体" w:cs="宋体"/>
          <w:bCs/>
          <w:color w:val="000000"/>
          <w:sz w:val="24"/>
          <w:szCs w:val="24"/>
        </w:rPr>
        <w:t>2-7</w:t>
      </w:r>
      <w:r>
        <w:rPr>
          <w:rFonts w:ascii="宋体" w:hAnsi="宋体" w:cs="宋体"/>
          <w:bCs/>
          <w:color w:val="000000"/>
          <w:sz w:val="24"/>
          <w:szCs w:val="24"/>
        </w:rPr>
        <w:t xml:space="preserve"> 化学学科中科学本质观相关论文的发表年度趋势图</w:t>
      </w:r>
    </w:p>
    <w:p w14:paraId="6DD05935">
      <w:pPr>
        <w:pStyle w:val="23"/>
        <w:widowControl w:val="0"/>
        <w:ind w:firstLine="460"/>
        <w:jc w:val="both"/>
        <w:rPr>
          <w:rFonts w:hint="eastAsia" w:ascii="宋体" w:hAnsi="宋体" w:cs="宋体"/>
          <w:bCs/>
          <w:color w:val="000000"/>
          <w:sz w:val="24"/>
          <w:szCs w:val="24"/>
        </w:rPr>
      </w:pPr>
      <w:r>
        <w:rPr>
          <w:rFonts w:hint="eastAsia" w:ascii="宋体" w:hAnsi="宋体" w:cs="宋体"/>
          <w:bCs/>
          <w:color w:val="000000"/>
          <w:sz w:val="24"/>
          <w:szCs w:val="24"/>
        </w:rPr>
        <w:t>在此基础上，本文进一步利用CiteSpace对对</w:t>
      </w:r>
      <w:r>
        <w:rPr>
          <w:rFonts w:ascii="宋体" w:hAnsi="宋体" w:cs="宋体"/>
          <w:bCs/>
          <w:color w:val="000000"/>
          <w:sz w:val="24"/>
          <w:szCs w:val="24"/>
        </w:rPr>
        <w:t>中国知网中以“科学本质观”“化学”为主题检索得到的文献进行</w:t>
      </w:r>
      <w:r>
        <w:rPr>
          <w:rFonts w:hint="eastAsia" w:ascii="宋体" w:hAnsi="宋体" w:cs="宋体"/>
          <w:bCs/>
          <w:color w:val="000000"/>
          <w:sz w:val="24"/>
          <w:szCs w:val="24"/>
        </w:rPr>
        <w:t>相关分析可得到以下结论：</w:t>
      </w:r>
    </w:p>
    <w:p w14:paraId="6CFB2603">
      <w:pPr>
        <w:pStyle w:val="23"/>
        <w:widowControl w:val="0"/>
        <w:ind w:firstLine="460"/>
        <w:jc w:val="both"/>
        <w:rPr>
          <w:rFonts w:hint="eastAsia" w:ascii="宋体" w:hAnsi="宋体" w:cs="宋体"/>
          <w:bCs/>
          <w:color w:val="000000"/>
          <w:sz w:val="24"/>
          <w:szCs w:val="24"/>
        </w:rPr>
      </w:pPr>
      <w:r>
        <w:rPr>
          <w:rFonts w:hint="eastAsia" w:ascii="宋体" w:hAnsi="宋体" w:cs="宋体"/>
          <w:bCs/>
          <w:color w:val="000000"/>
          <w:sz w:val="24"/>
          <w:szCs w:val="24"/>
        </w:rPr>
        <w:t>根据</w:t>
      </w:r>
      <w:r>
        <w:rPr>
          <w:rFonts w:ascii="宋体" w:hAnsi="宋体" w:cs="宋体"/>
          <w:bCs/>
          <w:color w:val="000000"/>
          <w:sz w:val="24"/>
          <w:szCs w:val="24"/>
        </w:rPr>
        <w:t>整体关键词共现</w:t>
      </w:r>
      <w:r>
        <w:rPr>
          <w:rFonts w:hint="eastAsia" w:ascii="宋体" w:hAnsi="宋体" w:cs="宋体"/>
          <w:bCs/>
          <w:color w:val="000000"/>
          <w:sz w:val="24"/>
          <w:szCs w:val="24"/>
        </w:rPr>
        <w:t>图（如</w:t>
      </w:r>
      <w:r>
        <w:rPr>
          <w:rFonts w:ascii="宋体" w:hAnsi="宋体" w:cs="宋体"/>
          <w:bCs/>
          <w:color w:val="000000"/>
          <w:sz w:val="24"/>
          <w:szCs w:val="24"/>
        </w:rPr>
        <w:t>图</w:t>
      </w:r>
      <w:r>
        <w:rPr>
          <w:rFonts w:hint="eastAsia" w:ascii="宋体" w:hAnsi="宋体" w:cs="宋体"/>
          <w:bCs/>
          <w:color w:val="000000"/>
          <w:sz w:val="24"/>
          <w:szCs w:val="24"/>
        </w:rPr>
        <w:t>2-8）</w:t>
      </w:r>
      <w:r>
        <w:rPr>
          <w:rFonts w:ascii="宋体" w:hAnsi="宋体" w:cs="宋体"/>
          <w:bCs/>
          <w:color w:val="000000"/>
          <w:sz w:val="24"/>
          <w:szCs w:val="24"/>
        </w:rPr>
        <w:t>显示，“高中化学”“科学本质”等节点外圈紫色环较突出，意味着其在不同主题之间具有较强的连接作用</w:t>
      </w:r>
      <w:r>
        <w:rPr>
          <w:rFonts w:hint="eastAsia" w:ascii="宋体" w:hAnsi="宋体" w:cs="宋体"/>
          <w:bCs/>
          <w:color w:val="000000"/>
          <w:sz w:val="24"/>
          <w:szCs w:val="24"/>
        </w:rPr>
        <w:t>。</w:t>
      </w:r>
      <w:r>
        <w:rPr>
          <w:rFonts w:ascii="宋体" w:hAnsi="宋体" w:cs="宋体"/>
          <w:bCs/>
          <w:color w:val="000000"/>
          <w:sz w:val="24"/>
          <w:szCs w:val="24"/>
        </w:rPr>
        <w:t>一方面，这表明“科学本质观”的讨论常被放置在高中教学情境中展开，研究重点更偏向课堂层面的设计与落地</w:t>
      </w:r>
      <w:r>
        <w:rPr>
          <w:rFonts w:hint="eastAsia" w:ascii="宋体" w:hAnsi="宋体" w:cs="宋体"/>
          <w:bCs/>
          <w:color w:val="000000"/>
          <w:sz w:val="24"/>
          <w:szCs w:val="24"/>
        </w:rPr>
        <w:t>；</w:t>
      </w:r>
      <w:r>
        <w:rPr>
          <w:rFonts w:ascii="宋体" w:hAnsi="宋体" w:cs="宋体"/>
          <w:bCs/>
          <w:color w:val="000000"/>
          <w:sz w:val="24"/>
          <w:szCs w:val="24"/>
        </w:rPr>
        <w:t>另一方面，“化学史/科学史”“科学探究”“三重表征”等关键词的出现，提示研究并非只谈理念，而是倾向于借助历史素材、探究活动与表征建构来承载科学本质观的教学转化。</w:t>
      </w:r>
    </w:p>
    <w:p w14:paraId="79EE2052">
      <w:pPr>
        <w:pStyle w:val="23"/>
        <w:widowControl w:val="0"/>
        <w:ind w:firstLine="480"/>
        <w:jc w:val="center"/>
        <w:rPr>
          <w:rFonts w:hint="eastAsia" w:ascii="宋体" w:hAnsi="宋体" w:cs="宋体"/>
          <w:bCs/>
          <w:color w:val="000000"/>
          <w:sz w:val="24"/>
          <w:szCs w:val="24"/>
        </w:rPr>
      </w:pPr>
      <w:r>
        <w:rPr>
          <w:rFonts w:ascii="宋体" w:hAnsi="宋体" w:cs="宋体"/>
          <w:bCs/>
          <w:color w:val="000000"/>
          <w:sz w:val="24"/>
          <w:szCs w:val="24"/>
        </w:rPr>
        <w:drawing>
          <wp:inline distT="0" distB="0" distL="114300" distR="114300">
            <wp:extent cx="3241675" cy="2943225"/>
            <wp:effectExtent l="0" t="0" r="6350" b="0"/>
            <wp:docPr id="9" name="图片 9" descr="CO-DESC_v91e136整体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O-DESC_v91e136整体线图2"/>
                    <pic:cNvPicPr>
                      <a:picLocks noChangeAspect="1"/>
                    </pic:cNvPicPr>
                  </pic:nvPicPr>
                  <pic:blipFill>
                    <a:blip r:embed="rId8"/>
                    <a:srcRect l="18864" t="12911" r="27495" b="8523"/>
                    <a:stretch>
                      <a:fillRect/>
                    </a:stretch>
                  </pic:blipFill>
                  <pic:spPr>
                    <a:xfrm>
                      <a:off x="0" y="0"/>
                      <a:ext cx="3241675" cy="2943225"/>
                    </a:xfrm>
                    <a:prstGeom prst="rect">
                      <a:avLst/>
                    </a:prstGeom>
                  </pic:spPr>
                </pic:pic>
              </a:graphicData>
            </a:graphic>
          </wp:inline>
        </w:drawing>
      </w:r>
    </w:p>
    <w:p w14:paraId="3F5AE4E6">
      <w:pPr>
        <w:pStyle w:val="23"/>
        <w:widowControl w:val="0"/>
        <w:ind w:firstLine="460"/>
        <w:jc w:val="center"/>
        <w:rPr>
          <w:rFonts w:hint="eastAsia" w:ascii="宋体" w:hAnsi="宋体" w:cs="宋体"/>
          <w:bCs/>
          <w:color w:val="000000"/>
          <w:sz w:val="24"/>
          <w:szCs w:val="24"/>
        </w:rPr>
      </w:pPr>
      <w:r>
        <w:rPr>
          <w:rFonts w:hint="eastAsia" w:ascii="宋体" w:hAnsi="宋体" w:cs="宋体"/>
          <w:bCs/>
          <w:color w:val="000000"/>
          <w:sz w:val="24"/>
          <w:szCs w:val="24"/>
        </w:rPr>
        <w:t>图2-8 科学本质观与化学教学相关研究整体关键词共现图谱</w:t>
      </w:r>
    </w:p>
    <w:p w14:paraId="1D0C0FD1">
      <w:pPr>
        <w:pStyle w:val="5"/>
        <w:widowControl w:val="0"/>
        <w:numPr>
          <w:ilvl w:val="1"/>
          <w:numId w:val="15"/>
        </w:numPr>
        <w:ind w:left="0" w:leftChars="0" w:firstLine="402" w:firstLineChars="0"/>
      </w:pPr>
      <w:r>
        <w:rPr>
          <w:rFonts w:hint="eastAsia"/>
        </w:rPr>
        <w:t>科学本质观教学的研究</w:t>
      </w:r>
      <w:r>
        <w:t>现状</w:t>
      </w:r>
    </w:p>
    <w:p w14:paraId="72C78A9B">
      <w:pPr>
        <w:pStyle w:val="6"/>
        <w:widowControl w:val="0"/>
        <w:numPr>
          <w:ilvl w:val="2"/>
          <w:numId w:val="15"/>
        </w:numPr>
        <w:tabs>
          <w:tab w:val="left" w:pos="0"/>
        </w:tabs>
        <w:spacing w:line="312" w:lineRule="auto"/>
        <w:ind w:left="0" w:leftChars="0" w:firstLine="402" w:firstLineChars="0"/>
        <w:rPr>
          <w:rFonts w:cs="宋体"/>
          <w:color w:val="000000"/>
          <w:sz w:val="24"/>
          <w:szCs w:val="24"/>
        </w:rPr>
      </w:pPr>
      <w:r>
        <w:rPr>
          <w:rFonts w:ascii="黑体" w:hAnsi="黑体" w:eastAsia="黑体"/>
          <w:b w:val="0"/>
          <w:bCs w:val="0"/>
          <w:spacing w:val="0"/>
          <w:sz w:val="24"/>
        </w:rPr>
        <w:t>科学本质观国外研究现状</w:t>
      </w:r>
    </w:p>
    <w:p w14:paraId="6C1D59A9">
      <w:pPr>
        <w:keepNext/>
        <w:keepLines w:val="0"/>
        <w:pageBreakBefore w:val="0"/>
        <w:widowControl w:val="0"/>
        <w:kinsoku/>
        <w:wordWrap/>
        <w:overflowPunct/>
        <w:topLinePunct w:val="0"/>
        <w:autoSpaceDE/>
        <w:autoSpaceDN/>
        <w:bidi w:val="0"/>
        <w:adjustRightInd/>
        <w:snapToGrid/>
        <w:textAlignment w:val="auto"/>
        <w:rPr>
          <w:rFonts w:hint="eastAsia" w:ascii="宋体" w:hAnsi="宋体" w:cs="宋体"/>
          <w:bCs/>
          <w:color w:val="000000"/>
          <w:szCs w:val="24"/>
        </w:rPr>
      </w:pPr>
      <w:r>
        <w:rPr>
          <w:rFonts w:hint="eastAsia" w:ascii="宋体" w:hAnsi="宋体" w:cs="宋体"/>
          <w:bCs/>
          <w:color w:val="000000"/>
          <w:szCs w:val="24"/>
        </w:rPr>
        <w:t>约瑟夫·施瓦布（Joseph J. Schwab）在课程改革中提出“将科学教学作为探究”的理念，强调教学应呈现探究的过程与理由，而不仅是把概念和定律当作既定事实灌输给学生</w:t>
      </w:r>
      <w:r>
        <w:rPr>
          <w:rStyle w:val="22"/>
          <w:rFonts w:hint="eastAsia" w:ascii="宋体" w:hAnsi="宋体" w:cs="宋体"/>
          <w:bCs/>
          <w:color w:val="000000"/>
          <w:szCs w:val="24"/>
        </w:rPr>
        <w:t>［</w:t>
      </w:r>
      <w:r>
        <w:rPr>
          <w:rStyle w:val="22"/>
          <w:rFonts w:hint="eastAsia" w:ascii="宋体" w:hAnsi="宋体" w:cs="宋体"/>
          <w:bCs/>
          <w:color w:val="000000"/>
          <w:szCs w:val="24"/>
        </w:rPr>
        <w:footnoteReference w:id="23"/>
      </w:r>
      <w:r>
        <w:rPr>
          <w:rStyle w:val="22"/>
          <w:rFonts w:hint="eastAsia" w:ascii="宋体" w:hAnsi="宋体" w:cs="宋体"/>
          <w:bCs/>
          <w:color w:val="000000"/>
          <w:szCs w:val="24"/>
        </w:rPr>
        <w:t>］</w:t>
      </w:r>
      <w:r>
        <w:rPr>
          <w:rFonts w:hint="eastAsia" w:ascii="宋体" w:hAnsi="宋体" w:cs="宋体"/>
          <w:bCs/>
          <w:color w:val="000000"/>
          <w:szCs w:val="24"/>
        </w:rPr>
        <w:t>。在此基础上，相关研究进一步明确，NOS并不是一个脱离课堂的抽象概念，而是一组可以进入课堂教学、并能够在研究中加以考察的理解内容。这意味着，科学本质观教学不仅要回答“教什么”，还要进一步回答“如何教”以及“如何评价”。</w:t>
      </w:r>
    </w:p>
    <w:p w14:paraId="3D05A440">
      <w:pPr>
        <w:pStyle w:val="23"/>
        <w:keepNext/>
        <w:keepLines w:val="0"/>
        <w:pageBreakBefore w:val="0"/>
        <w:widowControl w:val="0"/>
        <w:kinsoku/>
        <w:wordWrap/>
        <w:overflowPunct/>
        <w:topLinePunct w:val="0"/>
        <w:autoSpaceDE/>
        <w:autoSpaceDN/>
        <w:bidi w:val="0"/>
        <w:adjustRightInd/>
        <w:snapToGrid/>
        <w:ind w:firstLine="460"/>
        <w:textAlignment w:val="auto"/>
        <w:rPr>
          <w:rFonts w:hint="eastAsia" w:ascii="宋体" w:hAnsi="宋体" w:cs="宋体"/>
          <w:bCs/>
          <w:color w:val="000000"/>
          <w:sz w:val="24"/>
          <w:szCs w:val="24"/>
        </w:rPr>
      </w:pPr>
      <w:r>
        <w:rPr>
          <w:rFonts w:hint="eastAsia" w:ascii="宋体" w:hAnsi="宋体" w:cs="宋体"/>
          <w:bCs/>
          <w:color w:val="000000"/>
          <w:sz w:val="24"/>
          <w:szCs w:val="24"/>
        </w:rPr>
        <w:t>如果把VNOS与量表式工具放进课堂干预研究中来看，VNOS更适合帮助研究者看到学生“为什么这样想”；量表更适合全样本的前后测比较，能够较直观地呈现干预前后的变化趋势。就课堂研究而言，以前后测量表呈现整体变化，再通过抽样访谈、开放式作答以及学习作品和课堂讨论记录补充过程性证据，由此形成较为完整的证据链。结合本研究后续的课堂实施需要，采用“量表前后测+抽样访谈或是开放题+学习作品与课堂论证记录”的方式，更有利于同时把握变化趋势与变化原因。</w:t>
      </w:r>
    </w:p>
    <w:p w14:paraId="1C7B0ED5">
      <w:pPr>
        <w:rPr>
          <w:rFonts w:hint="eastAsia" w:ascii="宋体" w:hAnsi="宋体" w:cs="宋体"/>
          <w:bCs/>
          <w:color w:val="000000"/>
          <w:szCs w:val="24"/>
        </w:rPr>
      </w:pPr>
      <w:r>
        <w:rPr>
          <w:rFonts w:hint="eastAsia" w:ascii="宋体" w:hAnsi="宋体" w:cs="宋体"/>
          <w:bCs/>
          <w:color w:val="000000"/>
          <w:szCs w:val="24"/>
        </w:rPr>
        <w:t>从国外研究的整体情况来看，关于中学生NOS现状的研究已经积累了较多一般性认识，例如学生往往容易把科学知识理解为固定答案，在暂定性、理论负载性和社会文化性等方面的认识相对薄弱。由此也可以看出，后续教学设计如果只停留在“融入某种策略有助于促进NOS”的一般判断上，仍然是不够的，还需要把NOS目标细化到具体的学习任务中，并通过可检验的数据来说明这种变化是否真正发生。</w:t>
      </w:r>
    </w:p>
    <w:p w14:paraId="37F4C437">
      <w:pPr>
        <w:pStyle w:val="6"/>
        <w:widowControl w:val="0"/>
        <w:numPr>
          <w:ilvl w:val="2"/>
          <w:numId w:val="15"/>
        </w:numPr>
        <w:tabs>
          <w:tab w:val="left" w:pos="0"/>
        </w:tabs>
        <w:spacing w:line="312" w:lineRule="auto"/>
        <w:ind w:left="0" w:leftChars="0" w:firstLine="402" w:firstLineChars="0"/>
        <w:rPr>
          <w:rFonts w:cs="宋体"/>
          <w:color w:val="000000"/>
          <w:sz w:val="24"/>
          <w:szCs w:val="24"/>
        </w:rPr>
      </w:pPr>
      <w:r>
        <w:rPr>
          <w:rFonts w:ascii="黑体" w:hAnsi="黑体" w:eastAsia="黑体"/>
          <w:b w:val="0"/>
          <w:bCs w:val="0"/>
          <w:spacing w:val="0"/>
          <w:sz w:val="24"/>
        </w:rPr>
        <w:t>科学本质观国外研究现状</w:t>
      </w:r>
    </w:p>
    <w:p w14:paraId="44184CB8">
      <w:pPr>
        <w:pStyle w:val="23"/>
        <w:widowControl w:val="0"/>
        <w:ind w:firstLine="460"/>
        <w:rPr>
          <w:rFonts w:hint="eastAsia" w:ascii="宋体" w:hAnsi="宋体" w:cs="宋体"/>
          <w:bCs/>
          <w:color w:val="000000"/>
          <w:sz w:val="24"/>
          <w:szCs w:val="24"/>
        </w:rPr>
      </w:pPr>
      <w:r>
        <w:rPr>
          <w:rFonts w:hint="eastAsia" w:ascii="宋体" w:hAnsi="宋体" w:cs="宋体"/>
          <w:bCs/>
          <w:color w:val="000000"/>
          <w:sz w:val="24"/>
          <w:szCs w:val="24"/>
        </w:rPr>
        <w:t>教师层面的研究同样提示出科学本质教育落地过程中的现实困难</w:t>
      </w:r>
      <w:r>
        <w:rPr>
          <w:rFonts w:ascii="宋体" w:hAnsi="宋体" w:cs="宋体"/>
          <w:bCs/>
          <w:color w:val="000000"/>
          <w:sz w:val="24"/>
          <w:szCs w:val="24"/>
        </w:rPr>
        <w:t>。罗小凤和刘瑞通过对职前化学教师的深度分析发现，教师自身的知识结构缺陷、过往学习经历的局限以及教学资源的匮乏，</w:t>
      </w:r>
      <w:r>
        <w:rPr>
          <w:rFonts w:hint="eastAsia" w:ascii="宋体" w:hAnsi="宋体" w:cs="宋体"/>
          <w:bCs/>
          <w:color w:val="000000"/>
          <w:sz w:val="24"/>
          <w:szCs w:val="24"/>
        </w:rPr>
        <w:t>这会直接影响科学本质教学的开展</w:t>
      </w:r>
      <w:r>
        <w:rPr>
          <w:rStyle w:val="22"/>
          <w:rFonts w:ascii="宋体" w:hAnsi="宋体" w:cs="宋体"/>
          <w:bCs/>
          <w:color w:val="000000"/>
          <w:sz w:val="24"/>
          <w:szCs w:val="24"/>
        </w:rPr>
        <w:t>［</w:t>
      </w:r>
      <w:r>
        <w:rPr>
          <w:rStyle w:val="22"/>
          <w:rFonts w:ascii="宋体" w:hAnsi="宋体" w:cs="宋体"/>
          <w:bCs/>
          <w:color w:val="000000"/>
          <w:sz w:val="24"/>
          <w:szCs w:val="24"/>
        </w:rPr>
        <w:footnoteReference w:id="24"/>
      </w:r>
      <w:r>
        <w:rPr>
          <w:rStyle w:val="22"/>
          <w:rFonts w:ascii="宋体" w:hAnsi="宋体" w:cs="宋体"/>
          <w:bCs/>
          <w:color w:val="000000"/>
          <w:sz w:val="24"/>
          <w:szCs w:val="24"/>
        </w:rPr>
        <w:t>］</w:t>
      </w:r>
      <w:r>
        <w:rPr>
          <w:rFonts w:ascii="宋体" w:hAnsi="宋体" w:cs="宋体"/>
          <w:bCs/>
          <w:color w:val="000000"/>
          <w:sz w:val="24"/>
          <w:szCs w:val="24"/>
        </w:rPr>
        <w:t>。陈凯等研究也指出，一线</w:t>
      </w:r>
      <w:r>
        <w:rPr>
          <w:rFonts w:hint="eastAsia" w:ascii="宋体" w:hAnsi="宋体" w:cs="宋体"/>
          <w:bCs/>
          <w:color w:val="000000"/>
          <w:sz w:val="24"/>
          <w:szCs w:val="24"/>
        </w:rPr>
        <w:t>教师在论证设计与教学实施方面仍有较大提升空间</w:t>
      </w:r>
      <w:r>
        <w:rPr>
          <w:rStyle w:val="22"/>
          <w:rFonts w:ascii="宋体" w:hAnsi="宋体" w:cs="宋体"/>
          <w:bCs/>
          <w:color w:val="000000"/>
          <w:sz w:val="24"/>
          <w:szCs w:val="24"/>
        </w:rPr>
        <w:t>［</w:t>
      </w:r>
      <w:r>
        <w:rPr>
          <w:rStyle w:val="22"/>
          <w:rFonts w:ascii="宋体" w:hAnsi="宋体" w:cs="宋体"/>
          <w:bCs/>
          <w:color w:val="000000"/>
          <w:sz w:val="24"/>
          <w:szCs w:val="24"/>
        </w:rPr>
        <w:footnoteReference w:id="25"/>
      </w:r>
      <w:r>
        <w:rPr>
          <w:rStyle w:val="22"/>
          <w:rFonts w:ascii="宋体" w:hAnsi="宋体" w:cs="宋体"/>
          <w:bCs/>
          <w:color w:val="000000"/>
          <w:sz w:val="24"/>
          <w:szCs w:val="24"/>
        </w:rPr>
        <w:t>］</w:t>
      </w:r>
      <w:r>
        <w:rPr>
          <w:rFonts w:ascii="宋体" w:hAnsi="宋体" w:cs="宋体"/>
          <w:bCs/>
          <w:color w:val="000000"/>
          <w:sz w:val="24"/>
          <w:szCs w:val="24"/>
        </w:rPr>
        <w:t>。这些研究一致表明，</w:t>
      </w:r>
      <w:r>
        <w:rPr>
          <w:rFonts w:hint="eastAsia" w:ascii="宋体" w:hAnsi="宋体" w:cs="宋体"/>
          <w:bCs/>
          <w:color w:val="000000"/>
          <w:sz w:val="24"/>
          <w:szCs w:val="24"/>
        </w:rPr>
        <w:t>政策层面虽然不断强调“理解科学本质”，但课堂层面往往缺少可直接借鉴的设计路径和较为清晰的评价证据，这也使得不少研究在结论上肯定科学本质教育的重要性，却难以真正解决“具体怎么教、怎么测”的问题。</w:t>
      </w:r>
    </w:p>
    <w:p w14:paraId="73440768">
      <w:pPr>
        <w:pStyle w:val="23"/>
        <w:widowControl w:val="0"/>
        <w:ind w:firstLine="460"/>
        <w:rPr>
          <w:rFonts w:hint="eastAsia" w:ascii="宋体" w:hAnsi="宋体" w:cs="宋体"/>
          <w:bCs/>
          <w:color w:val="000000"/>
          <w:sz w:val="24"/>
          <w:szCs w:val="24"/>
        </w:rPr>
      </w:pPr>
      <w:r>
        <w:rPr>
          <w:rFonts w:hint="eastAsia" w:ascii="宋体" w:hAnsi="宋体" w:cs="宋体"/>
          <w:bCs/>
          <w:color w:val="000000"/>
          <w:sz w:val="24"/>
          <w:szCs w:val="24"/>
        </w:rPr>
        <w:t>围绕课堂教学策略，国内近年来比较一致的做法是采用融合途径，即不将科学本质观作为独立内容单独开设，而是尝试把它显性或隐性地嵌入日常学科教学之中</w:t>
      </w:r>
      <w:r>
        <w:rPr>
          <w:rStyle w:val="22"/>
          <w:rFonts w:ascii="宋体" w:hAnsi="宋体" w:cs="宋体"/>
          <w:bCs/>
          <w:color w:val="000000"/>
          <w:sz w:val="24"/>
          <w:szCs w:val="24"/>
        </w:rPr>
        <w:t>［</w:t>
      </w:r>
      <w:r>
        <w:rPr>
          <w:rStyle w:val="22"/>
          <w:rFonts w:ascii="宋体" w:hAnsi="宋体" w:cs="宋体"/>
          <w:bCs/>
          <w:color w:val="000000"/>
          <w:sz w:val="24"/>
          <w:szCs w:val="24"/>
        </w:rPr>
        <w:footnoteReference w:id="26"/>
      </w:r>
      <w:r>
        <w:rPr>
          <w:rStyle w:val="22"/>
          <w:rFonts w:ascii="宋体" w:hAnsi="宋体" w:cs="宋体"/>
          <w:bCs/>
          <w:color w:val="000000"/>
          <w:sz w:val="24"/>
          <w:szCs w:val="24"/>
        </w:rPr>
        <w:t>］</w:t>
      </w:r>
      <w:r>
        <w:rPr>
          <w:rFonts w:ascii="宋体" w:hAnsi="宋体" w:cs="宋体"/>
          <w:bCs/>
          <w:color w:val="000000"/>
          <w:sz w:val="24"/>
          <w:szCs w:val="24"/>
        </w:rPr>
        <w:t>。在具体策略上，“显性化”与“历史-哲学-科学（</w:t>
      </w:r>
      <w:r>
        <w:rPr>
          <w:rFonts w:hint="eastAsia" w:ascii="宋体" w:hAnsi="宋体" w:cs="宋体"/>
          <w:bCs/>
          <w:color w:val="000000"/>
          <w:sz w:val="24"/>
          <w:szCs w:val="24"/>
        </w:rPr>
        <w:t>HPS）</w:t>
      </w:r>
      <w:r>
        <w:rPr>
          <w:rFonts w:ascii="宋体" w:hAnsi="宋体" w:cs="宋体"/>
          <w:bCs/>
          <w:color w:val="000000"/>
          <w:sz w:val="24"/>
          <w:szCs w:val="24"/>
        </w:rPr>
        <w:t>”融合模式成为研究热点。</w:t>
      </w:r>
      <w:r>
        <w:rPr>
          <w:rFonts w:hint="eastAsia" w:ascii="宋体" w:hAnsi="宋体" w:cs="宋体"/>
          <w:bCs/>
          <w:color w:val="000000"/>
          <w:sz w:val="24"/>
          <w:szCs w:val="24"/>
        </w:rPr>
        <w:t>相关研究主张在教学中预先设置科学本质观目标，借助科学史案例、社会性科学议题或探究活动，在化学学科中，已有不少一线实践。</w:t>
      </w:r>
      <w:r>
        <w:rPr>
          <w:rFonts w:ascii="宋体" w:hAnsi="宋体" w:cs="宋体"/>
          <w:bCs/>
          <w:color w:val="000000"/>
          <w:sz w:val="24"/>
          <w:szCs w:val="24"/>
        </w:rPr>
        <w:t>例如，崔博雅对氟元素发现史的挖掘</w:t>
      </w:r>
      <w:r>
        <w:rPr>
          <w:rStyle w:val="22"/>
          <w:rFonts w:ascii="宋体" w:hAnsi="宋体" w:cs="宋体"/>
          <w:bCs/>
          <w:color w:val="000000"/>
          <w:sz w:val="24"/>
          <w:szCs w:val="24"/>
        </w:rPr>
        <w:t>［</w:t>
      </w:r>
      <w:r>
        <w:rPr>
          <w:rStyle w:val="22"/>
          <w:rFonts w:ascii="宋体" w:hAnsi="宋体" w:cs="宋体"/>
          <w:bCs/>
          <w:color w:val="000000"/>
          <w:sz w:val="24"/>
          <w:szCs w:val="24"/>
        </w:rPr>
        <w:footnoteReference w:id="27"/>
      </w:r>
      <w:r>
        <w:rPr>
          <w:rStyle w:val="22"/>
          <w:rFonts w:ascii="宋体" w:hAnsi="宋体" w:cs="宋体"/>
          <w:bCs/>
          <w:color w:val="000000"/>
          <w:sz w:val="24"/>
          <w:szCs w:val="24"/>
        </w:rPr>
        <w:t>］</w:t>
      </w:r>
      <w:r>
        <w:rPr>
          <w:rFonts w:ascii="宋体" w:hAnsi="宋体" w:cs="宋体"/>
          <w:bCs/>
          <w:color w:val="000000"/>
          <w:sz w:val="24"/>
          <w:szCs w:val="24"/>
        </w:rPr>
        <w:t>、沈春花在</w:t>
      </w:r>
      <w:r>
        <w:rPr>
          <w:rFonts w:hint="eastAsia" w:ascii="宋体" w:hAnsi="宋体" w:cs="宋体"/>
          <w:bCs/>
          <w:color w:val="000000"/>
          <w:sz w:val="24"/>
          <w:szCs w:val="24"/>
        </w:rPr>
        <w:t>“</w:t>
      </w:r>
      <w:r>
        <w:rPr>
          <w:rFonts w:ascii="宋体" w:hAnsi="宋体" w:cs="宋体"/>
          <w:bCs/>
          <w:color w:val="000000"/>
          <w:sz w:val="24"/>
          <w:szCs w:val="24"/>
        </w:rPr>
        <w:t>质量守恒定律</w:t>
      </w:r>
      <w:r>
        <w:rPr>
          <w:rFonts w:hint="eastAsia" w:ascii="宋体" w:hAnsi="宋体" w:cs="宋体"/>
          <w:bCs/>
          <w:color w:val="000000"/>
          <w:sz w:val="24"/>
          <w:szCs w:val="24"/>
        </w:rPr>
        <w:t>”</w:t>
      </w:r>
      <w:r>
        <w:rPr>
          <w:rFonts w:ascii="宋体" w:hAnsi="宋体" w:cs="宋体"/>
          <w:bCs/>
          <w:color w:val="000000"/>
          <w:sz w:val="24"/>
          <w:szCs w:val="24"/>
        </w:rPr>
        <w:t>中重演科学家探究过程</w:t>
      </w:r>
      <w:r>
        <w:rPr>
          <w:rStyle w:val="22"/>
          <w:rFonts w:ascii="宋体" w:hAnsi="宋体" w:cs="宋体"/>
          <w:bCs/>
          <w:color w:val="000000"/>
          <w:sz w:val="24"/>
          <w:szCs w:val="24"/>
        </w:rPr>
        <w:t>［</w:t>
      </w:r>
      <w:r>
        <w:rPr>
          <w:rStyle w:val="22"/>
          <w:rFonts w:ascii="宋体" w:hAnsi="宋体" w:cs="宋体"/>
          <w:bCs/>
          <w:color w:val="000000"/>
          <w:sz w:val="24"/>
          <w:szCs w:val="24"/>
        </w:rPr>
        <w:footnoteReference w:id="28"/>
      </w:r>
      <w:r>
        <w:rPr>
          <w:rStyle w:val="22"/>
          <w:rFonts w:ascii="宋体" w:hAnsi="宋体" w:cs="宋体"/>
          <w:bCs/>
          <w:color w:val="000000"/>
          <w:sz w:val="24"/>
          <w:szCs w:val="24"/>
        </w:rPr>
        <w:t>］</w:t>
      </w:r>
      <w:r>
        <w:rPr>
          <w:rFonts w:hint="eastAsia" w:ascii="宋体" w:hAnsi="宋体" w:cs="宋体"/>
          <w:bCs/>
          <w:color w:val="000000"/>
          <w:sz w:val="24"/>
          <w:szCs w:val="24"/>
        </w:rPr>
        <w:t>，</w:t>
      </w:r>
      <w:r>
        <w:rPr>
          <w:rFonts w:ascii="宋体" w:hAnsi="宋体" w:cs="宋体"/>
          <w:bCs/>
          <w:color w:val="000000"/>
          <w:sz w:val="24"/>
          <w:szCs w:val="24"/>
        </w:rPr>
        <w:t>陈悄在《原子结构》教学中引入模型演变史</w:t>
      </w:r>
      <w:r>
        <w:rPr>
          <w:rStyle w:val="22"/>
          <w:rFonts w:ascii="宋体" w:hAnsi="宋体" w:cs="宋体"/>
          <w:bCs/>
          <w:color w:val="000000"/>
          <w:sz w:val="24"/>
          <w:szCs w:val="24"/>
        </w:rPr>
        <w:t>［</w:t>
      </w:r>
      <w:r>
        <w:rPr>
          <w:rStyle w:val="22"/>
          <w:rFonts w:ascii="宋体" w:hAnsi="宋体" w:cs="宋体"/>
          <w:bCs/>
          <w:color w:val="000000"/>
          <w:sz w:val="24"/>
          <w:szCs w:val="24"/>
        </w:rPr>
        <w:footnoteReference w:id="29"/>
      </w:r>
      <w:r>
        <w:rPr>
          <w:rStyle w:val="22"/>
          <w:rFonts w:ascii="宋体" w:hAnsi="宋体" w:cs="宋体"/>
          <w:bCs/>
          <w:color w:val="000000"/>
          <w:sz w:val="24"/>
          <w:szCs w:val="24"/>
        </w:rPr>
        <w:t>］</w:t>
      </w:r>
      <w:r>
        <w:rPr>
          <w:rFonts w:ascii="宋体" w:hAnsi="宋体" w:cs="宋体"/>
          <w:bCs/>
          <w:color w:val="000000"/>
          <w:sz w:val="24"/>
          <w:szCs w:val="24"/>
        </w:rPr>
        <w:t>等。这些实践研究表明，引入科学史不仅能激发学习兴趣，更能</w:t>
      </w:r>
      <w:r>
        <w:rPr>
          <w:rFonts w:hint="eastAsia" w:ascii="宋体" w:hAnsi="宋体" w:cs="宋体"/>
          <w:bCs/>
          <w:color w:val="000000"/>
          <w:sz w:val="24"/>
          <w:szCs w:val="24"/>
        </w:rPr>
        <w:t>把科学本质观落到具体的化学概念、模型和学习任务中，而不只是停留在抽象说理上。</w:t>
      </w:r>
    </w:p>
    <w:p w14:paraId="13DD1573">
      <w:pPr>
        <w:pStyle w:val="23"/>
        <w:widowControl w:val="0"/>
        <w:ind w:firstLine="460"/>
        <w:jc w:val="both"/>
        <w:rPr>
          <w:rFonts w:hint="eastAsia" w:ascii="宋体" w:hAnsi="宋体" w:cs="宋体"/>
          <w:bCs/>
          <w:color w:val="000000"/>
          <w:sz w:val="24"/>
          <w:szCs w:val="24"/>
        </w:rPr>
      </w:pPr>
      <w:r>
        <w:rPr>
          <w:rFonts w:hint="eastAsia" w:ascii="宋体" w:hAnsi="宋体" w:cs="宋体"/>
          <w:bCs/>
          <w:color w:val="000000"/>
          <w:sz w:val="24"/>
          <w:szCs w:val="24"/>
        </w:rPr>
        <w:t>利用CiteSpace对对</w:t>
      </w:r>
      <w:r>
        <w:rPr>
          <w:rFonts w:ascii="宋体" w:hAnsi="宋体" w:cs="宋体"/>
          <w:bCs/>
          <w:color w:val="000000"/>
          <w:sz w:val="24"/>
          <w:szCs w:val="24"/>
        </w:rPr>
        <w:t>中国知网中以“科学本质观”“化学”为主题检索得到的文献进行</w:t>
      </w:r>
      <w:r>
        <w:rPr>
          <w:rFonts w:hint="eastAsia" w:ascii="宋体" w:hAnsi="宋体" w:cs="宋体"/>
          <w:bCs/>
          <w:color w:val="000000"/>
          <w:sz w:val="24"/>
          <w:szCs w:val="24"/>
        </w:rPr>
        <w:t>相关分析可得以“科学本质”为中心生成的关联图（见图2-9），这进一步凸显了研究的“主干链条”。图中“科学本质”与“高中化学”“化学教学”“科学史”等节点连接强度较高。由此可以看出，研究者普遍倾向于将NOS放在具体学科教学情境中讨论，而不是把它视为脱离学科内容的附加要求。这一点对本研究的启发在于如果要讨HPS教学理念如何促进学生科学本质观发展，就不能把NOS仅仅作为课后附加反思，而应当使其与化学知识学习过程本身发生联系。</w:t>
      </w:r>
    </w:p>
    <w:p w14:paraId="238C8936">
      <w:pPr>
        <w:pStyle w:val="23"/>
        <w:widowControl w:val="0"/>
        <w:ind w:firstLine="480"/>
        <w:jc w:val="center"/>
        <w:rPr>
          <w:rFonts w:hint="eastAsia" w:ascii="宋体" w:hAnsi="宋体" w:cs="宋体"/>
          <w:bCs/>
          <w:color w:val="000000"/>
          <w:sz w:val="24"/>
          <w:szCs w:val="24"/>
        </w:rPr>
      </w:pPr>
      <w:r>
        <w:rPr>
          <w:rFonts w:hint="eastAsia" w:ascii="宋体" w:hAnsi="宋体" w:cs="宋体"/>
          <w:bCs/>
          <w:color w:val="000000"/>
          <w:sz w:val="24"/>
          <w:szCs w:val="24"/>
        </w:rPr>
        <w:drawing>
          <wp:inline distT="0" distB="0" distL="114300" distR="114300">
            <wp:extent cx="2513965" cy="2349500"/>
            <wp:effectExtent l="0" t="0" r="635" b="3175"/>
            <wp:docPr id="10" name="图片 10" descr="CO-DESC_v91e136科学本质观为中心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O-DESC_v91e136科学本质观为中心线图"/>
                    <pic:cNvPicPr>
                      <a:picLocks noChangeAspect="1"/>
                    </pic:cNvPicPr>
                  </pic:nvPicPr>
                  <pic:blipFill>
                    <a:blip r:embed="rId9"/>
                    <a:srcRect l="21425" t="13989" r="26159" b="6975"/>
                    <a:stretch>
                      <a:fillRect/>
                    </a:stretch>
                  </pic:blipFill>
                  <pic:spPr>
                    <a:xfrm>
                      <a:off x="0" y="0"/>
                      <a:ext cx="2513965" cy="2349500"/>
                    </a:xfrm>
                    <a:prstGeom prst="rect">
                      <a:avLst/>
                    </a:prstGeom>
                  </pic:spPr>
                </pic:pic>
              </a:graphicData>
            </a:graphic>
          </wp:inline>
        </w:drawing>
      </w:r>
    </w:p>
    <w:p w14:paraId="6178AB71">
      <w:pPr>
        <w:pStyle w:val="23"/>
        <w:widowControl w:val="0"/>
        <w:ind w:firstLine="460"/>
        <w:jc w:val="center"/>
        <w:rPr>
          <w:rFonts w:hint="eastAsia" w:ascii="宋体" w:hAnsi="宋体" w:cs="宋体"/>
          <w:bCs/>
          <w:color w:val="000000"/>
          <w:sz w:val="24"/>
          <w:szCs w:val="24"/>
        </w:rPr>
      </w:pPr>
      <w:r>
        <w:rPr>
          <w:rFonts w:hint="eastAsia" w:ascii="宋体" w:hAnsi="宋体" w:cs="宋体"/>
          <w:bCs/>
          <w:color w:val="000000"/>
          <w:sz w:val="24"/>
          <w:szCs w:val="24"/>
        </w:rPr>
        <w:t>图2-9 以“科学本质”为核心的化学教学研究关键词关联图谱</w:t>
      </w:r>
    </w:p>
    <w:p w14:paraId="6D55EB2F">
      <w:pPr>
        <w:pStyle w:val="23"/>
        <w:widowControl w:val="0"/>
        <w:ind w:firstLine="460"/>
        <w:jc w:val="both"/>
        <w:rPr>
          <w:rFonts w:hint="eastAsia" w:ascii="宋体" w:hAnsi="宋体" w:cs="宋体"/>
          <w:bCs/>
          <w:color w:val="000000"/>
          <w:sz w:val="24"/>
          <w:szCs w:val="24"/>
        </w:rPr>
      </w:pPr>
      <w:r>
        <w:rPr>
          <w:rFonts w:ascii="宋体" w:hAnsi="宋体" w:cs="宋体"/>
          <w:bCs/>
          <w:color w:val="000000"/>
          <w:sz w:val="24"/>
          <w:szCs w:val="24"/>
        </w:rPr>
        <w:t>科学本质观与化学教学研究关键词时间线图</w:t>
      </w:r>
      <w:r>
        <w:rPr>
          <w:rFonts w:hint="eastAsia" w:ascii="宋体" w:hAnsi="宋体" w:cs="宋体"/>
          <w:bCs/>
          <w:color w:val="000000"/>
          <w:sz w:val="24"/>
          <w:szCs w:val="24"/>
        </w:rPr>
        <w:t>（见</w:t>
      </w:r>
      <w:r>
        <w:rPr>
          <w:rFonts w:ascii="宋体" w:hAnsi="宋体" w:cs="宋体"/>
          <w:bCs/>
          <w:color w:val="000000"/>
          <w:sz w:val="24"/>
          <w:szCs w:val="24"/>
        </w:rPr>
        <w:t>图</w:t>
      </w:r>
      <w:r>
        <w:rPr>
          <w:rFonts w:hint="eastAsia" w:ascii="宋体" w:hAnsi="宋体" w:cs="宋体"/>
          <w:bCs/>
          <w:color w:val="000000"/>
          <w:sz w:val="24"/>
          <w:szCs w:val="24"/>
        </w:rPr>
        <w:t>2-10）</w:t>
      </w:r>
      <w:r>
        <w:rPr>
          <w:rFonts w:ascii="宋体" w:hAnsi="宋体" w:cs="宋体"/>
          <w:bCs/>
          <w:color w:val="000000"/>
          <w:sz w:val="24"/>
          <w:szCs w:val="24"/>
        </w:rPr>
        <w:t>呈现出</w:t>
      </w:r>
      <w:r>
        <w:rPr>
          <w:rFonts w:hint="eastAsia" w:ascii="宋体" w:hAnsi="宋体" w:cs="宋体"/>
          <w:bCs/>
          <w:color w:val="000000"/>
          <w:sz w:val="24"/>
          <w:szCs w:val="24"/>
        </w:rPr>
        <w:t>了</w:t>
      </w:r>
      <w:r>
        <w:rPr>
          <w:rFonts w:ascii="宋体" w:hAnsi="宋体" w:cs="宋体"/>
          <w:bCs/>
          <w:color w:val="000000"/>
          <w:sz w:val="24"/>
          <w:szCs w:val="24"/>
        </w:rPr>
        <w:t>较清晰的</w:t>
      </w:r>
      <w:r>
        <w:rPr>
          <w:rFonts w:hint="eastAsia" w:ascii="宋体" w:hAnsi="宋体" w:cs="宋体"/>
          <w:bCs/>
          <w:color w:val="000000"/>
          <w:sz w:val="24"/>
          <w:szCs w:val="24"/>
        </w:rPr>
        <w:t>该领域研究重心的变化。早期研究较多围绕理念介绍、教材分析和化学史内容展开，之后逐渐转向教学设计、教学实践以及育人取向的讨论，近年“课程思政”等关键词也开始进入这一主题链条。总体来看，国内研究已经越来越关注“如何落地”的问题，但也因此更容易暴露出“高评价、低落实”的矛盾：不少研究在论述层面强调科学本质观的重要意义，但与高中化学的具体模块深度结合的研究还比较分散。</w:t>
      </w:r>
    </w:p>
    <w:p w14:paraId="6B3EB025">
      <w:pPr>
        <w:pStyle w:val="23"/>
        <w:widowControl w:val="0"/>
        <w:ind w:firstLine="480"/>
        <w:jc w:val="center"/>
        <w:rPr>
          <w:rFonts w:ascii="宋体" w:hAnsi="宋体" w:cs="宋体"/>
          <w:bCs/>
          <w:color w:val="000000"/>
          <w:sz w:val="24"/>
          <w:szCs w:val="24"/>
        </w:rPr>
      </w:pPr>
      <w:r>
        <w:rPr>
          <w:rFonts w:ascii="宋体" w:hAnsi="宋体" w:cs="宋体"/>
          <w:bCs/>
          <w:color w:val="000000"/>
          <w:sz w:val="24"/>
          <w:szCs w:val="24"/>
        </w:rPr>
        <w:drawing>
          <wp:inline distT="0" distB="0" distL="114300" distR="114300">
            <wp:extent cx="4881245" cy="2024380"/>
            <wp:effectExtent l="0" t="0" r="5080" b="4445"/>
            <wp:docPr id="11" name="图片 11" descr="CO-DESC_v91e136时间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O-DESC_v91e136时间线图2"/>
                    <pic:cNvPicPr>
                      <a:picLocks noChangeAspect="1"/>
                    </pic:cNvPicPr>
                  </pic:nvPicPr>
                  <pic:blipFill>
                    <a:blip r:embed="rId10"/>
                    <a:srcRect l="15040" t="23707" r="2270" b="20964"/>
                    <a:stretch>
                      <a:fillRect/>
                    </a:stretch>
                  </pic:blipFill>
                  <pic:spPr>
                    <a:xfrm>
                      <a:off x="0" y="0"/>
                      <a:ext cx="4881245" cy="2024380"/>
                    </a:xfrm>
                    <a:prstGeom prst="rect">
                      <a:avLst/>
                    </a:prstGeom>
                  </pic:spPr>
                </pic:pic>
              </a:graphicData>
            </a:graphic>
          </wp:inline>
        </w:drawing>
      </w:r>
    </w:p>
    <w:p w14:paraId="142C61D0">
      <w:pPr>
        <w:pStyle w:val="23"/>
        <w:widowControl w:val="0"/>
        <w:ind w:firstLine="480"/>
        <w:jc w:val="center"/>
        <w:rPr>
          <w:rFonts w:hint="eastAsia" w:ascii="宋体" w:hAnsi="宋体" w:cs="宋体"/>
          <w:bCs/>
          <w:color w:val="000000"/>
          <w:sz w:val="24"/>
          <w:szCs w:val="24"/>
        </w:rPr>
      </w:pPr>
      <w:r>
        <w:rPr>
          <w:rFonts w:hint="eastAsia" w:ascii="宋体" w:hAnsi="宋体" w:cs="宋体"/>
          <w:bCs/>
          <w:color w:val="000000"/>
          <w:sz w:val="24"/>
          <w:szCs w:val="24"/>
        </w:rPr>
        <w:t>图2-10 科学本质观与化学教学研究关键词时间线图谱</w:t>
      </w:r>
    </w:p>
    <w:p w14:paraId="05B1263B">
      <w:pPr>
        <w:pStyle w:val="23"/>
        <w:widowControl w:val="0"/>
        <w:ind w:firstLine="460"/>
      </w:pPr>
      <w:r>
        <w:rPr>
          <w:rFonts w:hint="eastAsia" w:ascii="宋体" w:hAnsi="宋体" w:cs="宋体"/>
          <w:bCs/>
          <w:color w:val="000000"/>
          <w:sz w:val="24"/>
          <w:szCs w:val="24"/>
        </w:rPr>
        <w:t>综合来看，国内关于科学本质观的研究在理论界定和案例积累方面已经有了较好的基础，但真正能够为课堂干预研究提供直接支撑的证据仍显不足。对于本研究而言，这意味着如果已有调查与本研究对象、维度和工具基本一致，可以适当吸收案例作为背景依据；如果现有证据与本研究的高中化学情境不完全匹配，就仍有必要补充更有针对性的现状诊断，以便为后续教学设计提供更扎实的依据。</w:t>
      </w:r>
    </w:p>
    <w:p w14:paraId="78146BB7">
      <w:pPr>
        <w:pStyle w:val="5"/>
        <w:widowControl w:val="0"/>
        <w:numPr>
          <w:ilvl w:val="1"/>
          <w:numId w:val="15"/>
        </w:numPr>
        <w:ind w:left="0" w:leftChars="0" w:firstLine="402" w:firstLineChars="0"/>
      </w:pPr>
      <w:r>
        <w:rPr>
          <w:rFonts w:hint="eastAsia"/>
        </w:rPr>
        <w:t>HPS教学理念的研究现状</w:t>
      </w:r>
    </w:p>
    <w:p w14:paraId="427533DB">
      <w:pPr>
        <w:pStyle w:val="6"/>
        <w:widowControl w:val="0"/>
        <w:numPr>
          <w:ilvl w:val="2"/>
          <w:numId w:val="15"/>
        </w:numPr>
        <w:tabs>
          <w:tab w:val="left" w:pos="0"/>
        </w:tabs>
        <w:spacing w:line="312" w:lineRule="auto"/>
        <w:ind w:left="0" w:leftChars="0" w:firstLine="402" w:firstLineChars="0"/>
        <w:rPr>
          <w:rFonts w:ascii="黑体" w:hAnsi="黑体" w:eastAsia="黑体"/>
          <w:b w:val="0"/>
          <w:bCs w:val="0"/>
          <w:spacing w:val="0"/>
          <w:sz w:val="24"/>
        </w:rPr>
      </w:pPr>
      <w:r>
        <w:rPr>
          <w:rFonts w:ascii="黑体" w:hAnsi="黑体" w:eastAsia="黑体"/>
          <w:b w:val="0"/>
          <w:bCs w:val="0"/>
          <w:spacing w:val="0"/>
          <w:sz w:val="24"/>
        </w:rPr>
        <w:t>HPS教学理念的国外研究现状</w:t>
      </w:r>
    </w:p>
    <w:p w14:paraId="25533373">
      <w:pPr>
        <w:rPr>
          <w:rFonts w:hint="eastAsia" w:ascii="宋体" w:hAnsi="宋体" w:cs="宋体"/>
          <w:color w:val="000000"/>
          <w:kern w:val="2"/>
          <w:szCs w:val="24"/>
        </w:rPr>
      </w:pPr>
      <w:r>
        <w:rPr>
          <w:rFonts w:hint="eastAsia"/>
        </w:rPr>
        <w:t>HPS进入科学教育的历史比较长，早期讨论常从“科学知识在教育中的价值”谈起。比如赫伯特·斯宾塞在1859年前后提出“什么知识最有价值”，并以“科学”作为回答的核心</w:t>
      </w:r>
      <w:r>
        <w:rPr>
          <w:rStyle w:val="22"/>
          <w:rFonts w:hint="eastAsia" w:ascii="宋体" w:hAnsi="宋体" w:cs="宋体"/>
          <w:color w:val="000000"/>
          <w:kern w:val="2"/>
          <w:szCs w:val="24"/>
        </w:rPr>
        <w:t>［</w:t>
      </w:r>
      <w:r>
        <w:rPr>
          <w:rStyle w:val="22"/>
          <w:rFonts w:hint="eastAsia" w:ascii="宋体" w:hAnsi="宋体" w:cs="宋体"/>
          <w:color w:val="000000"/>
          <w:kern w:val="2"/>
          <w:szCs w:val="24"/>
        </w:rPr>
        <w:footnoteReference w:id="30"/>
      </w:r>
      <w:r>
        <w:rPr>
          <w:rStyle w:val="22"/>
          <w:rFonts w:hint="eastAsia" w:ascii="宋体" w:hAnsi="宋体" w:cs="宋体"/>
          <w:color w:val="000000"/>
          <w:kern w:val="2"/>
          <w:szCs w:val="24"/>
        </w:rPr>
        <w:t>］</w:t>
      </w:r>
      <w:r>
        <w:rPr>
          <w:rFonts w:hint="eastAsia"/>
        </w:rPr>
        <w:t>。这类观点把科学知识的教育价值推向公共讨论，也为后来“科学教育不只教结论，还要让学生理解科学如何发展”提供了思想土壤。</w:t>
      </w:r>
    </w:p>
    <w:p w14:paraId="03E982EC">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国外HPS教学起源于西方科学教育领域的研究者倡导。1912年乔治·萨顿创办科学史期刊《ISIS》，标志着科学史首次正式纳入科学教育体系</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31"/>
      </w:r>
      <w:r>
        <w:rPr>
          <w:rStyle w:val="22"/>
          <w:rFonts w:hint="eastAsia" w:ascii="宋体" w:hAnsi="宋体" w:cs="宋体"/>
          <w:color w:val="000000"/>
          <w:kern w:val="2"/>
          <w:sz w:val="24"/>
          <w:szCs w:val="24"/>
        </w:rPr>
        <w:t>］</w:t>
      </w:r>
      <w:r>
        <w:rPr>
          <w:rFonts w:hint="eastAsia" w:ascii="宋体" w:hAnsi="宋体" w:cs="宋体"/>
          <w:color w:val="000000"/>
          <w:kern w:val="2"/>
          <w:sz w:val="24"/>
          <w:szCs w:val="24"/>
        </w:rPr>
        <w:t>。与此相呼应，历史学家托马斯·库恩（借用拉卡托斯名言）指出：“没有哲学的科学史是盲目的，没有历史的科学哲学则是空洞的”</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32"/>
      </w:r>
      <w:r>
        <w:rPr>
          <w:rStyle w:val="22"/>
          <w:rFonts w:hint="eastAsia" w:ascii="宋体" w:hAnsi="宋体" w:cs="宋体"/>
          <w:color w:val="000000"/>
          <w:kern w:val="2"/>
          <w:sz w:val="24"/>
          <w:szCs w:val="24"/>
        </w:rPr>
        <w:t>］</w:t>
      </w:r>
      <w:r>
        <w:rPr>
          <w:rFonts w:hint="eastAsia" w:ascii="宋体" w:hAnsi="宋体" w:cs="宋体"/>
          <w:color w:val="000000"/>
          <w:kern w:val="2"/>
          <w:sz w:val="24"/>
          <w:szCs w:val="24"/>
        </w:rPr>
        <w:t>。这些学者的主张共同奠定了HPS（科学史、科学哲学与科学社会学）教学理念的哲学基础。</w:t>
      </w:r>
    </w:p>
    <w:p w14:paraId="3050376E">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 xml:space="preserve"> 二战后，HPS理念在课程倡导和教材实践中得到进一步展开。哈佛大学校长、化学家詹姆斯·科南特（James B. Conant）以案例史料组织科学教育内容，强调用历史案例把科学发展与社会文化、证据与解释放到同一叙事中，这类案例化组织为后续课程改革提供了可借鉴的形式</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33"/>
      </w:r>
      <w:r>
        <w:rPr>
          <w:rStyle w:val="22"/>
          <w:rFonts w:hint="eastAsia" w:ascii="宋体" w:hAnsi="宋体" w:cs="宋体"/>
          <w:color w:val="000000"/>
          <w:kern w:val="2"/>
          <w:sz w:val="24"/>
          <w:szCs w:val="24"/>
        </w:rPr>
        <w:t>］</w:t>
      </w:r>
      <w:r>
        <w:rPr>
          <w:rFonts w:hint="eastAsia" w:ascii="宋体" w:hAnsi="宋体" w:cs="宋体"/>
          <w:color w:val="000000"/>
          <w:kern w:val="2"/>
          <w:sz w:val="24"/>
          <w:szCs w:val="24"/>
        </w:rPr>
        <w:t>。与此同时，哈佛大学科学史教授霍尔顿（Gerald Holton）在1952年编写的《物理科学的概念和理论导论》教材中将科学史与科学思想方法结合来阐释学科理论结构，也体现了“用历史讲清概念”的教材化尝试</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34"/>
      </w:r>
      <w:r>
        <w:rPr>
          <w:rStyle w:val="22"/>
          <w:rFonts w:hint="eastAsia" w:ascii="宋体" w:hAnsi="宋体" w:cs="宋体"/>
          <w:color w:val="000000"/>
          <w:kern w:val="2"/>
          <w:sz w:val="24"/>
          <w:szCs w:val="24"/>
        </w:rPr>
        <w:t>］</w:t>
      </w:r>
      <w:r>
        <w:rPr>
          <w:rFonts w:hint="eastAsia" w:ascii="宋体" w:hAnsi="宋体" w:cs="宋体"/>
          <w:color w:val="000000"/>
          <w:kern w:val="2"/>
          <w:sz w:val="24"/>
          <w:szCs w:val="24"/>
        </w:rPr>
        <w:t xml:space="preserve">。这些早期实践体现了将科学史与科学教学相结合的尝试，为后续的HPS教学探索奠定了基础。 </w:t>
      </w:r>
    </w:p>
    <w:p w14:paraId="106B4A6F">
      <w:pPr>
        <w:rPr>
          <w:rFonts w:hint="eastAsia" w:ascii="宋体" w:hAnsi="宋体" w:cs="宋体"/>
          <w:color w:val="000000"/>
          <w:kern w:val="2"/>
          <w:szCs w:val="24"/>
        </w:rPr>
      </w:pPr>
      <w:r>
        <w:rPr>
          <w:rFonts w:hint="eastAsia" w:ascii="宋体" w:hAnsi="宋体" w:cs="宋体"/>
          <w:color w:val="000000"/>
          <w:kern w:val="2"/>
          <w:szCs w:val="24"/>
        </w:rPr>
        <w:t>进入20世纪80年代以后，HPS相关诉求开始更频繁地出现在科学教育改革文件与课程标准中。美国“2061计划”（1989年）、《科学素养的基准》（1993年）和《国家科学教育标准》（1996年）等政策文件均强调将科学史内容纳入科学课程</w:t>
      </w:r>
      <w:r>
        <w:rPr>
          <w:rStyle w:val="22"/>
          <w:rFonts w:hint="eastAsia" w:ascii="宋体" w:hAnsi="宋体" w:cs="宋体"/>
          <w:color w:val="000000"/>
          <w:kern w:val="2"/>
          <w:szCs w:val="24"/>
        </w:rPr>
        <w:t>［</w:t>
      </w:r>
      <w:r>
        <w:rPr>
          <w:rStyle w:val="22"/>
          <w:rFonts w:hint="eastAsia" w:ascii="宋体" w:hAnsi="宋体" w:cs="宋体"/>
          <w:color w:val="000000"/>
          <w:kern w:val="2"/>
          <w:szCs w:val="24"/>
        </w:rPr>
        <w:footnoteReference w:id="35"/>
      </w:r>
      <w:r>
        <w:rPr>
          <w:rStyle w:val="22"/>
          <w:rFonts w:hint="eastAsia" w:ascii="宋体" w:hAnsi="宋体" w:cs="宋体"/>
          <w:color w:val="000000"/>
          <w:kern w:val="2"/>
          <w:szCs w:val="24"/>
        </w:rPr>
        <w:t>］</w:t>
      </w:r>
      <w:r>
        <w:rPr>
          <w:rFonts w:hint="eastAsia" w:ascii="宋体" w:hAnsi="宋体" w:cs="宋体"/>
          <w:color w:val="000000"/>
          <w:kern w:val="2"/>
          <w:szCs w:val="24"/>
        </w:rPr>
        <w:t>。在教学方法层面，英国教育家梅利尔·孟克（M. Monk）和约翰·奥斯本（J. Osborne）于1997年提出将科学史和科学哲学融入课程的“孟克–奥斯本融合模式”，系统设计了以历史情境导入、归纳发现与实践检验相结合的教学流程</w:t>
      </w:r>
      <w:r>
        <w:rPr>
          <w:rStyle w:val="22"/>
          <w:rFonts w:hint="eastAsia" w:ascii="宋体" w:hAnsi="宋体" w:cs="宋体"/>
          <w:color w:val="000000"/>
          <w:kern w:val="2"/>
          <w:szCs w:val="24"/>
        </w:rPr>
        <w:t>［</w:t>
      </w:r>
      <w:r>
        <w:rPr>
          <w:rStyle w:val="22"/>
          <w:rFonts w:hint="eastAsia" w:ascii="宋体" w:hAnsi="宋体" w:cs="宋体"/>
          <w:color w:val="000000"/>
          <w:kern w:val="2"/>
          <w:szCs w:val="24"/>
        </w:rPr>
        <w:footnoteReference w:id="36"/>
      </w:r>
      <w:r>
        <w:rPr>
          <w:rStyle w:val="22"/>
          <w:rFonts w:hint="eastAsia" w:ascii="宋体" w:hAnsi="宋体" w:cs="宋体"/>
          <w:color w:val="000000"/>
          <w:kern w:val="2"/>
          <w:szCs w:val="24"/>
        </w:rPr>
        <w:t>］</w:t>
      </w:r>
      <w:r>
        <w:rPr>
          <w:rFonts w:hint="eastAsia" w:ascii="宋体" w:hAnsi="宋体" w:cs="宋体"/>
          <w:color w:val="000000"/>
          <w:kern w:val="2"/>
          <w:szCs w:val="24"/>
        </w:rPr>
        <w:t>。该研究将</w:t>
      </w:r>
      <w:r>
        <w:rPr>
          <w:rFonts w:hint="eastAsia"/>
        </w:rPr>
        <w:t>HPS从“理念”推到“课程结构与教学法”的层面，为本研究后续建构教学设计框架提供了方法借鉴。与此同时，也要看到它的不足：模型本身更偏一般性指导，落到具体学科时存在难以落地的现实情况。</w:t>
      </w:r>
    </w:p>
    <w:p w14:paraId="7F134522">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近二十年，国外研究的关注点更偏向“如何有效融入课堂”与“学生学习体验”。例如格雷格·拉斯克（Greg Lusk）等学者对大学理工科学生进行问卷调查发现：学生往往认可HPS内容的价值，但阅读材料过长过密、以及评价长期依赖论文写作，会显著降低投入度</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37"/>
      </w:r>
      <w:r>
        <w:rPr>
          <w:rStyle w:val="22"/>
          <w:rFonts w:hint="eastAsia" w:ascii="宋体" w:hAnsi="宋体" w:cs="宋体"/>
          <w:color w:val="000000"/>
          <w:kern w:val="2"/>
          <w:sz w:val="24"/>
          <w:szCs w:val="24"/>
        </w:rPr>
        <w:t>］</w:t>
      </w:r>
      <w:r>
        <w:rPr>
          <w:rFonts w:hint="eastAsia" w:ascii="宋体" w:hAnsi="宋体" w:cs="宋体"/>
          <w:color w:val="000000"/>
          <w:kern w:val="2"/>
          <w:sz w:val="24"/>
          <w:szCs w:val="24"/>
        </w:rPr>
        <w:t>。这些研究表明，在明确HPS价值和内涵的基础上，如何将其融入科学教育并设计有效的教学实践，已成为学术界关注的热点问题。</w:t>
      </w:r>
    </w:p>
    <w:p w14:paraId="21502E20">
      <w:pPr>
        <w:rPr>
          <w:rFonts w:hint="eastAsia" w:ascii="宋体" w:hAnsi="宋体" w:cs="宋体"/>
          <w:color w:val="000000"/>
          <w:kern w:val="2"/>
          <w:szCs w:val="24"/>
        </w:rPr>
      </w:pPr>
      <w:r>
        <w:rPr>
          <w:rFonts w:hint="eastAsia"/>
        </w:rPr>
        <w:t>综上所述，若把视角进一步聚焦到“科学本质观现状调查”这一环节，现有国外研究确实积累较多一般性结论，现有成果仍显得较为分散，针对学科内容、教学主题与课堂任务之间关系的分析还不够细致，因而在直接指导一线教学设计时仍存在一定距离。对本研究而言，这一点意味着后续教学设计不能停留于一般性的HPS理念引入，而应更紧密地结合高中化学具体内容，将科学本质观的培养目标有意识地嵌入教学环节之中。同时，在课堂实施中也应注意控制材料容量与任务难度，使HPS内容真正服务于学生对化学知识与科学本质的理解，而不是游离于学科教学之外。</w:t>
      </w:r>
    </w:p>
    <w:p w14:paraId="1C06565F">
      <w:pPr>
        <w:pStyle w:val="6"/>
        <w:widowControl w:val="0"/>
        <w:numPr>
          <w:ilvl w:val="2"/>
          <w:numId w:val="15"/>
        </w:numPr>
        <w:tabs>
          <w:tab w:val="left" w:pos="0"/>
        </w:tabs>
        <w:spacing w:line="312" w:lineRule="auto"/>
        <w:ind w:left="0" w:leftChars="0" w:firstLine="402" w:firstLineChars="0"/>
        <w:rPr>
          <w:rFonts w:hint="eastAsia" w:ascii="黑体" w:hAnsi="黑体" w:eastAsia="黑体" w:cs="黑体"/>
          <w:b w:val="0"/>
          <w:bCs w:val="0"/>
          <w:spacing w:val="0"/>
          <w:sz w:val="24"/>
        </w:rPr>
      </w:pPr>
      <w:r>
        <w:rPr>
          <w:rFonts w:hint="eastAsia" w:ascii="黑体" w:hAnsi="黑体" w:eastAsia="黑体" w:cs="黑体"/>
          <w:b w:val="0"/>
          <w:bCs w:val="0"/>
          <w:spacing w:val="0"/>
          <w:sz w:val="24"/>
        </w:rPr>
        <w:t>HPS教学理念的国内研究现状</w:t>
      </w:r>
    </w:p>
    <w:p w14:paraId="3A2C3EB2">
      <w:r>
        <w:rPr>
          <w:rFonts w:hint="eastAsia"/>
        </w:rPr>
        <w:t>国内对HPS教学理念的研究起步虽晚，但发展较快。结合已有文献来看，其研究脉络大致可以概括为由理论引入国内逐步转向教学实践应用，再进一步走向课堂实践检验。早期研究主要围绕HPS的内涵、教育价值及其进入科学教学的必要性展开，重点在于回答“为什么要将HPS引入科学教育”这一问题；随后，研究者开始关注HPS教学模式的本土化转化，以及其与具体学科内容、教学环节之间的结合方式；近十余年来，相关研究进一步向课堂教学设计、案例开发与教学效果分析延伸，尤其在高中化学领域，HPS与科学本质观培养、学科核心素养发展的结合逐渐成为研究重点。总体而言，国内HPS研究已经由理念层面的阐释不断走向教学层面的落实，但在学生科学本质观现状、教学设计依据与实践效果证据之间，仍有进一步深化和贯通的空间。</w:t>
      </w:r>
    </w:p>
    <w:p w14:paraId="4E6E17BE">
      <w:pPr>
        <w:pStyle w:val="7"/>
        <w:widowControl w:val="0"/>
        <w:numPr>
          <w:ilvl w:val="3"/>
          <w:numId w:val="15"/>
        </w:numPr>
        <w:ind w:left="0" w:leftChars="0" w:firstLine="402" w:firstLineChars="0"/>
      </w:pPr>
      <w:r>
        <w:rPr>
          <w:rFonts w:hint="eastAsia"/>
        </w:rPr>
        <w:t>HPS教学理念的引入及其教育价值讨论</w:t>
      </w:r>
    </w:p>
    <w:p w14:paraId="7091AF22">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20世纪末以来，国内研究者首先做的是把HPS的目标讲清楚：科学史材料不是只用来“讲故事、提兴趣”，更重要的是服务于学生理解科学本质、科学探究过程以及科学与社会关系。1997年，刘兵通过分析美国《2061计划》和《国家科学教育标准》，指出科学史教育不再仅作为提高兴趣的工具，而是强调其帮助学生理解科学本质、探索过程及科学与社会关系的作用，并据此反思我国科学史教育仍存在的偏窄取向与现实困难。</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38"/>
      </w:r>
      <w:r>
        <w:rPr>
          <w:rStyle w:val="22"/>
          <w:rFonts w:hint="eastAsia" w:ascii="宋体" w:hAnsi="宋体" w:cs="宋体"/>
          <w:color w:val="000000"/>
          <w:kern w:val="2"/>
          <w:sz w:val="24"/>
          <w:szCs w:val="24"/>
        </w:rPr>
        <w:t>］</w:t>
      </w:r>
      <w:r>
        <w:rPr>
          <w:rFonts w:hint="eastAsia" w:ascii="宋体" w:hAnsi="宋体" w:cs="宋体"/>
          <w:color w:val="000000"/>
          <w:kern w:val="2"/>
          <w:sz w:val="24"/>
          <w:szCs w:val="24"/>
        </w:rPr>
        <w:t>。1999年魏冰进一步阐明将HPS融入科学教学不仅在于传授科学知识，更在于让学生理解科学的本质，指出HPS教学有助于使科学教学更具人文性、增强课堂的挑战性和思辨性并促进对学科内容的全面理解</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39"/>
      </w:r>
      <w:r>
        <w:rPr>
          <w:rStyle w:val="22"/>
          <w:rFonts w:hint="eastAsia" w:ascii="宋体" w:hAnsi="宋体" w:cs="宋体"/>
          <w:color w:val="000000"/>
          <w:kern w:val="2"/>
          <w:sz w:val="24"/>
          <w:szCs w:val="24"/>
        </w:rPr>
        <w:t>］</w:t>
      </w:r>
      <w:r>
        <w:rPr>
          <w:rFonts w:hint="eastAsia" w:ascii="宋体" w:hAnsi="宋体" w:cs="宋体"/>
          <w:color w:val="000000"/>
          <w:kern w:val="2"/>
          <w:sz w:val="24"/>
          <w:szCs w:val="24"/>
        </w:rPr>
        <w:t>。这一阶段的贡献在于把“为什么要做HPS、它应当指向什么育人目标”阐述明确，为后续教学设计研究提供了方向。但问题也比较明显：多数研究停留在理念层面，虽然强调“科学本质”，但对于“科学本质观具体测什么、学生现状怎样、怎样通过课堂活动让学生真的发生变化”，当时还缺少相对具体的路径描述与可验证的证据链。</w:t>
      </w:r>
    </w:p>
    <w:p w14:paraId="1FF8A6C3">
      <w:pPr>
        <w:pStyle w:val="7"/>
        <w:widowControl w:val="0"/>
        <w:numPr>
          <w:ilvl w:val="3"/>
          <w:numId w:val="15"/>
        </w:numPr>
        <w:ind w:left="0" w:leftChars="0" w:firstLine="402" w:firstLineChars="0"/>
      </w:pPr>
      <w:r>
        <w:rPr>
          <w:rFonts w:hint="eastAsia"/>
        </w:rPr>
        <w:t>HPS教学模式的本土化实践探索与学科结合</w:t>
      </w:r>
    </w:p>
    <w:p w14:paraId="2122409D">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进入21世纪初期，国内对HPS的研究开始由理念引介逐步转向课堂转化与教学实施。一方面，丁邦平等在系统梳理国际科学课程改革趋势的基础上，强调把HPS教学理念融入课程，并非只是增加科学史或哲学知识，而是为了提升科学课程的人文内涵，弥补传统科学课程中过于强调知识传授而忽视科学发展过程、科学家思维方式与科学社会文化背景的不足，从而推动课程目标由单纯的知识掌握走向更完整的科学素养培育</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40"/>
      </w:r>
      <w:r>
        <w:rPr>
          <w:rStyle w:val="22"/>
          <w:rFonts w:hint="eastAsia" w:ascii="宋体" w:hAnsi="宋体" w:cs="宋体"/>
          <w:color w:val="000000"/>
          <w:kern w:val="2"/>
          <w:sz w:val="24"/>
          <w:szCs w:val="24"/>
        </w:rPr>
        <w:t>］</w:t>
      </w:r>
      <w:r>
        <w:rPr>
          <w:rFonts w:hint="eastAsia" w:ascii="宋体" w:hAnsi="宋体" w:cs="宋体"/>
          <w:color w:val="000000"/>
          <w:kern w:val="2"/>
          <w:sz w:val="24"/>
          <w:szCs w:val="24"/>
        </w:rPr>
        <w:t>；另一方面，袁维新较早持续开展HPS教学模式的课堂实践探索，将其具体化为可操作的教学程序，用“演示现象—引出观念—学习历史—设计实验—呈示科学观念和实验检验—总结与评价”的流程组织教学，使科学史材料不再只是课堂中的背景补充，而成为激发问题、引出多元观点、组织学生探究和促进概念建构的重要资源</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41"/>
      </w:r>
      <w:r>
        <w:rPr>
          <w:rStyle w:val="22"/>
          <w:rFonts w:hint="eastAsia" w:ascii="宋体" w:hAnsi="宋体" w:cs="宋体"/>
          <w:color w:val="000000"/>
          <w:kern w:val="2"/>
          <w:sz w:val="24"/>
          <w:szCs w:val="24"/>
        </w:rPr>
        <w:t>］</w:t>
      </w:r>
      <w:r>
        <w:rPr>
          <w:rFonts w:hint="eastAsia" w:ascii="宋体" w:hAnsi="宋体" w:cs="宋体"/>
          <w:color w:val="000000"/>
          <w:kern w:val="2"/>
          <w:sz w:val="24"/>
          <w:szCs w:val="24"/>
        </w:rPr>
        <w:t>。这类实践的目标，主要在于把知识学习、探究活动、科学精神体验和创造性思维训练结合起来，为后续学科教学中HPS模式的本土化应用提供了较为清晰的操作样本。</w:t>
      </w:r>
    </w:p>
    <w:p w14:paraId="3A157C3C">
      <w:pPr>
        <w:rPr>
          <w:rFonts w:hint="eastAsia" w:ascii="宋体" w:hAnsi="宋体" w:cs="宋体"/>
          <w:color w:val="000000"/>
          <w:kern w:val="2"/>
          <w:szCs w:val="24"/>
          <w:u w:val="single"/>
        </w:rPr>
      </w:pPr>
      <w:r>
        <w:rPr>
          <w:rFonts w:hint="eastAsia"/>
        </w:rPr>
        <w:t>在化学学科的早期探索中，也出现了将HPS教学理念与特定教学模式整合的尝试。例如例如张勇将Webquest引入HPS教学，并应用于“合成氨”教学，将化学史学习、网络资源利用与任务驱动探究结合起来，试图改变以往化学史教学主要依赖教师讲述、学生被动接受的课堂形态。其目标不仅在于把化学史带入课堂，更在于提高课堂教学效率，扩大学生知识视野，增强学生自主学习、信息搜集与整理、合作交流和问题解决的能力，使史料能够真正转化为任务、活动与学习过程</w:t>
      </w:r>
      <w:r>
        <w:rPr>
          <w:rStyle w:val="22"/>
          <w:rFonts w:hint="eastAsia" w:ascii="宋体" w:hAnsi="宋体" w:cs="宋体"/>
          <w:color w:val="000000"/>
          <w:kern w:val="2"/>
          <w:szCs w:val="24"/>
        </w:rPr>
        <w:t>［</w:t>
      </w:r>
      <w:r>
        <w:rPr>
          <w:rStyle w:val="22"/>
          <w:rFonts w:hint="eastAsia" w:ascii="宋体" w:hAnsi="宋体" w:cs="宋体"/>
          <w:color w:val="000000"/>
          <w:kern w:val="2"/>
          <w:szCs w:val="24"/>
        </w:rPr>
        <w:footnoteReference w:id="42"/>
      </w:r>
      <w:r>
        <w:rPr>
          <w:rStyle w:val="22"/>
          <w:rFonts w:hint="eastAsia" w:ascii="宋体" w:hAnsi="宋体" w:cs="宋体"/>
          <w:color w:val="000000"/>
          <w:kern w:val="2"/>
          <w:szCs w:val="24"/>
        </w:rPr>
        <w:t>］</w:t>
      </w:r>
      <w:r>
        <w:rPr>
          <w:rFonts w:hint="eastAsia"/>
        </w:rPr>
        <w:t>。这类研究的价值在于开始回应“历史材料如何进入课堂组织”“史料如何服务学习方式变革”等更具实践意义的问题。但从可迁移性的角度看，这一阶段的研究仍多停留在具体课例和课堂活动层面，在教学目标的多层次呈现、实施路径的展现以及评价指标的细化方面仍有进一步深化的空间。</w:t>
      </w:r>
    </w:p>
    <w:p w14:paraId="654BE249">
      <w:pPr>
        <w:pStyle w:val="7"/>
        <w:widowControl w:val="0"/>
        <w:numPr>
          <w:ilvl w:val="3"/>
          <w:numId w:val="15"/>
        </w:numPr>
        <w:ind w:left="0" w:leftChars="0" w:firstLine="402" w:firstLineChars="0"/>
      </w:pPr>
      <w:r>
        <w:rPr>
          <w:rFonts w:hint="eastAsia"/>
        </w:rPr>
        <w:t>HPS在化学课堂教学中的应用研究及其进展</w:t>
      </w:r>
    </w:p>
    <w:p w14:paraId="2B34F837">
      <w:pPr>
        <w:pStyle w:val="23"/>
        <w:widowControl w:val="0"/>
        <w:ind w:firstLine="460"/>
        <w:rPr>
          <w:rFonts w:hint="eastAsia" w:ascii="宋体" w:hAnsi="宋体" w:cs="宋体"/>
          <w:color w:val="000000"/>
          <w:sz w:val="24"/>
          <w:szCs w:val="24"/>
        </w:rPr>
      </w:pPr>
      <w:r>
        <w:rPr>
          <w:rFonts w:hint="eastAsia" w:ascii="宋体" w:hAnsi="宋体" w:cs="宋体"/>
          <w:color w:val="000000"/>
          <w:sz w:val="24"/>
          <w:szCs w:val="24"/>
        </w:rPr>
        <w:t>2010年前后，国内HPS研究明显由理念讨论转向课堂实践、教学设计与实证检验，越来越多研究开始把HPS作为改进中学化学课堂、优化知识教学结构和促进学生学科素养发展的路径来加以推进。其中，黄晓的研究具有关键意义。他在《体现科学本质的科学教学——基于HPS的视角》中，并未停留于说明HPS“为什么重要”，而是系统回答了HPS“怎样进入课堂、怎样转化为教学设计”的问题。其研究从“目标—内容—过程—方法—教师支持”几方面展开：在目标上，强调应依据学生发展水平显性表述教学目标，使教师、学生和评价都有明确指向；在内容上，提出既可围绕某一关键认识要点组织史料，也可围绕具体学科主题整体重构；在过程上，提出“历史—探究”等教学模式，通过问题链、史料研读、实验设计、论证交流和反思评价，引导学生经历观点提出、证据检验与概念建构；在方法上，结合单摆、原子结构、光的折射等主题，提出历史个案研究、历史—探究、类比、科学写作等策略</w:t>
      </w:r>
      <w:r>
        <w:rPr>
          <w:rStyle w:val="22"/>
          <w:rFonts w:hint="eastAsia" w:ascii="宋体" w:hAnsi="宋体" w:cs="宋体"/>
          <w:color w:val="000000"/>
          <w:sz w:val="24"/>
          <w:szCs w:val="24"/>
        </w:rPr>
        <w:t>［</w:t>
      </w:r>
      <w:r>
        <w:rPr>
          <w:rStyle w:val="22"/>
          <w:rFonts w:hint="eastAsia" w:ascii="宋体" w:hAnsi="宋体" w:cs="宋体"/>
          <w:color w:val="000000"/>
          <w:sz w:val="24"/>
          <w:szCs w:val="24"/>
        </w:rPr>
        <w:footnoteReference w:id="43"/>
      </w:r>
      <w:r>
        <w:rPr>
          <w:rStyle w:val="22"/>
          <w:rFonts w:hint="eastAsia" w:ascii="宋体" w:hAnsi="宋体" w:cs="宋体"/>
          <w:color w:val="000000"/>
          <w:sz w:val="24"/>
          <w:szCs w:val="24"/>
        </w:rPr>
        <w:t>］</w:t>
      </w:r>
      <w:r>
        <w:rPr>
          <w:rFonts w:hint="eastAsia" w:ascii="宋体" w:hAnsi="宋体" w:cs="宋体"/>
          <w:color w:val="000000"/>
          <w:sz w:val="24"/>
          <w:szCs w:val="24"/>
        </w:rPr>
        <w:t>。由此可见，黄晓的研究虽然立足于科学本质视角，但其更直接的实践贡献，在于为教师提供了一套能够重构知识教学、组织探究活动且提升课堂实施质量的设计思路与操作框架。</w:t>
      </w:r>
    </w:p>
    <w:p w14:paraId="2A232CD3">
      <w:pPr>
        <w:pStyle w:val="23"/>
        <w:widowControl w:val="0"/>
        <w:ind w:firstLine="460"/>
        <w:rPr>
          <w:rFonts w:hint="eastAsia" w:ascii="宋体" w:hAnsi="宋体" w:cs="宋体"/>
          <w:color w:val="000000"/>
          <w:sz w:val="24"/>
          <w:szCs w:val="24"/>
        </w:rPr>
      </w:pPr>
      <w:r>
        <w:rPr>
          <w:rFonts w:hint="eastAsia" w:ascii="宋体" w:hAnsi="宋体" w:cs="宋体"/>
          <w:color w:val="000000"/>
          <w:sz w:val="24"/>
          <w:szCs w:val="24"/>
        </w:rPr>
        <w:t>此后，皇甫倩、王后雄从中学化学课堂出发，提出HPS融入教学应以化学基本史料为背景，以培养科学素养和人文素养为宗旨，以更新教学观念为前提，以批判精神培养为抓手，并以“苯”的教学为例，将HPS六阶段程序具体化，使学生在历史线索、结构猜想、实验验证和课堂反思中深化对化学概念形成过程的理解，相比单纯的知识讲授，这类研究更强调借助HPS改善课堂结构，促进学生在“怀疑—论证—修正”中形成较为完整的学习体验</w:t>
      </w:r>
      <w:r>
        <w:rPr>
          <w:rStyle w:val="22"/>
          <w:rFonts w:hint="eastAsia" w:ascii="宋体" w:hAnsi="宋体" w:cs="宋体"/>
          <w:color w:val="000000"/>
          <w:sz w:val="24"/>
          <w:szCs w:val="24"/>
        </w:rPr>
        <w:t>［</w:t>
      </w:r>
      <w:r>
        <w:rPr>
          <w:rStyle w:val="22"/>
          <w:rFonts w:hint="eastAsia" w:ascii="宋体" w:hAnsi="宋体" w:cs="宋体"/>
          <w:color w:val="000000"/>
          <w:sz w:val="24"/>
          <w:szCs w:val="24"/>
        </w:rPr>
        <w:footnoteReference w:id="44"/>
      </w:r>
      <w:r>
        <w:rPr>
          <w:rStyle w:val="22"/>
          <w:rFonts w:hint="eastAsia" w:ascii="宋体" w:hAnsi="宋体" w:cs="宋体"/>
          <w:color w:val="000000"/>
          <w:sz w:val="24"/>
          <w:szCs w:val="24"/>
        </w:rPr>
        <w:t>］</w:t>
      </w:r>
      <w:r>
        <w:rPr>
          <w:rFonts w:hint="eastAsia" w:ascii="宋体" w:hAnsi="宋体" w:cs="宋体"/>
          <w:color w:val="000000"/>
          <w:sz w:val="24"/>
          <w:szCs w:val="24"/>
        </w:rPr>
        <w:t>；2019年，白玉香又在前期研究基础上进一步推进了HPS与Webquest的整合，围绕氧化还原反应、氮及其化合物等内容构建整合教学模型，不仅关注课例设计本身，还提出了问题设计、资源模块组织、模式选择等实施策略，并通过教学实验对应用效果进行检验</w:t>
      </w:r>
      <w:r>
        <w:rPr>
          <w:rStyle w:val="22"/>
          <w:rFonts w:hint="eastAsia" w:ascii="宋体" w:hAnsi="宋体" w:cs="宋体"/>
          <w:color w:val="000000"/>
          <w:sz w:val="24"/>
          <w:szCs w:val="24"/>
        </w:rPr>
        <w:t>［</w:t>
      </w:r>
      <w:r>
        <w:rPr>
          <w:rStyle w:val="22"/>
          <w:rFonts w:hint="eastAsia" w:ascii="宋体" w:hAnsi="宋体" w:cs="宋体"/>
          <w:color w:val="000000"/>
          <w:sz w:val="24"/>
          <w:szCs w:val="24"/>
        </w:rPr>
        <w:footnoteReference w:id="45"/>
      </w:r>
      <w:r>
        <w:rPr>
          <w:rStyle w:val="22"/>
          <w:rFonts w:hint="eastAsia" w:ascii="宋体" w:hAnsi="宋体" w:cs="宋体"/>
          <w:color w:val="000000"/>
          <w:sz w:val="24"/>
          <w:szCs w:val="24"/>
        </w:rPr>
        <w:t>］</w:t>
      </w:r>
      <w:r>
        <w:rPr>
          <w:rFonts w:hint="eastAsia" w:ascii="宋体" w:hAnsi="宋体" w:cs="宋体"/>
          <w:color w:val="000000"/>
          <w:sz w:val="24"/>
          <w:szCs w:val="24"/>
        </w:rPr>
        <w:t>。此时HPS在化学课堂中的功能定位已进一步扩展到课堂效率提升、学习方式优化、信息素养与合作能力培养以及化学核心素养发展的层面。</w:t>
      </w:r>
    </w:p>
    <w:p w14:paraId="227B6223">
      <w:r>
        <w:rPr>
          <w:rFonts w:hint="eastAsia"/>
        </w:rPr>
        <w:t>这些实践研究对本研究最直接的价值在于以下几点：</w:t>
      </w:r>
    </w:p>
    <w:p w14:paraId="72709721">
      <w:pPr>
        <w:numPr>
          <w:ilvl w:val="0"/>
          <w:numId w:val="16"/>
        </w:numPr>
      </w:pPr>
      <w:r>
        <w:rPr>
          <w:rFonts w:hint="eastAsia"/>
        </w:rPr>
        <w:t>化学学科可用的有关HPS教学理念资源充足，很多核心知识点都能找到合适的“问题情境—证据材料—观点演化”的历史线索；</w:t>
      </w:r>
    </w:p>
    <w:p w14:paraId="6462B297">
      <w:pPr>
        <w:numPr>
          <w:ilvl w:val="0"/>
          <w:numId w:val="16"/>
        </w:numPr>
        <w:rPr>
          <w:rFonts w:hint="eastAsia" w:ascii="宋体" w:hAnsi="宋体" w:cs="宋体"/>
          <w:color w:val="000000"/>
          <w:szCs w:val="24"/>
        </w:rPr>
      </w:pPr>
      <w:r>
        <w:rPr>
          <w:rFonts w:hint="eastAsia"/>
        </w:rPr>
        <w:t>第国内已经积累了不少“如何把将史料嵌入课堂”的操作经验，包括情境导入、探究任务、论证活动与课堂讨论的组织方式，这些都是后续建构教学设计框架可以直接借鉴的做法。</w:t>
      </w:r>
    </w:p>
    <w:p w14:paraId="396A3062">
      <w:r>
        <w:rPr>
          <w:rFonts w:hint="eastAsia"/>
        </w:rPr>
        <w:t>与此同时也不难发现，既有研究虽然常常提及科学本质，但其核心目标更多落在增强课程人文性、优化课堂结构、促进概念理解等方面，对“学生科学本质观究竟提升了哪些维度”这一问题回应仍不够充分；在教学设计之前对学生科学本质观现状的系统诊断，以及在研究中建立“前测—干预—后测—证据分析”论证链条的做法，也相对不足。也正因为如此，本研究有必要在吸收已有HPS课堂实践经验的基础上，进一步把HPS教学设计与学生科学本质观维度发展、现状调查和证据评价结合起来，从而使研究的目标指向更加明确，论证过程更加完整。</w:t>
      </w:r>
    </w:p>
    <w:p w14:paraId="39CEFE29">
      <w:pPr>
        <w:pStyle w:val="7"/>
        <w:widowControl w:val="0"/>
        <w:numPr>
          <w:ilvl w:val="3"/>
          <w:numId w:val="15"/>
        </w:numPr>
        <w:ind w:left="0" w:leftChars="0" w:firstLine="402" w:firstLineChars="0"/>
        <w:rPr>
          <w:rFonts w:hint="eastAsia"/>
        </w:rPr>
      </w:pPr>
      <w:r>
        <w:rPr>
          <w:rFonts w:hint="eastAsia"/>
        </w:rPr>
        <w:t>国内研究趋势分析与本研究的关注点</w:t>
      </w:r>
    </w:p>
    <w:p w14:paraId="54F94D93">
      <w:pPr>
        <w:pStyle w:val="23"/>
        <w:widowControl w:val="0"/>
        <w:ind w:firstLine="460"/>
        <w:rPr>
          <w:rFonts w:hint="eastAsia" w:ascii="宋体" w:hAnsi="宋体" w:cs="宋体"/>
          <w:color w:val="000000"/>
          <w:sz w:val="24"/>
          <w:szCs w:val="24"/>
        </w:rPr>
      </w:pPr>
      <w:r>
        <w:rPr>
          <w:rFonts w:hint="eastAsia" w:ascii="宋体" w:hAnsi="宋体" w:cs="宋体"/>
          <w:color w:val="000000"/>
          <w:sz w:val="24"/>
          <w:szCs w:val="24"/>
        </w:rPr>
        <w:t>国内研究概况，本研究使用中国知网（CNKI）进行搜索，在其高级检索中选择以“HPS理念”为主题、时间范围设置在2000-2025年进行检索，共检索到524篇文献。524篇文献中包括学术期刊78篇，学位论文325篇，会议9篇，在这些论文中包括数理化等多个学科关于HPS教学理念的应用，本综述在高级检索中再次添加了“化学”这一主题，共检索出236篇文献，其中学术期刊112篇，学位论文87篇，会议1篇。</w:t>
      </w:r>
    </w:p>
    <w:p w14:paraId="7B21E2B4">
      <w:pPr>
        <w:pStyle w:val="23"/>
        <w:widowControl w:val="0"/>
        <w:ind w:firstLine="460"/>
        <w:rPr>
          <w:rFonts w:hint="eastAsia" w:ascii="宋体" w:hAnsi="宋体" w:cs="宋体"/>
          <w:color w:val="000000"/>
          <w:sz w:val="24"/>
          <w:szCs w:val="24"/>
        </w:rPr>
      </w:pPr>
      <w:r>
        <w:rPr>
          <w:rFonts w:hint="eastAsia" w:ascii="宋体" w:hAnsi="宋体" w:cs="宋体"/>
          <w:color w:val="000000"/>
          <w:sz w:val="24"/>
          <w:szCs w:val="24"/>
        </w:rPr>
        <w:t>从HPS理念相关文献的产出趋势来看，根据知网检索到的数据绘制成的折线图（如图2-1），其中折线的含义表示关于“HPS理念”相关文献的发表数量随着年份的变化。图中显示，HPS教学理念从 2006年至今，逐渐受到国内学者的关注，并且研究成果也呈现出总体上升的趋势。</w:t>
      </w:r>
    </w:p>
    <w:p w14:paraId="5E031F94">
      <w:pPr>
        <w:pStyle w:val="23"/>
        <w:widowControl w:val="0"/>
        <w:ind w:firstLine="0" w:firstLineChars="0"/>
        <w:jc w:val="center"/>
        <w:rPr>
          <w:color w:val="000000"/>
        </w:rPr>
      </w:pPr>
      <w:r>
        <w:drawing>
          <wp:inline distT="0" distB="0" distL="114300" distR="114300">
            <wp:extent cx="5256530" cy="1352550"/>
            <wp:effectExtent l="0" t="0" r="127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1"/>
                    <a:stretch>
                      <a:fillRect/>
                    </a:stretch>
                  </pic:blipFill>
                  <pic:spPr>
                    <a:xfrm>
                      <a:off x="0" y="0"/>
                      <a:ext cx="5256530" cy="1352550"/>
                    </a:xfrm>
                    <a:prstGeom prst="rect">
                      <a:avLst/>
                    </a:prstGeom>
                    <a:noFill/>
                    <a:ln>
                      <a:noFill/>
                    </a:ln>
                  </pic:spPr>
                </pic:pic>
              </a:graphicData>
            </a:graphic>
          </wp:inline>
        </w:drawing>
      </w:r>
    </w:p>
    <w:p w14:paraId="38DF6B46">
      <w:pPr>
        <w:pStyle w:val="23"/>
        <w:widowControl w:val="0"/>
        <w:ind w:firstLine="460"/>
        <w:jc w:val="center"/>
        <w:rPr>
          <w:color w:val="000000"/>
          <w:sz w:val="28"/>
          <w:szCs w:val="28"/>
        </w:rPr>
      </w:pPr>
      <w:r>
        <w:rPr>
          <w:rFonts w:hint="eastAsia" w:ascii="宋体" w:hAnsi="宋体" w:cs="宋体"/>
          <w:bCs/>
          <w:color w:val="000000"/>
          <w:sz w:val="24"/>
          <w:szCs w:val="24"/>
        </w:rPr>
        <w:t>图2-1“HPS理念”相关文献的发表数量随着年份的变化</w:t>
      </w:r>
    </w:p>
    <w:p w14:paraId="6E233598">
      <w:pPr>
        <w:pStyle w:val="23"/>
        <w:widowControl w:val="0"/>
        <w:ind w:firstLine="460"/>
        <w:rPr>
          <w:rFonts w:hint="eastAsia" w:ascii="宋体" w:hAnsi="宋体" w:cs="宋体"/>
          <w:bCs/>
          <w:color w:val="000000"/>
          <w:sz w:val="24"/>
          <w:szCs w:val="24"/>
        </w:rPr>
      </w:pPr>
      <w:r>
        <w:rPr>
          <w:rFonts w:ascii="宋体" w:hAnsi="宋体" w:cs="宋体"/>
          <w:bCs/>
          <w:color w:val="000000"/>
          <w:sz w:val="24"/>
          <w:szCs w:val="24"/>
        </w:rPr>
        <w:t>从化学学科中</w:t>
      </w:r>
      <w:r>
        <w:rPr>
          <w:rFonts w:hint="eastAsia" w:ascii="宋体" w:hAnsi="宋体" w:cs="宋体"/>
          <w:bCs/>
          <w:color w:val="000000"/>
          <w:sz w:val="24"/>
          <w:szCs w:val="24"/>
        </w:rPr>
        <w:t>HPS</w:t>
      </w:r>
      <w:r>
        <w:rPr>
          <w:rFonts w:ascii="宋体" w:hAnsi="宋体" w:cs="宋体"/>
          <w:bCs/>
          <w:color w:val="000000"/>
          <w:sz w:val="24"/>
          <w:szCs w:val="24"/>
        </w:rPr>
        <w:t>教学</w:t>
      </w:r>
      <w:r>
        <w:rPr>
          <w:rFonts w:hint="eastAsia" w:ascii="宋体" w:hAnsi="宋体" w:cs="宋体"/>
          <w:bCs/>
          <w:color w:val="000000"/>
          <w:sz w:val="24"/>
          <w:szCs w:val="24"/>
        </w:rPr>
        <w:t>理念</w:t>
      </w:r>
      <w:r>
        <w:rPr>
          <w:rFonts w:ascii="宋体" w:hAnsi="宋体" w:cs="宋体"/>
          <w:bCs/>
          <w:color w:val="000000"/>
          <w:sz w:val="24"/>
          <w:szCs w:val="24"/>
        </w:rPr>
        <w:t>应用的相关文献，如下图（图</w:t>
      </w:r>
      <w:r>
        <w:rPr>
          <w:rFonts w:hint="eastAsia" w:ascii="宋体" w:hAnsi="宋体" w:cs="宋体"/>
          <w:bCs/>
          <w:color w:val="000000"/>
          <w:sz w:val="24"/>
          <w:szCs w:val="24"/>
        </w:rPr>
        <w:t>2</w:t>
      </w:r>
      <w:r>
        <w:rPr>
          <w:rFonts w:ascii="宋体" w:hAnsi="宋体" w:cs="宋体"/>
          <w:bCs/>
          <w:color w:val="000000"/>
          <w:sz w:val="24"/>
          <w:szCs w:val="24"/>
        </w:rPr>
        <w:t>-</w:t>
      </w:r>
      <w:r>
        <w:rPr>
          <w:rFonts w:hint="eastAsia" w:ascii="宋体" w:hAnsi="宋体" w:cs="宋体"/>
          <w:bCs/>
          <w:color w:val="000000"/>
          <w:sz w:val="24"/>
          <w:szCs w:val="24"/>
        </w:rPr>
        <w:t>2</w:t>
      </w:r>
      <w:r>
        <w:rPr>
          <w:rFonts w:ascii="宋体" w:hAnsi="宋体" w:cs="宋体"/>
          <w:bCs/>
          <w:color w:val="000000"/>
          <w:sz w:val="24"/>
          <w:szCs w:val="24"/>
        </w:rPr>
        <w:t>）所示，我们可以看出从</w:t>
      </w:r>
      <w:r>
        <w:rPr>
          <w:rFonts w:hint="eastAsia" w:ascii="宋体" w:hAnsi="宋体" w:cs="宋体"/>
          <w:bCs/>
          <w:color w:val="000000"/>
          <w:sz w:val="24"/>
          <w:szCs w:val="24"/>
        </w:rPr>
        <w:t>2008年</w:t>
      </w:r>
      <w:r>
        <w:rPr>
          <w:rFonts w:ascii="宋体" w:hAnsi="宋体" w:cs="宋体"/>
          <w:bCs/>
          <w:color w:val="000000"/>
          <w:sz w:val="24"/>
          <w:szCs w:val="24"/>
        </w:rPr>
        <w:t>开始，我国开始有学者对于化学教学中应用</w:t>
      </w:r>
      <w:r>
        <w:rPr>
          <w:rFonts w:hint="eastAsia" w:ascii="宋体" w:hAnsi="宋体" w:cs="宋体"/>
          <w:bCs/>
          <w:color w:val="000000"/>
          <w:sz w:val="24"/>
          <w:szCs w:val="24"/>
        </w:rPr>
        <w:t>HPS</w:t>
      </w:r>
      <w:r>
        <w:rPr>
          <w:rFonts w:ascii="宋体" w:hAnsi="宋体" w:cs="宋体"/>
          <w:bCs/>
          <w:color w:val="000000"/>
          <w:sz w:val="24"/>
          <w:szCs w:val="24"/>
        </w:rPr>
        <w:t>教学理念进行研究，并且研究成果处于持续上升的状态，在</w:t>
      </w:r>
      <w:r>
        <w:rPr>
          <w:rFonts w:hint="eastAsia" w:ascii="宋体" w:hAnsi="宋体" w:cs="宋体"/>
          <w:bCs/>
          <w:color w:val="000000"/>
          <w:sz w:val="24"/>
          <w:szCs w:val="24"/>
        </w:rPr>
        <w:t>2024</w:t>
      </w:r>
      <w:r>
        <w:rPr>
          <w:rFonts w:ascii="宋体" w:hAnsi="宋体" w:cs="宋体"/>
          <w:bCs/>
          <w:color w:val="000000"/>
          <w:sz w:val="24"/>
          <w:szCs w:val="24"/>
        </w:rPr>
        <w:t>年研究成果数量达到顶峰，发表了</w:t>
      </w:r>
      <w:r>
        <w:rPr>
          <w:rFonts w:hint="eastAsia" w:ascii="宋体" w:hAnsi="宋体" w:cs="宋体"/>
          <w:bCs/>
          <w:color w:val="000000"/>
          <w:sz w:val="24"/>
          <w:szCs w:val="24"/>
        </w:rPr>
        <w:t>28</w:t>
      </w:r>
      <w:r>
        <w:rPr>
          <w:rFonts w:ascii="宋体" w:hAnsi="宋体" w:cs="宋体"/>
          <w:bCs/>
          <w:color w:val="000000"/>
          <w:sz w:val="24"/>
          <w:szCs w:val="24"/>
        </w:rPr>
        <w:t>篇。</w:t>
      </w:r>
    </w:p>
    <w:p w14:paraId="57CBE7E7">
      <w:pPr>
        <w:widowControl w:val="0"/>
        <w:ind w:firstLine="0"/>
        <w:jc w:val="center"/>
        <w:rPr>
          <w:color w:val="000000"/>
          <w:sz w:val="28"/>
          <w:szCs w:val="28"/>
        </w:rPr>
      </w:pPr>
      <w:r>
        <w:drawing>
          <wp:inline distT="0" distB="0" distL="114300" distR="114300">
            <wp:extent cx="5269865" cy="1328420"/>
            <wp:effectExtent l="0" t="0" r="6985" b="508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2"/>
                    <a:stretch>
                      <a:fillRect/>
                    </a:stretch>
                  </pic:blipFill>
                  <pic:spPr>
                    <a:xfrm>
                      <a:off x="0" y="0"/>
                      <a:ext cx="5390129" cy="1358937"/>
                    </a:xfrm>
                    <a:prstGeom prst="rect">
                      <a:avLst/>
                    </a:prstGeom>
                    <a:noFill/>
                    <a:ln>
                      <a:noFill/>
                    </a:ln>
                  </pic:spPr>
                </pic:pic>
              </a:graphicData>
            </a:graphic>
          </wp:inline>
        </w:drawing>
      </w:r>
    </w:p>
    <w:p w14:paraId="448C611C">
      <w:pPr>
        <w:pStyle w:val="23"/>
        <w:widowControl w:val="0"/>
        <w:ind w:firstLine="460"/>
        <w:jc w:val="center"/>
        <w:rPr>
          <w:rFonts w:hint="eastAsia" w:ascii="宋体" w:hAnsi="宋体" w:cs="宋体"/>
          <w:bCs/>
          <w:color w:val="000000"/>
          <w:sz w:val="24"/>
          <w:szCs w:val="24"/>
          <w:highlight w:val="yellow"/>
        </w:rPr>
      </w:pPr>
      <w:r>
        <w:rPr>
          <w:rFonts w:ascii="宋体" w:hAnsi="宋体" w:cs="宋体"/>
          <w:bCs/>
          <w:color w:val="000000"/>
          <w:sz w:val="24"/>
          <w:szCs w:val="24"/>
        </w:rPr>
        <w:t>图</w:t>
      </w:r>
      <w:r>
        <w:rPr>
          <w:rFonts w:hint="eastAsia" w:ascii="宋体" w:hAnsi="宋体" w:cs="宋体"/>
          <w:bCs/>
          <w:color w:val="000000"/>
          <w:sz w:val="24"/>
          <w:szCs w:val="24"/>
        </w:rPr>
        <w:t>2</w:t>
      </w:r>
      <w:r>
        <w:rPr>
          <w:rFonts w:ascii="宋体" w:hAnsi="宋体" w:cs="宋体"/>
          <w:bCs/>
          <w:color w:val="000000"/>
          <w:sz w:val="24"/>
          <w:szCs w:val="24"/>
        </w:rPr>
        <w:t>-</w:t>
      </w:r>
      <w:r>
        <w:rPr>
          <w:rFonts w:hint="eastAsia" w:ascii="宋体" w:hAnsi="宋体" w:cs="宋体"/>
          <w:bCs/>
          <w:color w:val="000000"/>
          <w:sz w:val="24"/>
          <w:szCs w:val="24"/>
        </w:rPr>
        <w:t>2</w:t>
      </w:r>
      <w:r>
        <w:rPr>
          <w:rFonts w:ascii="宋体" w:hAnsi="宋体" w:cs="宋体"/>
          <w:bCs/>
          <w:color w:val="000000"/>
          <w:sz w:val="24"/>
          <w:szCs w:val="24"/>
        </w:rPr>
        <w:t>化学学科中有关</w:t>
      </w:r>
      <w:r>
        <w:rPr>
          <w:rFonts w:hint="eastAsia" w:ascii="宋体" w:hAnsi="宋体" w:cs="宋体"/>
          <w:bCs/>
          <w:color w:val="000000"/>
          <w:sz w:val="24"/>
          <w:szCs w:val="24"/>
        </w:rPr>
        <w:t>“HPS理念”</w:t>
      </w:r>
      <w:r>
        <w:rPr>
          <w:rFonts w:ascii="宋体" w:hAnsi="宋体" w:cs="宋体"/>
          <w:bCs/>
          <w:color w:val="000000"/>
          <w:sz w:val="24"/>
          <w:szCs w:val="24"/>
        </w:rPr>
        <w:t>应用的文献发表数量随着年份的变化</w:t>
      </w:r>
    </w:p>
    <w:p w14:paraId="587640FE">
      <w:pPr>
        <w:pStyle w:val="23"/>
        <w:widowControl w:val="0"/>
        <w:ind w:firstLine="460"/>
        <w:jc w:val="both"/>
        <w:rPr>
          <w:rFonts w:hint="eastAsia" w:ascii="宋体" w:hAnsi="宋体" w:cs="宋体"/>
          <w:bCs/>
          <w:color w:val="000000"/>
          <w:sz w:val="24"/>
          <w:szCs w:val="24"/>
        </w:rPr>
      </w:pPr>
      <w:r>
        <w:rPr>
          <w:rFonts w:ascii="宋体" w:hAnsi="宋体" w:cs="宋体"/>
          <w:bCs/>
          <w:color w:val="000000"/>
          <w:sz w:val="24"/>
          <w:szCs w:val="24"/>
        </w:rPr>
        <w:t>为进一步把握化学学科中HPS教学</w:t>
      </w:r>
      <w:r>
        <w:rPr>
          <w:rFonts w:hint="eastAsia" w:ascii="宋体" w:hAnsi="宋体" w:cs="宋体"/>
          <w:bCs/>
          <w:color w:val="000000"/>
          <w:sz w:val="24"/>
          <w:szCs w:val="24"/>
        </w:rPr>
        <w:t>理念</w:t>
      </w:r>
      <w:r>
        <w:rPr>
          <w:rFonts w:ascii="宋体" w:hAnsi="宋体" w:cs="宋体"/>
          <w:bCs/>
          <w:color w:val="000000"/>
          <w:sz w:val="24"/>
          <w:szCs w:val="24"/>
        </w:rPr>
        <w:t>研究的主题分布与演进脉络，本文运用CiteSpace软件对对知网数据库中主题为“HPS</w:t>
      </w:r>
      <w:r>
        <w:rPr>
          <w:rFonts w:hint="eastAsia" w:ascii="宋体" w:hAnsi="宋体" w:cs="宋体"/>
          <w:bCs/>
          <w:color w:val="000000"/>
          <w:sz w:val="24"/>
          <w:szCs w:val="24"/>
        </w:rPr>
        <w:t>理念</w:t>
      </w:r>
      <w:r>
        <w:rPr>
          <w:rFonts w:ascii="宋体" w:hAnsi="宋体" w:cs="宋体"/>
          <w:bCs/>
          <w:color w:val="000000"/>
          <w:sz w:val="24"/>
          <w:szCs w:val="24"/>
        </w:rPr>
        <w:t>”“化学”的文献进行了关键词共现、聚类与时间线分析</w:t>
      </w:r>
      <w:r>
        <w:rPr>
          <w:rFonts w:hint="eastAsia" w:ascii="宋体" w:hAnsi="宋体" w:cs="宋体"/>
          <w:bCs/>
          <w:color w:val="000000"/>
          <w:sz w:val="24"/>
          <w:szCs w:val="24"/>
        </w:rPr>
        <w:t>，该关键词共现图谱共包含66个节点、96条连线，网络密度为0.0448。最大连通子网络包含44个节点，占全部节点的66%，说明该领域已经形成了较为明显的核心研究群。与此同时，聚类模块值Q为0.669，轮廓值S为0.9246，表明该图谱的聚类结构较为清晰，聚类结果具有较高的可信度。</w:t>
      </w:r>
    </w:p>
    <w:p w14:paraId="4BA83799">
      <w:pPr>
        <w:pStyle w:val="23"/>
        <w:widowControl w:val="0"/>
        <w:ind w:firstLine="460"/>
        <w:jc w:val="both"/>
        <w:rPr>
          <w:rFonts w:hint="eastAsia" w:ascii="宋体" w:hAnsi="宋体" w:cs="宋体"/>
          <w:bCs/>
          <w:color w:val="000000"/>
          <w:sz w:val="24"/>
          <w:szCs w:val="24"/>
        </w:rPr>
      </w:pPr>
      <w:r>
        <w:rPr>
          <w:rFonts w:ascii="宋体" w:hAnsi="宋体" w:cs="宋体"/>
          <w:bCs/>
          <w:color w:val="000000"/>
          <w:sz w:val="24"/>
          <w:szCs w:val="24"/>
        </w:rPr>
        <w:t>如图</w:t>
      </w:r>
      <w:r>
        <w:rPr>
          <w:rFonts w:hint="eastAsia" w:ascii="宋体" w:hAnsi="宋体" w:cs="宋体"/>
          <w:bCs/>
          <w:color w:val="000000"/>
          <w:sz w:val="24"/>
          <w:szCs w:val="24"/>
        </w:rPr>
        <w:t>2-3</w:t>
      </w:r>
      <w:r>
        <w:rPr>
          <w:rFonts w:ascii="宋体" w:hAnsi="宋体" w:cs="宋体"/>
          <w:bCs/>
          <w:color w:val="000000"/>
          <w:sz w:val="24"/>
          <w:szCs w:val="24"/>
        </w:rPr>
        <w:t>所示，“高中化学”处于</w:t>
      </w:r>
      <w:r>
        <w:rPr>
          <w:rFonts w:hint="eastAsia" w:ascii="宋体" w:hAnsi="宋体" w:cs="宋体"/>
          <w:bCs/>
          <w:color w:val="000000"/>
          <w:sz w:val="24"/>
          <w:szCs w:val="24"/>
        </w:rPr>
        <w:t>图谱</w:t>
      </w:r>
      <w:r>
        <w:rPr>
          <w:rFonts w:ascii="宋体" w:hAnsi="宋体" w:cs="宋体"/>
          <w:bCs/>
          <w:color w:val="000000"/>
          <w:sz w:val="24"/>
          <w:szCs w:val="24"/>
        </w:rPr>
        <w:t>较为核心的位置，与“核心素养”“教学设计”“科学本质”“教学实践”“教学策略”“课程思政”“教学模式”等关键词联系较为紧密，说明当前HPS理念在化学教学中的研究主要集中于高中化学课堂，并逐步形成了以教学设计为载体、以科学本质理解为重点、以核心素养培育为导向的研究取向。其中，“高中化学”“核心素养”“教学设计”“科学本质”等节点较大，表明这些主题在已有研究中出现频次较高，是该领域讨论较为集中的几个方向。由此可见，HPS理念在化学学科中的应用，已由早期对理念本身的</w:t>
      </w:r>
      <w:r>
        <w:rPr>
          <w:rFonts w:hint="eastAsia" w:ascii="宋体" w:hAnsi="宋体" w:cs="宋体"/>
          <w:bCs/>
          <w:color w:val="000000"/>
          <w:sz w:val="24"/>
          <w:szCs w:val="24"/>
        </w:rPr>
        <w:t>理解与阐述</w:t>
      </w:r>
      <w:r>
        <w:rPr>
          <w:rFonts w:ascii="宋体" w:hAnsi="宋体" w:cs="宋体"/>
          <w:bCs/>
          <w:color w:val="000000"/>
          <w:sz w:val="24"/>
          <w:szCs w:val="24"/>
        </w:rPr>
        <w:t>，进一步转向与课堂教学实践相结合，更强调在具体教学情境中落实学科育人价值。</w:t>
      </w:r>
    </w:p>
    <w:p w14:paraId="0F69D4EE">
      <w:pPr>
        <w:pStyle w:val="23"/>
        <w:widowControl w:val="0"/>
        <w:ind w:firstLine="0" w:firstLineChars="0"/>
        <w:jc w:val="center"/>
        <w:rPr>
          <w:rFonts w:hint="eastAsia" w:ascii="宋体" w:hAnsi="宋体" w:cs="宋体"/>
          <w:bCs/>
          <w:color w:val="000000"/>
          <w:sz w:val="24"/>
          <w:szCs w:val="24"/>
        </w:rPr>
      </w:pPr>
      <w:r>
        <w:rPr>
          <w:rFonts w:ascii="宋体" w:hAnsi="宋体" w:cs="宋体"/>
          <w:bCs/>
          <w:color w:val="000000"/>
          <w:sz w:val="24"/>
          <w:szCs w:val="24"/>
        </w:rPr>
        <w:drawing>
          <wp:inline distT="0" distB="0" distL="114300" distR="114300">
            <wp:extent cx="3437890" cy="3268345"/>
            <wp:effectExtent l="0" t="0" r="635" b="8255"/>
            <wp:docPr id="5" name="图片 5" descr="CO-DESC_v66e96线图完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DESC_v66e96线图完整"/>
                    <pic:cNvPicPr>
                      <a:picLocks noChangeAspect="1"/>
                    </pic:cNvPicPr>
                  </pic:nvPicPr>
                  <pic:blipFill>
                    <a:blip r:embed="rId13"/>
                    <a:srcRect l="10682" t="19965" r="37157"/>
                    <a:stretch>
                      <a:fillRect/>
                    </a:stretch>
                  </pic:blipFill>
                  <pic:spPr>
                    <a:xfrm>
                      <a:off x="0" y="0"/>
                      <a:ext cx="3437890" cy="3268345"/>
                    </a:xfrm>
                    <a:prstGeom prst="rect">
                      <a:avLst/>
                    </a:prstGeom>
                  </pic:spPr>
                </pic:pic>
              </a:graphicData>
            </a:graphic>
          </wp:inline>
        </w:drawing>
      </w:r>
    </w:p>
    <w:p w14:paraId="6A1A7AF6">
      <w:pPr>
        <w:pStyle w:val="23"/>
        <w:widowControl w:val="0"/>
        <w:ind w:firstLine="0" w:firstLineChars="0"/>
        <w:jc w:val="center"/>
        <w:rPr>
          <w:rFonts w:hint="eastAsia" w:ascii="宋体" w:hAnsi="宋体" w:cs="宋体"/>
          <w:bCs/>
          <w:color w:val="000000"/>
          <w:sz w:val="24"/>
          <w:szCs w:val="24"/>
        </w:rPr>
      </w:pPr>
      <w:r>
        <w:rPr>
          <w:rFonts w:hint="eastAsia" w:ascii="宋体" w:hAnsi="宋体" w:cs="宋体"/>
          <w:bCs/>
          <w:color w:val="000000"/>
          <w:sz w:val="24"/>
          <w:szCs w:val="24"/>
        </w:rPr>
        <w:t>图2-3 HPS理念与化学教学相关研究的关键词共现图谱</w:t>
      </w:r>
    </w:p>
    <w:p w14:paraId="14EC1AAB">
      <w:pPr>
        <w:pStyle w:val="23"/>
        <w:widowControl w:val="0"/>
        <w:ind w:firstLine="460"/>
        <w:jc w:val="both"/>
        <w:rPr>
          <w:rFonts w:hint="eastAsia" w:ascii="宋体" w:hAnsi="宋体" w:cs="宋体"/>
          <w:bCs/>
          <w:color w:val="000000"/>
          <w:sz w:val="24"/>
          <w:szCs w:val="24"/>
        </w:rPr>
      </w:pPr>
      <w:r>
        <w:rPr>
          <w:rFonts w:ascii="宋体" w:hAnsi="宋体" w:cs="宋体"/>
          <w:bCs/>
          <w:color w:val="000000"/>
          <w:sz w:val="24"/>
          <w:szCs w:val="24"/>
        </w:rPr>
        <w:t>以“高中化学”为中心关键词绘制图谱可以得到</w:t>
      </w:r>
      <w:r>
        <w:rPr>
          <w:rFonts w:hint="eastAsia" w:ascii="宋体" w:hAnsi="宋体" w:cs="宋体"/>
          <w:bCs/>
          <w:color w:val="000000"/>
          <w:sz w:val="24"/>
          <w:szCs w:val="24"/>
        </w:rPr>
        <w:t>图2-4</w:t>
      </w:r>
      <w:r>
        <w:rPr>
          <w:rFonts w:ascii="宋体" w:hAnsi="宋体" w:cs="宋体"/>
          <w:bCs/>
          <w:color w:val="000000"/>
          <w:sz w:val="24"/>
          <w:szCs w:val="24"/>
        </w:rPr>
        <w:t>。由图可知，HPS理念在高中化学中的研究主题较为集中，主要围绕“科学本质”“教学设计”“教学实践”“教学策略”“核心素养”“课程思政”等方面展开。这说明当前研究不仅关注HPS理念在高中化学课堂中的应用方式，也重视其在学生科学本质观形成、核心素养发展以及课堂育人中的作用。与此同时，“科学思维”“科学探究”“内容构建”等关键词也有所体现，表明相关研究正逐步由理论分析走向具体教学实践。</w:t>
      </w:r>
    </w:p>
    <w:p w14:paraId="40C7C9CB">
      <w:pPr>
        <w:pStyle w:val="23"/>
        <w:widowControl w:val="0"/>
        <w:ind w:firstLine="480"/>
        <w:jc w:val="center"/>
        <w:rPr>
          <w:rFonts w:hint="eastAsia" w:ascii="宋体" w:hAnsi="宋体" w:cs="宋体"/>
          <w:bCs/>
          <w:color w:val="000000"/>
          <w:sz w:val="24"/>
          <w:szCs w:val="24"/>
        </w:rPr>
      </w:pPr>
      <w:r>
        <w:rPr>
          <w:rFonts w:ascii="宋体" w:hAnsi="宋体" w:cs="宋体"/>
          <w:bCs/>
          <w:color w:val="000000"/>
          <w:sz w:val="24"/>
          <w:szCs w:val="24"/>
        </w:rPr>
        <w:drawing>
          <wp:inline distT="0" distB="0" distL="114300" distR="114300">
            <wp:extent cx="3072130" cy="2748280"/>
            <wp:effectExtent l="0" t="0" r="4445" b="4445"/>
            <wp:docPr id="6" name="图片 6" descr="CO-DESC_v66e96高中化学发散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O-DESC_v66e96高中化学发散云图"/>
                    <pic:cNvPicPr>
                      <a:picLocks noChangeAspect="1"/>
                    </pic:cNvPicPr>
                  </pic:nvPicPr>
                  <pic:blipFill>
                    <a:blip r:embed="rId14">
                      <a:lum bright="-6000"/>
                    </a:blip>
                    <a:srcRect l="16460" t="18005" r="33782" b="10168"/>
                    <a:stretch>
                      <a:fillRect/>
                    </a:stretch>
                  </pic:blipFill>
                  <pic:spPr>
                    <a:xfrm>
                      <a:off x="0" y="0"/>
                      <a:ext cx="3072130" cy="2748280"/>
                    </a:xfrm>
                    <a:prstGeom prst="rect">
                      <a:avLst/>
                    </a:prstGeom>
                  </pic:spPr>
                </pic:pic>
              </a:graphicData>
            </a:graphic>
          </wp:inline>
        </w:drawing>
      </w:r>
    </w:p>
    <w:p w14:paraId="4B954903">
      <w:pPr>
        <w:pStyle w:val="23"/>
        <w:widowControl w:val="0"/>
        <w:ind w:firstLine="460"/>
        <w:jc w:val="center"/>
        <w:rPr>
          <w:rFonts w:hint="eastAsia" w:ascii="宋体" w:hAnsi="宋体" w:cs="宋体"/>
          <w:bCs/>
          <w:color w:val="000000"/>
          <w:sz w:val="24"/>
          <w:szCs w:val="24"/>
        </w:rPr>
      </w:pPr>
      <w:r>
        <w:rPr>
          <w:rFonts w:hint="eastAsia" w:ascii="宋体" w:hAnsi="宋体" w:cs="宋体"/>
          <w:bCs/>
          <w:color w:val="000000"/>
          <w:sz w:val="24"/>
          <w:szCs w:val="24"/>
        </w:rPr>
        <w:t>图2-4 以“高中化学”为核心的HPS理念研究关键词图谱</w:t>
      </w:r>
    </w:p>
    <w:p w14:paraId="391ED0E1">
      <w:pPr>
        <w:pStyle w:val="23"/>
        <w:widowControl w:val="0"/>
        <w:ind w:firstLine="460"/>
        <w:jc w:val="both"/>
        <w:rPr>
          <w:rFonts w:hint="eastAsia" w:ascii="宋体" w:hAnsi="宋体" w:cs="宋体"/>
          <w:bCs/>
          <w:color w:val="000000"/>
          <w:sz w:val="24"/>
          <w:szCs w:val="24"/>
        </w:rPr>
      </w:pPr>
      <w:r>
        <w:rPr>
          <w:rFonts w:ascii="宋体" w:hAnsi="宋体" w:cs="宋体"/>
          <w:bCs/>
          <w:color w:val="000000"/>
          <w:sz w:val="24"/>
          <w:szCs w:val="24"/>
        </w:rPr>
        <w:t>通过</w:t>
      </w:r>
      <w:r>
        <w:rPr>
          <w:rFonts w:hint="eastAsia" w:ascii="宋体" w:hAnsi="宋体" w:cs="宋体"/>
          <w:bCs/>
          <w:color w:val="000000"/>
          <w:sz w:val="24"/>
          <w:szCs w:val="24"/>
        </w:rPr>
        <w:t>图2-5</w:t>
      </w:r>
      <w:r>
        <w:rPr>
          <w:rFonts w:ascii="宋体" w:hAnsi="宋体" w:cs="宋体"/>
          <w:bCs/>
          <w:color w:val="000000"/>
          <w:sz w:val="24"/>
          <w:szCs w:val="24"/>
        </w:rPr>
        <w:t>关键词聚类及时间线图可以看出，HPS理念在化学教学中的研究脉络较为清晰。图中主要涉及“高中化学教材中的HPS内容”“HPS理念下高中化学教学路径”“HPS理念下初中化学教学”“无机化学教材内容分析”“HPS教学与学习效果”等主题。整体来看，相关研究早期多集中于教材内容和科学本质，随后逐渐转向教学设计、教学策略与教学实践，近年又延伸到课程思政、科学思维等方面，说明该领域正由理论分析走向课堂应用。</w:t>
      </w:r>
    </w:p>
    <w:p w14:paraId="6E402AF1">
      <w:pPr>
        <w:pStyle w:val="23"/>
        <w:widowControl w:val="0"/>
        <w:ind w:firstLine="480"/>
        <w:jc w:val="center"/>
        <w:rPr>
          <w:rFonts w:hint="eastAsia" w:ascii="宋体" w:hAnsi="宋体" w:cs="宋体"/>
          <w:bCs/>
          <w:color w:val="000000"/>
          <w:sz w:val="24"/>
          <w:szCs w:val="24"/>
        </w:rPr>
      </w:pPr>
      <w:r>
        <w:rPr>
          <w:rFonts w:ascii="宋体" w:hAnsi="宋体" w:cs="宋体"/>
          <w:bCs/>
          <w:color w:val="000000"/>
          <w:sz w:val="24"/>
          <w:szCs w:val="24"/>
        </w:rPr>
        <w:drawing>
          <wp:inline distT="0" distB="0" distL="114300" distR="114300">
            <wp:extent cx="4772025" cy="2323465"/>
            <wp:effectExtent l="0" t="0" r="0" b="635"/>
            <wp:docPr id="7" name="图片 7" descr="CO-DESC_v66e96时间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O-DESC_v66e96时间线图"/>
                    <pic:cNvPicPr>
                      <a:picLocks noChangeAspect="1"/>
                    </pic:cNvPicPr>
                  </pic:nvPicPr>
                  <pic:blipFill>
                    <a:blip r:embed="rId15"/>
                    <a:srcRect l="13960" t="22159" r="5499" b="14577"/>
                    <a:stretch>
                      <a:fillRect/>
                    </a:stretch>
                  </pic:blipFill>
                  <pic:spPr>
                    <a:xfrm>
                      <a:off x="0" y="0"/>
                      <a:ext cx="4772025" cy="2323465"/>
                    </a:xfrm>
                    <a:prstGeom prst="rect">
                      <a:avLst/>
                    </a:prstGeom>
                  </pic:spPr>
                </pic:pic>
              </a:graphicData>
            </a:graphic>
          </wp:inline>
        </w:drawing>
      </w:r>
    </w:p>
    <w:p w14:paraId="2EBC4C46">
      <w:pPr>
        <w:pStyle w:val="23"/>
        <w:widowControl w:val="0"/>
        <w:ind w:firstLine="460"/>
        <w:jc w:val="center"/>
        <w:rPr>
          <w:rFonts w:hint="eastAsia" w:ascii="宋体" w:hAnsi="宋体" w:cs="宋体"/>
          <w:bCs/>
          <w:color w:val="000000"/>
          <w:sz w:val="24"/>
          <w:szCs w:val="24"/>
        </w:rPr>
      </w:pPr>
      <w:r>
        <w:rPr>
          <w:rFonts w:hint="eastAsia" w:ascii="宋体" w:hAnsi="宋体" w:cs="宋体"/>
          <w:bCs/>
          <w:color w:val="000000"/>
          <w:sz w:val="24"/>
          <w:szCs w:val="24"/>
        </w:rPr>
        <w:t>图2-5 HPS理念下化学教学研究关键词时间线图谱</w:t>
      </w:r>
    </w:p>
    <w:p w14:paraId="08C6E27D">
      <w:pPr>
        <w:pStyle w:val="23"/>
        <w:widowControl w:val="0"/>
        <w:ind w:firstLine="460"/>
        <w:jc w:val="both"/>
        <w:rPr>
          <w:rFonts w:hint="eastAsia" w:ascii="宋体" w:hAnsi="宋体" w:cs="宋体"/>
          <w:bCs/>
          <w:color w:val="000000"/>
          <w:sz w:val="24"/>
          <w:szCs w:val="24"/>
        </w:rPr>
      </w:pPr>
      <w:r>
        <w:rPr>
          <w:rFonts w:ascii="宋体" w:hAnsi="宋体" w:cs="宋体"/>
          <w:bCs/>
          <w:color w:val="000000"/>
          <w:sz w:val="24"/>
          <w:szCs w:val="24"/>
        </w:rPr>
        <w:t>从图</w:t>
      </w:r>
      <w:r>
        <w:rPr>
          <w:rFonts w:hint="eastAsia" w:ascii="宋体" w:hAnsi="宋体" w:cs="宋体"/>
          <w:bCs/>
          <w:color w:val="000000"/>
          <w:sz w:val="24"/>
          <w:szCs w:val="24"/>
        </w:rPr>
        <w:t>2-6</w:t>
      </w:r>
      <w:r>
        <w:rPr>
          <w:rFonts w:ascii="宋体" w:hAnsi="宋体" w:cs="宋体"/>
          <w:bCs/>
          <w:color w:val="000000"/>
          <w:sz w:val="24"/>
          <w:szCs w:val="24"/>
        </w:rPr>
        <w:t>所示的关键词突现情况来看，HPS理念在化学教学中的研究热点呈现出较为明显的阶段性特征。早期突现词主要是“科学史”“无机化学”等，说明研究多从学科内容和历史素材切入；随后“教科书”“教案设计”“教学现状”“学习效果”等词相继出现，表明研究开始关注教材使用和课堂实施；近几年“科学本质”“教学设计”“高中化学”“教学实践”“课程思政”等关键词持续受到关注，反映出该领域正逐步转向实践应用与育人价值并重的发展方向。</w:t>
      </w:r>
    </w:p>
    <w:p w14:paraId="50EB8CB5">
      <w:pPr>
        <w:pStyle w:val="23"/>
        <w:widowControl w:val="0"/>
        <w:ind w:firstLine="600"/>
        <w:jc w:val="center"/>
      </w:pPr>
      <w:r>
        <w:drawing>
          <wp:inline distT="0" distB="0" distL="114300" distR="114300">
            <wp:extent cx="3343910" cy="3559810"/>
            <wp:effectExtent l="0" t="0" r="8890" b="25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6"/>
                    <a:stretch>
                      <a:fillRect/>
                    </a:stretch>
                  </pic:blipFill>
                  <pic:spPr>
                    <a:xfrm>
                      <a:off x="0" y="0"/>
                      <a:ext cx="3343910" cy="3559810"/>
                    </a:xfrm>
                    <a:prstGeom prst="rect">
                      <a:avLst/>
                    </a:prstGeom>
                    <a:noFill/>
                    <a:ln>
                      <a:noFill/>
                    </a:ln>
                  </pic:spPr>
                </pic:pic>
              </a:graphicData>
            </a:graphic>
          </wp:inline>
        </w:drawing>
      </w:r>
    </w:p>
    <w:p w14:paraId="7781D78A">
      <w:pPr>
        <w:pStyle w:val="23"/>
        <w:widowControl w:val="0"/>
        <w:ind w:firstLine="460"/>
        <w:jc w:val="center"/>
        <w:rPr>
          <w:rFonts w:hint="eastAsia" w:ascii="宋体" w:hAnsi="宋体" w:cs="宋体"/>
          <w:bCs/>
          <w:color w:val="000000"/>
          <w:sz w:val="24"/>
          <w:szCs w:val="24"/>
        </w:rPr>
      </w:pPr>
      <w:r>
        <w:rPr>
          <w:rFonts w:hint="eastAsia" w:ascii="宋体" w:hAnsi="宋体" w:cs="宋体"/>
          <w:bCs/>
          <w:color w:val="000000"/>
          <w:sz w:val="24"/>
          <w:szCs w:val="24"/>
        </w:rPr>
        <w:t>图2-6 HPS理念下化学教学研究关键词突显词表</w:t>
      </w:r>
    </w:p>
    <w:p w14:paraId="4B36B687">
      <w:pPr>
        <w:pStyle w:val="23"/>
        <w:widowControl w:val="0"/>
        <w:ind w:firstLine="460"/>
        <w:rPr>
          <w:rFonts w:hint="eastAsia" w:ascii="宋体" w:hAnsi="宋体" w:cs="宋体"/>
          <w:bCs/>
          <w:color w:val="000000"/>
          <w:sz w:val="24"/>
          <w:szCs w:val="24"/>
        </w:rPr>
      </w:pPr>
      <w:r>
        <w:rPr>
          <w:rFonts w:ascii="宋体" w:hAnsi="宋体" w:cs="宋体"/>
          <w:bCs/>
          <w:color w:val="000000"/>
          <w:sz w:val="24"/>
          <w:szCs w:val="24"/>
        </w:rPr>
        <w:t>综上所述，在</w:t>
      </w:r>
      <w:r>
        <w:rPr>
          <w:rFonts w:hint="eastAsia" w:ascii="宋体" w:hAnsi="宋体" w:cs="宋体"/>
          <w:bCs/>
          <w:color w:val="000000"/>
          <w:sz w:val="24"/>
          <w:szCs w:val="24"/>
        </w:rPr>
        <w:t>HPS</w:t>
      </w:r>
      <w:r>
        <w:rPr>
          <w:rFonts w:ascii="宋体" w:hAnsi="宋体" w:cs="宋体"/>
          <w:bCs/>
          <w:color w:val="000000"/>
          <w:sz w:val="24"/>
          <w:szCs w:val="24"/>
        </w:rPr>
        <w:t>教学理念刚传入我国时，教育研究人员多集中于对国外文献的研究。随着对</w:t>
      </w:r>
      <w:r>
        <w:rPr>
          <w:rFonts w:hint="eastAsia" w:ascii="宋体" w:hAnsi="宋体" w:cs="宋体"/>
          <w:bCs/>
          <w:color w:val="000000"/>
          <w:sz w:val="24"/>
          <w:szCs w:val="24"/>
        </w:rPr>
        <w:t>HPS</w:t>
      </w:r>
      <w:r>
        <w:rPr>
          <w:rFonts w:ascii="宋体" w:hAnsi="宋体" w:cs="宋体"/>
          <w:bCs/>
          <w:color w:val="000000"/>
          <w:sz w:val="24"/>
          <w:szCs w:val="24"/>
        </w:rPr>
        <w:t>研究的不断推进，</w:t>
      </w:r>
      <w:r>
        <w:rPr>
          <w:rFonts w:hint="eastAsia" w:ascii="宋体" w:hAnsi="宋体" w:cs="宋体"/>
          <w:bCs/>
          <w:color w:val="000000"/>
          <w:sz w:val="24"/>
          <w:szCs w:val="24"/>
        </w:rPr>
        <w:t>HPS</w:t>
      </w:r>
      <w:r>
        <w:rPr>
          <w:rFonts w:ascii="宋体" w:hAnsi="宋体" w:cs="宋体"/>
          <w:bCs/>
          <w:color w:val="000000"/>
          <w:sz w:val="24"/>
          <w:szCs w:val="24"/>
        </w:rPr>
        <w:t>的概念逐步明确起来，它的教学理念也在我国得到了广泛传播，不同学者开始从不同角度对其进行研究，并由理论研究转向实践研究，研究范围也在进一步的扩大。</w:t>
      </w:r>
      <w:r>
        <w:rPr>
          <w:rFonts w:hint="eastAsia" w:ascii="宋体" w:hAnsi="宋体" w:cs="宋体"/>
          <w:bCs/>
          <w:color w:val="000000"/>
          <w:sz w:val="24"/>
          <w:szCs w:val="24"/>
        </w:rPr>
        <w:t>因此，本研究后续将围绕“学生现状—教学设计—效果证据”这三点去进一步深读与筛选文献，选择较成熟的调查结论，以其作为教学设计的依据，并把重点放在框架建构与课堂验证上。</w:t>
      </w:r>
    </w:p>
    <w:p w14:paraId="0D053A61">
      <w:pPr>
        <w:pStyle w:val="5"/>
        <w:widowControl w:val="0"/>
        <w:numPr>
          <w:ilvl w:val="1"/>
          <w:numId w:val="15"/>
        </w:numPr>
        <w:ind w:left="0" w:leftChars="0" w:firstLine="402" w:firstLineChars="0"/>
      </w:pPr>
      <w:r>
        <w:rPr>
          <w:rFonts w:hint="eastAsia"/>
        </w:rPr>
        <w:t>HPS</w:t>
      </w:r>
      <w:r>
        <w:t>教学理念落实科学本质观的教学现状</w:t>
      </w:r>
    </w:p>
    <w:p w14:paraId="1C9D4CD8">
      <w:pPr>
        <w:pStyle w:val="23"/>
        <w:widowControl w:val="0"/>
        <w:ind w:firstLine="460"/>
        <w:rPr>
          <w:rFonts w:hint="eastAsia" w:ascii="宋体" w:hAnsi="宋体" w:cs="宋体"/>
          <w:bCs/>
          <w:color w:val="000000"/>
          <w:sz w:val="24"/>
          <w:szCs w:val="24"/>
        </w:rPr>
      </w:pPr>
      <w:r>
        <w:rPr>
          <w:rFonts w:ascii="宋体" w:hAnsi="宋体" w:cs="宋体"/>
          <w:bCs/>
          <w:color w:val="000000"/>
          <w:sz w:val="24"/>
          <w:szCs w:val="24"/>
        </w:rPr>
        <w:t>在中国知网（CNKI）高级检索中，以“HPS理念</w:t>
      </w:r>
      <w:r>
        <w:rPr>
          <w:rFonts w:hint="eastAsia" w:ascii="宋体" w:hAnsi="宋体" w:cs="宋体"/>
          <w:bCs/>
          <w:color w:val="000000"/>
          <w:sz w:val="24"/>
          <w:szCs w:val="24"/>
        </w:rPr>
        <w:t>”“</w:t>
      </w:r>
      <w:r>
        <w:rPr>
          <w:rFonts w:ascii="宋体" w:hAnsi="宋体" w:cs="宋体"/>
          <w:bCs/>
          <w:color w:val="000000"/>
          <w:sz w:val="24"/>
          <w:szCs w:val="24"/>
        </w:rPr>
        <w:t>科学本质观”“化学”为主题词进行检索，共获得相关文献26篇。根据发文年度趋势图（见图2-</w:t>
      </w:r>
      <w:r>
        <w:rPr>
          <w:rFonts w:hint="eastAsia" w:ascii="宋体" w:hAnsi="宋体" w:cs="宋体"/>
          <w:bCs/>
          <w:color w:val="000000"/>
          <w:sz w:val="24"/>
          <w:szCs w:val="24"/>
        </w:rPr>
        <w:t>11</w:t>
      </w:r>
      <w:r>
        <w:rPr>
          <w:rFonts w:ascii="宋体" w:hAnsi="宋体" w:cs="宋体"/>
          <w:bCs/>
          <w:color w:val="000000"/>
          <w:sz w:val="24"/>
          <w:szCs w:val="24"/>
        </w:rPr>
        <w:t>）可以看出，该主题自2012年起已有研究涉入，虽然个别年份发文数量略有波动，但总体呈现上升态势，尤其是近几年增长较为明显。这表明，HPS理念在化学教学中促进学生科学本质观发展的研究正逐步受到关注，并逐渐成为相关领域的一个研究方向。</w:t>
      </w:r>
    </w:p>
    <w:p w14:paraId="5999B762">
      <w:pPr>
        <w:pStyle w:val="23"/>
        <w:widowControl w:val="0"/>
        <w:ind w:firstLine="0" w:firstLineChars="0"/>
        <w:jc w:val="center"/>
        <w:rPr>
          <w:color w:val="000000"/>
        </w:rPr>
      </w:pPr>
      <w:r>
        <w:drawing>
          <wp:inline distT="0" distB="0" distL="114300" distR="114300">
            <wp:extent cx="5259705" cy="1464945"/>
            <wp:effectExtent l="0" t="0" r="7620" b="190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7"/>
                    <a:stretch>
                      <a:fillRect/>
                    </a:stretch>
                  </pic:blipFill>
                  <pic:spPr>
                    <a:xfrm>
                      <a:off x="0" y="0"/>
                      <a:ext cx="5259705" cy="1464945"/>
                    </a:xfrm>
                    <a:prstGeom prst="rect">
                      <a:avLst/>
                    </a:prstGeom>
                    <a:noFill/>
                    <a:ln>
                      <a:noFill/>
                    </a:ln>
                  </pic:spPr>
                </pic:pic>
              </a:graphicData>
            </a:graphic>
          </wp:inline>
        </w:drawing>
      </w:r>
    </w:p>
    <w:p w14:paraId="791D1E4A">
      <w:pPr>
        <w:pStyle w:val="23"/>
        <w:widowControl w:val="0"/>
        <w:ind w:firstLine="460"/>
        <w:jc w:val="center"/>
        <w:rPr>
          <w:rFonts w:hint="eastAsia" w:ascii="宋体" w:hAnsi="宋体" w:cs="宋体"/>
          <w:bCs/>
          <w:color w:val="000000"/>
          <w:sz w:val="24"/>
          <w:szCs w:val="24"/>
        </w:rPr>
      </w:pPr>
      <w:r>
        <w:rPr>
          <w:rFonts w:ascii="宋体" w:hAnsi="宋体" w:cs="宋体"/>
          <w:bCs/>
          <w:color w:val="000000"/>
          <w:sz w:val="24"/>
          <w:szCs w:val="24"/>
        </w:rPr>
        <w:t>图</w:t>
      </w:r>
      <w:r>
        <w:rPr>
          <w:rFonts w:hint="eastAsia" w:ascii="宋体" w:hAnsi="宋体" w:cs="宋体"/>
          <w:bCs/>
          <w:color w:val="000000"/>
          <w:sz w:val="24"/>
          <w:szCs w:val="24"/>
        </w:rPr>
        <w:t>2-11</w:t>
      </w:r>
      <w:r>
        <w:rPr>
          <w:rFonts w:ascii="宋体" w:hAnsi="宋体" w:cs="宋体"/>
          <w:bCs/>
          <w:color w:val="000000"/>
          <w:sz w:val="24"/>
          <w:szCs w:val="24"/>
        </w:rPr>
        <w:t xml:space="preserve"> HPS理念落实科学本质观的化学教学研究发文年度趋势图</w:t>
      </w:r>
    </w:p>
    <w:p w14:paraId="6D1FE81A">
      <w:pPr>
        <w:pStyle w:val="23"/>
        <w:widowControl w:val="0"/>
        <w:ind w:firstLine="460"/>
        <w:rPr>
          <w:rFonts w:hint="eastAsia" w:ascii="宋体" w:hAnsi="宋体" w:cs="宋体"/>
          <w:bCs/>
          <w:color w:val="000000"/>
          <w:sz w:val="24"/>
          <w:szCs w:val="24"/>
        </w:rPr>
      </w:pPr>
      <w:r>
        <w:rPr>
          <w:rFonts w:hint="eastAsia" w:ascii="宋体" w:hAnsi="宋体" w:cs="宋体"/>
          <w:bCs/>
          <w:color w:val="000000"/>
          <w:sz w:val="24"/>
          <w:szCs w:val="24"/>
        </w:rPr>
        <w:t>从已有研究的具体做法来看，前人的探索大致可以概括为几种较为常见的路径。第一类是以科学史或化学史为主线，通过知识形成过程的重演来呈现科学概念发展中的争论、证据和修正，使学生在学习化学知识的同时看到知识生成的过程。例如，以元素发现史、概念形成史或模型演变史作为课堂主线，引导学生在历史情境中理解科学解释并非一次完成，而是在不断修正中发展起来的</w:t>
      </w:r>
      <w:r>
        <w:rPr>
          <w:rStyle w:val="22"/>
          <w:rFonts w:ascii="宋体" w:hAnsi="宋体" w:cs="宋体"/>
          <w:bCs/>
          <w:color w:val="000000"/>
          <w:sz w:val="24"/>
          <w:szCs w:val="24"/>
        </w:rPr>
        <w:t>［</w:t>
      </w:r>
      <w:r>
        <w:rPr>
          <w:rStyle w:val="22"/>
          <w:rFonts w:ascii="宋体" w:hAnsi="宋体" w:cs="宋体"/>
          <w:bCs/>
          <w:color w:val="000000"/>
          <w:sz w:val="24"/>
          <w:szCs w:val="24"/>
        </w:rPr>
        <w:footnoteReference w:id="46"/>
      </w:r>
      <w:r>
        <w:rPr>
          <w:rStyle w:val="22"/>
          <w:rFonts w:ascii="宋体" w:hAnsi="宋体" w:cs="宋体"/>
          <w:bCs/>
          <w:color w:val="000000"/>
          <w:sz w:val="24"/>
          <w:szCs w:val="24"/>
        </w:rPr>
        <w:t>］</w:t>
      </w:r>
      <w:r>
        <w:rPr>
          <w:rFonts w:hint="eastAsia" w:ascii="宋体" w:hAnsi="宋体" w:cs="宋体"/>
          <w:bCs/>
          <w:color w:val="000000"/>
          <w:sz w:val="24"/>
          <w:szCs w:val="24"/>
        </w:rPr>
        <w:t>。第二类是将HPS与其他教学模式融合，如与STSE模式结合</w:t>
      </w:r>
      <w:r>
        <w:rPr>
          <w:rStyle w:val="22"/>
          <w:rFonts w:ascii="宋体" w:hAnsi="宋体" w:cs="宋体"/>
          <w:bCs/>
          <w:color w:val="000000"/>
          <w:sz w:val="24"/>
          <w:szCs w:val="24"/>
        </w:rPr>
        <w:t>［</w:t>
      </w:r>
      <w:r>
        <w:rPr>
          <w:rStyle w:val="22"/>
          <w:rFonts w:ascii="宋体" w:hAnsi="宋体" w:cs="宋体"/>
          <w:bCs/>
          <w:color w:val="000000"/>
          <w:sz w:val="24"/>
          <w:szCs w:val="24"/>
        </w:rPr>
        <w:footnoteReference w:id="47"/>
      </w:r>
      <w:r>
        <w:rPr>
          <w:rStyle w:val="22"/>
          <w:rFonts w:ascii="宋体" w:hAnsi="宋体" w:cs="宋体"/>
          <w:bCs/>
          <w:color w:val="000000"/>
          <w:sz w:val="24"/>
          <w:szCs w:val="24"/>
        </w:rPr>
        <w:t>］</w:t>
      </w:r>
      <w:r>
        <w:rPr>
          <w:rFonts w:hint="eastAsia" w:ascii="宋体" w:hAnsi="宋体" w:cs="宋体"/>
          <w:bCs/>
          <w:color w:val="000000"/>
          <w:sz w:val="24"/>
          <w:szCs w:val="24"/>
        </w:rPr>
        <w:t>，强化科学与社会的联系，与支架式教学结合</w:t>
      </w:r>
      <w:r>
        <w:rPr>
          <w:rStyle w:val="22"/>
          <w:rFonts w:ascii="宋体" w:hAnsi="宋体" w:cs="宋体"/>
          <w:bCs/>
          <w:color w:val="000000"/>
          <w:sz w:val="24"/>
          <w:szCs w:val="24"/>
        </w:rPr>
        <w:t>［</w:t>
      </w:r>
      <w:r>
        <w:rPr>
          <w:rStyle w:val="22"/>
          <w:rFonts w:ascii="宋体" w:hAnsi="宋体" w:cs="宋体"/>
          <w:bCs/>
          <w:color w:val="000000"/>
          <w:sz w:val="24"/>
          <w:szCs w:val="24"/>
        </w:rPr>
        <w:footnoteReference w:id="48"/>
      </w:r>
      <w:r>
        <w:rPr>
          <w:rStyle w:val="22"/>
          <w:rFonts w:ascii="宋体" w:hAnsi="宋体" w:cs="宋体"/>
          <w:bCs/>
          <w:color w:val="000000"/>
          <w:sz w:val="24"/>
          <w:szCs w:val="24"/>
        </w:rPr>
        <w:t>］</w:t>
      </w:r>
      <w:r>
        <w:rPr>
          <w:rFonts w:hint="eastAsia" w:ascii="宋体" w:hAnsi="宋体" w:cs="宋体"/>
          <w:bCs/>
          <w:color w:val="000000"/>
          <w:sz w:val="24"/>
          <w:szCs w:val="24"/>
        </w:rPr>
        <w:t>，突出学习过程中的支持结构；与5E教学模式结合</w:t>
      </w:r>
      <w:r>
        <w:rPr>
          <w:rStyle w:val="22"/>
          <w:rFonts w:ascii="宋体" w:hAnsi="宋体" w:cs="宋体"/>
          <w:bCs/>
          <w:color w:val="000000"/>
          <w:sz w:val="24"/>
          <w:szCs w:val="24"/>
        </w:rPr>
        <w:t>［</w:t>
      </w:r>
      <w:r>
        <w:rPr>
          <w:rStyle w:val="22"/>
          <w:rFonts w:ascii="宋体" w:hAnsi="宋体" w:cs="宋体"/>
          <w:bCs/>
          <w:color w:val="000000"/>
          <w:sz w:val="24"/>
          <w:szCs w:val="24"/>
        </w:rPr>
        <w:footnoteReference w:id="49"/>
      </w:r>
      <w:r>
        <w:rPr>
          <w:rStyle w:val="22"/>
          <w:rFonts w:ascii="宋体" w:hAnsi="宋体" w:cs="宋体"/>
          <w:bCs/>
          <w:color w:val="000000"/>
          <w:sz w:val="24"/>
          <w:szCs w:val="24"/>
        </w:rPr>
        <w:t>］</w:t>
      </w:r>
      <w:r>
        <w:rPr>
          <w:rFonts w:hint="eastAsia" w:ascii="宋体" w:hAnsi="宋体" w:cs="宋体"/>
          <w:bCs/>
          <w:color w:val="000000"/>
          <w:sz w:val="24"/>
          <w:szCs w:val="24"/>
        </w:rPr>
        <w:t>，强调教学环节之间的连续性和探究性。第三类则更强调核心素养导向下的人文化学课堂设计</w:t>
      </w:r>
      <w:r>
        <w:rPr>
          <w:rStyle w:val="22"/>
          <w:rFonts w:ascii="宋体" w:hAnsi="宋体" w:cs="宋体"/>
          <w:bCs/>
          <w:color w:val="000000"/>
          <w:sz w:val="24"/>
          <w:szCs w:val="24"/>
        </w:rPr>
        <w:t>［</w:t>
      </w:r>
      <w:r>
        <w:rPr>
          <w:rStyle w:val="22"/>
          <w:rFonts w:ascii="宋体" w:hAnsi="宋体" w:cs="宋体"/>
          <w:bCs/>
          <w:color w:val="000000"/>
          <w:sz w:val="24"/>
          <w:szCs w:val="24"/>
        </w:rPr>
        <w:footnoteReference w:id="50"/>
      </w:r>
      <w:r>
        <w:rPr>
          <w:rStyle w:val="22"/>
          <w:rFonts w:ascii="宋体" w:hAnsi="宋体" w:cs="宋体"/>
          <w:bCs/>
          <w:color w:val="000000"/>
          <w:sz w:val="24"/>
          <w:szCs w:val="24"/>
        </w:rPr>
        <w:t>］</w:t>
      </w:r>
      <w:r>
        <w:rPr>
          <w:rFonts w:hint="eastAsia" w:ascii="宋体" w:hAnsi="宋体" w:cs="宋体"/>
          <w:bCs/>
          <w:color w:val="000000"/>
          <w:sz w:val="24"/>
          <w:szCs w:val="24"/>
        </w:rPr>
        <w:t>，通过创设情境、回归现实问题，使学生在理解科学知识的同时体会科学活动的社会价值和人文意义。</w:t>
      </w:r>
    </w:p>
    <w:p w14:paraId="7C182AF2">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这些研究的共同价值在于，它们已经提供了不少可以直接进入课堂的案例与流程，证明HPS教学理念的应用并不只是“讲故事”或“激发学生学习兴趣”，而是能够承载科学本质观教育的具体内容。尤其在化学学科中，史料、模型与证据之间本就联系紧密，因此HPS与NOS的结合具有较强的学科适配性。</w:t>
      </w:r>
    </w:p>
    <w:p w14:paraId="46348FB5">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不过，现有研究中也存在一些较为集中的问题：</w:t>
      </w:r>
    </w:p>
    <w:p w14:paraId="6979EE17">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首先，不少研究最终仍以学业成绩、学习兴趣或课堂参与度作为主要结果变量，而对科学本质观本身的系统测量相对不足；</w:t>
      </w:r>
    </w:p>
    <w:p w14:paraId="05AFD24F">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其次，即使有研究明确提出“提升了学生科学本质观”，也往往缺少维度层面的清晰证据，难以回答究竟是哪一方面发生了变化，以及这种变化是如何发生的。张宗芳等对近二十年非传统科学课程教学模式的元分析也提示，许多研究更倾向于以学业成绩呈现效果，而对科学本质观等关键科学素养要素的系统测量和作用机制阐释仍然不足</w:t>
      </w:r>
      <w:r>
        <w:rPr>
          <w:rStyle w:val="22"/>
          <w:rFonts w:hint="eastAsia" w:ascii="宋体" w:hAnsi="宋体" w:cs="宋体"/>
          <w:color w:val="000000"/>
          <w:kern w:val="2"/>
          <w:sz w:val="24"/>
          <w:szCs w:val="24"/>
        </w:rPr>
        <w:t>［</w:t>
      </w:r>
      <w:r>
        <w:rPr>
          <w:rStyle w:val="22"/>
          <w:rFonts w:hint="eastAsia" w:ascii="宋体" w:hAnsi="宋体" w:cs="宋体"/>
          <w:color w:val="000000"/>
          <w:kern w:val="2"/>
          <w:sz w:val="24"/>
          <w:szCs w:val="24"/>
        </w:rPr>
        <w:footnoteReference w:id="51"/>
      </w:r>
      <w:r>
        <w:rPr>
          <w:rStyle w:val="22"/>
          <w:rFonts w:hint="eastAsia" w:ascii="宋体" w:hAnsi="宋体" w:cs="宋体"/>
          <w:color w:val="000000"/>
          <w:kern w:val="2"/>
          <w:sz w:val="24"/>
          <w:szCs w:val="24"/>
        </w:rPr>
        <w:t>］</w:t>
      </w:r>
      <w:r>
        <w:rPr>
          <w:rFonts w:hint="eastAsia" w:ascii="宋体" w:hAnsi="宋体" w:cs="宋体"/>
          <w:color w:val="000000"/>
          <w:kern w:val="2"/>
          <w:sz w:val="24"/>
          <w:szCs w:val="24"/>
        </w:rPr>
        <w:t>。</w:t>
      </w:r>
    </w:p>
    <w:p w14:paraId="4523CE08">
      <w:pPr>
        <w:pStyle w:val="23"/>
        <w:widowControl w:val="0"/>
        <w:ind w:firstLine="460"/>
        <w:rPr>
          <w:rFonts w:hint="eastAsia" w:ascii="宋体" w:hAnsi="宋体" w:cs="宋体"/>
          <w:color w:val="000000"/>
          <w:kern w:val="2"/>
          <w:sz w:val="24"/>
          <w:szCs w:val="24"/>
        </w:rPr>
      </w:pPr>
      <w:r>
        <w:rPr>
          <w:rFonts w:hint="eastAsia" w:ascii="宋体" w:hAnsi="宋体" w:cs="宋体"/>
          <w:color w:val="000000"/>
          <w:kern w:val="2"/>
          <w:sz w:val="24"/>
          <w:szCs w:val="24"/>
        </w:rPr>
        <w:t>综上所述，前人的探索说明，HPS确实能够为科学本质观教育提供较丰富的课堂资源和实施路径，但如果研究仅停留在“课堂看起来融合了史料”“学生反应较好”这一层面，仍然不足以支撑更深入的教学结论。因此，本文后续教学设计不能只是把HPS素材加入课堂，而应在设计之初就明确NOS目标，将其分解到具体的化学学习任务中，并同步考虑数据采集点和分析路径。也就是说，本研究后续更适合沿着“现状诊断—教学设计—课堂实施—效果验证”的逻辑推进：先基于明确维度了解学生科学本质观现状，再围绕高中化学具体模块开发贯穿体现HPS教学理念的教学活动，将历史情境、证据与解释的比较、显性反思等环节整合进可实施的教学流程之中，最后通过前后测与过程性证据共同验证该流程的实际效用。这样一来，后面的教学设计框架和案例开发就不会悬空，而是能够建立在已有研究基础之上，同时回应现有研究中最突出的薄弱之处。</w:t>
      </w:r>
    </w:p>
    <w:p w14:paraId="09A3DEA1">
      <w:pPr>
        <w:pStyle w:val="2"/>
        <w:widowControl w:val="0"/>
        <w:numPr>
          <w:ilvl w:val="0"/>
          <w:numId w:val="17"/>
        </w:numPr>
        <w:jc w:val="center"/>
        <w:rPr>
          <w:rFonts w:hint="eastAsia" w:ascii="黑体" w:hAnsi="黑体" w:eastAsia="黑体" w:cs="黑体"/>
          <w:sz w:val="32"/>
          <w:szCs w:val="32"/>
        </w:rPr>
      </w:pPr>
      <w:r>
        <w:rPr>
          <w:rFonts w:hint="eastAsia" w:ascii="黑体" w:hAnsi="黑体" w:eastAsia="黑体" w:cs="黑体"/>
          <w:sz w:val="32"/>
          <w:szCs w:val="32"/>
        </w:rPr>
        <w:t>HPS教学理念下高中化学科学本质观教学理论框架</w:t>
      </w:r>
    </w:p>
    <w:p w14:paraId="6EA0722B">
      <w:pPr>
        <w:pStyle w:val="2"/>
        <w:numPr>
          <w:ilvl w:val="1"/>
          <w:numId w:val="18"/>
        </w:numPr>
        <w:jc w:val="center"/>
      </w:pPr>
      <w:r>
        <w:rPr>
          <w:rFonts w:hint="eastAsia"/>
        </w:rPr>
        <w:t>理论依据</w:t>
      </w:r>
    </w:p>
    <w:p w14:paraId="1C48D7DB">
      <w:pPr>
        <w:pStyle w:val="5"/>
        <w:numPr>
          <w:ilvl w:val="1"/>
          <w:numId w:val="19"/>
        </w:numPr>
        <w:ind w:firstLine="0"/>
      </w:pPr>
      <w:r>
        <w:rPr>
          <w:rFonts w:hint="eastAsia"/>
        </w:rPr>
        <w:t>概念界定</w:t>
      </w:r>
    </w:p>
    <w:p w14:paraId="318DA654">
      <w:pPr>
        <w:pStyle w:val="5"/>
      </w:pPr>
      <w:r>
        <w:t>HPS教学理念及其内涵</w:t>
      </w:r>
    </w:p>
    <w:p w14:paraId="2232C015">
      <w:pPr>
        <w:jc w:val="both"/>
        <w:rPr>
          <w:rFonts w:hint="eastAsia" w:ascii="宋体" w:hAnsi="宋体" w:cs="宋体"/>
          <w:color w:val="000000"/>
          <w:kern w:val="2"/>
          <w:szCs w:val="24"/>
        </w:rPr>
      </w:pPr>
      <w:r>
        <w:rPr>
          <w:rFonts w:hint="eastAsia" w:ascii="宋体" w:hAnsi="宋体" w:cs="宋体"/>
          <w:color w:val="000000"/>
          <w:kern w:val="2"/>
          <w:szCs w:val="24"/>
        </w:rPr>
        <w:t>HPS教学理念起源于西方，最初是科学史与科学哲学（History and Philosophy of Science）的缩写，随着科学社会学研究的兴起，其内涵逐渐延伸至科学史、科学哲学与科学社会学（History， Philosophy and Sociology of Science）三个层面</w:t>
      </w:r>
      <w:r>
        <w:rPr>
          <w:rStyle w:val="22"/>
          <w:rFonts w:hint="eastAsia" w:ascii="宋体" w:hAnsi="宋体" w:cs="宋体"/>
          <w:color w:val="000000"/>
          <w:kern w:val="2"/>
          <w:szCs w:val="24"/>
        </w:rPr>
        <w:t>［</w:t>
      </w:r>
      <w:r>
        <w:rPr>
          <w:rStyle w:val="22"/>
          <w:rFonts w:hint="eastAsia" w:ascii="宋体" w:hAnsi="宋体" w:cs="宋体"/>
          <w:color w:val="000000"/>
          <w:kern w:val="2"/>
          <w:szCs w:val="24"/>
        </w:rPr>
        <w:footnoteReference w:id="52"/>
      </w:r>
      <w:r>
        <w:rPr>
          <w:rStyle w:val="22"/>
          <w:rFonts w:hint="eastAsia" w:ascii="宋体" w:hAnsi="宋体" w:cs="宋体"/>
          <w:color w:val="000000"/>
          <w:kern w:val="2"/>
          <w:szCs w:val="24"/>
        </w:rPr>
        <w:t>］</w:t>
      </w:r>
      <w:r>
        <w:rPr>
          <w:rFonts w:hint="eastAsia" w:ascii="宋体" w:hAnsi="宋体" w:cs="宋体"/>
          <w:color w:val="000000"/>
          <w:kern w:val="2"/>
          <w:szCs w:val="24"/>
        </w:rPr>
        <w:t>。就已有化学教育领域的研究而言，HPS的教学价值并不在于单独讲述历史、引介哲学观念或分析社会背景，而在于通过三者的整合为学生提供一个有厚度的学习情境，让知识习得与科学本质感知在同一教学过程中同步推进。</w:t>
      </w:r>
    </w:p>
    <w:p w14:paraId="0FFF97C2">
      <w:pPr>
        <w:jc w:val="both"/>
        <w:rPr>
          <w:rFonts w:hint="eastAsia" w:ascii="宋体" w:hAnsi="宋体" w:cs="宋体"/>
          <w:color w:val="000000"/>
          <w:kern w:val="2"/>
          <w:szCs w:val="24"/>
        </w:rPr>
      </w:pPr>
      <w:r>
        <w:rPr>
          <w:rFonts w:hint="eastAsia" w:ascii="宋体" w:hAnsi="宋体" w:cs="宋体"/>
          <w:color w:val="000000"/>
          <w:kern w:val="2"/>
          <w:szCs w:val="24"/>
        </w:rPr>
        <w:t>在此基础上，结合本研究的研究对象与实践目标，本研究将HPS教学理念界定为：以科学发展的历史进程为主要认知线索，将哲学思辨与社会文化背景有机融入高中化学课堂，引导学生在具体化学内容的学习过程中理解科学知识的形成方式，感受科学探究的曲折性与累积性，认识科学知识的产生与发展从来不是孤立于社会语境之外的，从而逐步发展对科学本质的整体性认识。HPS教学就是“科学的历史与本质的教育”，HPS教学理念的核心在于培养学生的科学本质观。</w:t>
      </w:r>
    </w:p>
    <w:p w14:paraId="5B6DB4CF">
      <w:pPr>
        <w:jc w:val="both"/>
        <w:rPr>
          <w:rFonts w:hint="eastAsia" w:ascii="宋体" w:hAnsi="宋体" w:cs="宋体"/>
          <w:color w:val="000000"/>
          <w:kern w:val="2"/>
          <w:szCs w:val="24"/>
        </w:rPr>
      </w:pPr>
      <w:r>
        <w:rPr>
          <w:rFonts w:hint="eastAsia" w:ascii="宋体" w:hAnsi="宋体" w:cs="宋体"/>
          <w:color w:val="000000"/>
          <w:kern w:val="2"/>
          <w:szCs w:val="24"/>
        </w:rPr>
        <w:t>在具体的教学运用中，本研究并不将HPS的三个维度分割为独立板块，而是将其作为彼此渗透的整体嵌入教学设计之中。历史线索用于还原知识生成的真实情境，哲学视角用于激发学生对已有认知的反思与追问，社会维度则帮助学生体会化学知识与人类社会之间的相互作用。三者协同指向同一目标：在化学知识的学习过程中，有意识地触及科学本质的相关维度，为后续"现状诊断—教学设计—课堂实施—效果验证"的研究推进提供理念支撑。</w:t>
      </w:r>
    </w:p>
    <w:p w14:paraId="1ABE400B">
      <w:pPr>
        <w:pStyle w:val="5"/>
      </w:pPr>
      <w:r>
        <w:rPr>
          <w:rFonts w:hint="eastAsia"/>
        </w:rPr>
        <w:t>科学本质观的内涵</w:t>
      </w:r>
    </w:p>
    <w:p w14:paraId="0FABAD7B">
      <w:pPr>
        <w:jc w:val="both"/>
        <w:rPr>
          <w:rFonts w:hint="eastAsia" w:ascii="宋体" w:hAnsi="宋体" w:cs="宋体"/>
          <w:color w:val="000000"/>
          <w:kern w:val="2"/>
          <w:szCs w:val="24"/>
        </w:rPr>
      </w:pPr>
      <w:r>
        <w:rPr>
          <w:rFonts w:hint="eastAsia" w:ascii="宋体" w:hAnsi="宋体" w:cs="宋体"/>
          <w:color w:val="000000"/>
          <w:kern w:val="2"/>
          <w:szCs w:val="24"/>
        </w:rPr>
        <w:t>科学本质观（Nature of Science，NOS）研究的核心问题是"科学究竟是什么"，涵盖了对科学知识性质、科学研究过程以及科学活动社会属性等方面的理解与认识。如前文所梳理，NOS的界定经历了从整体描述到维度细化的演变过程：早期研究多将其理解为对科学的笼统认知，随着研究的深入，越来越多的学者倾向于将其分解为若干可教、可评、可测量的具体层面。在这一进程中，</w:t>
      </w:r>
      <w:r>
        <w:t>美国《国家科学教育标准》</w:t>
      </w:r>
      <w:r>
        <w:rPr>
          <w:rStyle w:val="22"/>
        </w:rPr>
        <w:t>［</w:t>
      </w:r>
      <w:r>
        <w:rPr>
          <w:rStyle w:val="22"/>
        </w:rPr>
        <w:footnoteReference w:id="53"/>
      </w:r>
      <w:r>
        <w:rPr>
          <w:rStyle w:val="22"/>
        </w:rPr>
        <w:t>］</w:t>
      </w:r>
      <w:r>
        <w:t>首次提出：科学本质即为科学的历史与本质。美国科学促进会</w:t>
      </w:r>
      <w:r>
        <w:rPr>
          <w:rStyle w:val="22"/>
        </w:rPr>
        <w:t>［</w:t>
      </w:r>
      <w:r>
        <w:rPr>
          <w:rStyle w:val="22"/>
        </w:rPr>
        <w:footnoteReference w:id="54"/>
      </w:r>
      <w:r>
        <w:rPr>
          <w:rStyle w:val="22"/>
        </w:rPr>
        <w:t>］</w:t>
      </w:r>
      <w:r>
        <w:t>将科学本质分为三个方面：科学世界观、科学事业、科学探究活动。Nussbaum将科学本质内涵发展分为传统和现代两类。刘健智</w:t>
      </w:r>
      <w:r>
        <w:rPr>
          <w:rStyle w:val="22"/>
        </w:rPr>
        <w:t>［</w:t>
      </w:r>
      <w:r>
        <w:rPr>
          <w:rStyle w:val="22"/>
        </w:rPr>
        <w:footnoteReference w:id="55"/>
      </w:r>
      <w:r>
        <w:rPr>
          <w:rStyle w:val="22"/>
        </w:rPr>
        <w:t>］</w:t>
      </w:r>
      <w:r>
        <w:t>则将国际上有关科学本质的观点加以总结，并从科学认识、科学过程、科学事业三个方面提出了影响科学本质观念的3个维度17个因素，以此作为评价指标提出了自己的评价量表。国内外还有众多科学本质观的测量量表，如黄晓列出了31种国外的科学本质观量表，包括NOSS、NOST、VOST等。</w:t>
      </w:r>
      <w:r>
        <w:rPr>
          <w:rFonts w:hint="eastAsia" w:ascii="宋体" w:hAnsi="宋体" w:cs="宋体"/>
          <w:color w:val="000000"/>
          <w:kern w:val="2"/>
          <w:szCs w:val="24"/>
        </w:rPr>
        <w:t>结合前文对国内外相关研究的梳理，本研究将科学本质观界定为一个人在日常生活、学校教育、社会文化中形成的对科学本质的认识</w:t>
      </w:r>
      <w:r>
        <w:rPr>
          <w:rStyle w:val="22"/>
          <w:rFonts w:hint="eastAsia" w:ascii="宋体" w:hAnsi="宋体" w:cs="宋体"/>
          <w:color w:val="000000"/>
          <w:kern w:val="2"/>
          <w:szCs w:val="24"/>
        </w:rPr>
        <w:t>［</w:t>
      </w:r>
      <w:r>
        <w:rPr>
          <w:rStyle w:val="22"/>
          <w:rFonts w:hint="eastAsia" w:ascii="宋体" w:hAnsi="宋体" w:cs="宋体"/>
          <w:color w:val="000000"/>
          <w:kern w:val="2"/>
          <w:szCs w:val="24"/>
        </w:rPr>
        <w:footnoteReference w:id="56"/>
      </w:r>
      <w:r>
        <w:rPr>
          <w:rStyle w:val="22"/>
          <w:rFonts w:hint="eastAsia" w:ascii="宋体" w:hAnsi="宋体" w:cs="宋体"/>
          <w:color w:val="000000"/>
          <w:kern w:val="2"/>
          <w:szCs w:val="24"/>
        </w:rPr>
        <w:t>］</w:t>
      </w:r>
      <w:r>
        <w:rPr>
          <w:rFonts w:hint="eastAsia" w:ascii="宋体" w:hAnsi="宋体" w:cs="宋体"/>
          <w:color w:val="000000"/>
          <w:kern w:val="2"/>
          <w:szCs w:val="24"/>
        </w:rPr>
        <w:t>。</w:t>
      </w:r>
    </w:p>
    <w:p w14:paraId="482B0619">
      <w:pPr>
        <w:jc w:val="both"/>
        <w:rPr>
          <w:rFonts w:hint="eastAsia" w:ascii="宋体" w:hAnsi="宋体" w:cs="宋体"/>
          <w:color w:val="000000"/>
          <w:kern w:val="2"/>
          <w:szCs w:val="24"/>
        </w:rPr>
      </w:pPr>
      <w:r>
        <w:rPr>
          <w:rFonts w:hint="eastAsia" w:ascii="宋体" w:hAnsi="宋体" w:cs="宋体"/>
          <w:color w:val="000000"/>
          <w:kern w:val="2"/>
          <w:szCs w:val="24"/>
        </w:rPr>
        <w:t>尽管国际上已开发了众多经典的科学本质测量工具，但这些量表多基于西方文化与教育语境，在本土化应用中常面临文化差异与中学生认知适配度的问题。因此，本研究最终选择以国内学者刘健智构建的三维科学本质观量表作为本研究的基础核心理论支撑与评价工具，主要基于以下三点考量：</w:t>
      </w:r>
    </w:p>
    <w:p w14:paraId="3595D2B0">
      <w:pPr>
        <w:jc w:val="both"/>
        <w:rPr>
          <w:rFonts w:hint="eastAsia" w:ascii="宋体" w:hAnsi="宋体" w:cs="宋体"/>
          <w:color w:val="000000"/>
          <w:kern w:val="2"/>
          <w:szCs w:val="24"/>
        </w:rPr>
      </w:pPr>
      <w:r>
        <w:rPr>
          <w:rFonts w:hint="eastAsia" w:ascii="宋体" w:hAnsi="宋体" w:cs="宋体"/>
          <w:color w:val="000000"/>
          <w:kern w:val="2"/>
          <w:szCs w:val="24"/>
        </w:rPr>
        <w:t>其一，本土化与学情的适切性。该量表是基于对国际NOS研究成果的系统整合，并立足于国内科学教育现状开发而成的本土化评估工具。相比于直接翻译国外量表，其话语体系与评价维度更契合我国高中生的认知特点与表达习惯，能够更真实地反映国内高中生科学本质观的发展现状。</w:t>
      </w:r>
    </w:p>
    <w:p w14:paraId="4FC0691A">
      <w:pPr>
        <w:jc w:val="both"/>
        <w:rPr>
          <w:rFonts w:hint="eastAsia" w:ascii="宋体" w:hAnsi="宋体" w:cs="宋体"/>
          <w:color w:val="000000"/>
          <w:kern w:val="2"/>
          <w:szCs w:val="24"/>
        </w:rPr>
      </w:pPr>
      <w:r>
        <w:rPr>
          <w:rFonts w:hint="eastAsia" w:ascii="宋体" w:hAnsi="宋体" w:cs="宋体"/>
          <w:color w:val="000000"/>
          <w:kern w:val="2"/>
          <w:szCs w:val="24"/>
        </w:rPr>
        <w:t>其二，维度的细化与极强的可操作性。刘健智将科学本质观科学地划分为“科学知识、科学探究、科学事业”三个核心维度，并在其下进一步细化出17个具体的构成因素（见表3-1）。这种由宏观理念向下扎根的树状结构，不再停留在抽象的理论说教，而是为本研究后续将NOS目标“显性化”落实到具体教学环节中，提供了极具操作性的目标支架。</w:t>
      </w:r>
    </w:p>
    <w:p w14:paraId="238CE902">
      <w:pPr>
        <w:jc w:val="both"/>
        <w:rPr>
          <w:rFonts w:hint="eastAsia" w:ascii="宋体" w:hAnsi="宋体" w:cs="宋体"/>
          <w:color w:val="000000"/>
          <w:kern w:val="2"/>
          <w:szCs w:val="24"/>
        </w:rPr>
      </w:pPr>
      <w:r>
        <w:rPr>
          <w:rFonts w:hint="eastAsia" w:ascii="宋体" w:hAnsi="宋体" w:cs="宋体"/>
          <w:color w:val="000000"/>
          <w:kern w:val="2"/>
          <w:szCs w:val="24"/>
        </w:rPr>
        <w:t>其三，与HPS教学理念的内在高度契合。 本研究的核心在于应用HPS理念。刘健智量表中的“科学知识、科学探究、科学事业”三大维度，恰好与HPS理念中倡导的“科学历史、科学哲学、科学社会学”形成了完美的内在逻辑映射。这为本研究构建“教学设计—课堂实施—量表前后测评价”的行动研究闭环，提供了严密且逻辑自洽的分析框架。</w:t>
      </w:r>
    </w:p>
    <w:p w14:paraId="6FD3AE0B">
      <w:pPr>
        <w:jc w:val="center"/>
        <w:rPr>
          <w:rFonts w:hint="eastAsia" w:ascii="宋体" w:hAnsi="宋体" w:cs="宋体"/>
          <w:color w:val="000000"/>
          <w:kern w:val="2"/>
          <w:szCs w:val="24"/>
        </w:rPr>
      </w:pPr>
      <w:r>
        <w:rPr>
          <w:rFonts w:hint="eastAsia" w:ascii="宋体" w:hAnsi="宋体" w:cs="宋体"/>
          <w:color w:val="000000"/>
          <w:kern w:val="2"/>
          <w:szCs w:val="24"/>
        </w:rPr>
        <w:t>表3-1 科学本质观的内涵</w:t>
      </w:r>
    </w:p>
    <w:tbl>
      <w:tblPr>
        <w:tblStyle w:val="19"/>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84"/>
        <w:gridCol w:w="1814"/>
        <w:gridCol w:w="5224"/>
      </w:tblGrid>
      <w:tr w14:paraId="42395F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6C8BE4E">
            <w:pPr>
              <w:widowControl w:val="0"/>
              <w:snapToGrid w:val="0"/>
              <w:spacing w:line="240" w:lineRule="auto"/>
              <w:ind w:firstLine="0"/>
              <w:jc w:val="center"/>
              <w:rPr>
                <w:b/>
              </w:rPr>
            </w:pPr>
            <w:r>
              <w:rPr>
                <w:b/>
              </w:rPr>
              <w:t>维度</w:t>
            </w:r>
          </w:p>
        </w:tc>
        <w:tc>
          <w:tcPr>
            <w:tcW w:w="1814" w:type="dxa"/>
            <w:tcBorders>
              <w:top w:val="single" w:color="auto" w:sz="12" w:space="0"/>
              <w:left w:val="nil"/>
              <w:bottom w:val="nil"/>
              <w:right w:val="nil"/>
            </w:tcBorders>
            <w:tcMar>
              <w:top w:w="-1" w:type="dxa"/>
              <w:left w:w="-1" w:type="dxa"/>
              <w:bottom w:w="-1" w:type="dxa"/>
              <w:right w:w="-1" w:type="dxa"/>
            </w:tcMar>
            <w:vAlign w:val="center"/>
          </w:tcPr>
          <w:p w14:paraId="7E3975CC">
            <w:pPr>
              <w:widowControl w:val="0"/>
              <w:snapToGrid w:val="0"/>
              <w:spacing w:line="240" w:lineRule="auto"/>
              <w:ind w:firstLine="0"/>
              <w:jc w:val="center"/>
              <w:rPr>
                <w:b/>
              </w:rPr>
            </w:pPr>
            <w:r>
              <w:rPr>
                <w:b/>
              </w:rPr>
              <w:t>因素</w:t>
            </w:r>
          </w:p>
        </w:tc>
        <w:tc>
          <w:tcPr>
            <w:tcW w:w="5224" w:type="dxa"/>
            <w:tcBorders>
              <w:top w:val="single" w:color="auto" w:sz="12" w:space="0"/>
              <w:left w:val="nil"/>
              <w:bottom w:val="nil"/>
              <w:right w:val="nil"/>
            </w:tcBorders>
            <w:tcMar>
              <w:top w:w="-1" w:type="dxa"/>
              <w:left w:w="-1" w:type="dxa"/>
              <w:bottom w:w="-1" w:type="dxa"/>
              <w:right w:w="-1" w:type="dxa"/>
            </w:tcMar>
            <w:vAlign w:val="center"/>
          </w:tcPr>
          <w:p w14:paraId="7D690D8A">
            <w:pPr>
              <w:widowControl w:val="0"/>
              <w:snapToGrid w:val="0"/>
              <w:spacing w:line="240" w:lineRule="auto"/>
              <w:ind w:firstLine="0"/>
              <w:jc w:val="center"/>
              <w:rPr>
                <w:b/>
              </w:rPr>
            </w:pPr>
            <w:r>
              <w:rPr>
                <w:b/>
              </w:rPr>
              <w:t>解释</w:t>
            </w:r>
          </w:p>
        </w:tc>
      </w:tr>
      <w:tr w14:paraId="5BFD75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restart"/>
            <w:tcBorders>
              <w:top w:val="single" w:color="auto" w:sz="4" w:space="0"/>
              <w:left w:val="nil"/>
              <w:bottom w:val="nil"/>
              <w:right w:val="nil"/>
            </w:tcBorders>
            <w:tcMar>
              <w:top w:w="-1" w:type="dxa"/>
              <w:left w:w="-1" w:type="dxa"/>
              <w:bottom w:w="-1" w:type="dxa"/>
              <w:right w:w="-1" w:type="dxa"/>
            </w:tcMar>
            <w:vAlign w:val="center"/>
          </w:tcPr>
          <w:p w14:paraId="2E1EACEC">
            <w:pPr>
              <w:widowControl w:val="0"/>
              <w:snapToGrid w:val="0"/>
              <w:spacing w:line="240" w:lineRule="auto"/>
              <w:ind w:firstLine="0"/>
              <w:jc w:val="both"/>
            </w:pPr>
            <w:r>
              <w:t>科学</w:t>
            </w:r>
            <w:r>
              <w:rPr>
                <w:rFonts w:hint="eastAsia"/>
              </w:rPr>
              <w:t>知识</w:t>
            </w:r>
            <w:r>
              <w:t>本质观</w:t>
            </w:r>
          </w:p>
        </w:tc>
        <w:tc>
          <w:tcPr>
            <w:tcW w:w="1814" w:type="dxa"/>
            <w:tcBorders>
              <w:top w:val="single" w:color="auto" w:sz="4" w:space="0"/>
              <w:left w:val="nil"/>
              <w:bottom w:val="nil"/>
              <w:right w:val="nil"/>
            </w:tcBorders>
            <w:tcMar>
              <w:top w:w="-1" w:type="dxa"/>
              <w:left w:w="-1" w:type="dxa"/>
              <w:bottom w:w="-1" w:type="dxa"/>
              <w:right w:w="-1" w:type="dxa"/>
            </w:tcMar>
            <w:vAlign w:val="center"/>
          </w:tcPr>
          <w:p w14:paraId="69DCB033">
            <w:pPr>
              <w:widowControl w:val="0"/>
              <w:snapToGrid w:val="0"/>
              <w:spacing w:line="240" w:lineRule="auto"/>
              <w:ind w:firstLine="0"/>
              <w:jc w:val="center"/>
            </w:pPr>
            <w:r>
              <w:t>认识性</w:t>
            </w:r>
          </w:p>
        </w:tc>
        <w:tc>
          <w:tcPr>
            <w:tcW w:w="5224" w:type="dxa"/>
            <w:tcBorders>
              <w:top w:val="single" w:color="auto" w:sz="4" w:space="0"/>
              <w:left w:val="nil"/>
              <w:bottom w:val="nil"/>
              <w:right w:val="nil"/>
            </w:tcBorders>
            <w:tcMar>
              <w:top w:w="-1" w:type="dxa"/>
              <w:left w:w="-1" w:type="dxa"/>
              <w:bottom w:w="-1" w:type="dxa"/>
              <w:right w:w="-1" w:type="dxa"/>
            </w:tcMar>
            <w:vAlign w:val="center"/>
          </w:tcPr>
          <w:p w14:paraId="526085E5">
            <w:pPr>
              <w:widowControl w:val="0"/>
              <w:snapToGrid w:val="0"/>
              <w:spacing w:line="240" w:lineRule="auto"/>
              <w:ind w:firstLine="0"/>
              <w:jc w:val="left"/>
            </w:pPr>
            <w:r>
              <w:t>世界是可以被认识的；科学是对客观世界的解释。</w:t>
            </w:r>
          </w:p>
        </w:tc>
      </w:tr>
      <w:tr w14:paraId="21013A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25867C59">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335D331B">
            <w:pPr>
              <w:widowControl w:val="0"/>
              <w:snapToGrid w:val="0"/>
              <w:spacing w:line="240" w:lineRule="auto"/>
              <w:ind w:firstLine="0"/>
              <w:jc w:val="center"/>
            </w:pPr>
            <w:r>
              <w:t>相对性</w:t>
            </w:r>
          </w:p>
        </w:tc>
        <w:tc>
          <w:tcPr>
            <w:tcW w:w="5224" w:type="dxa"/>
            <w:tcBorders>
              <w:top w:val="nil"/>
              <w:left w:val="nil"/>
              <w:bottom w:val="nil"/>
              <w:right w:val="nil"/>
            </w:tcBorders>
            <w:tcMar>
              <w:top w:w="-1" w:type="dxa"/>
              <w:left w:w="-1" w:type="dxa"/>
              <w:bottom w:w="-1" w:type="dxa"/>
              <w:right w:w="-1" w:type="dxa"/>
            </w:tcMar>
            <w:vAlign w:val="center"/>
          </w:tcPr>
          <w:p w14:paraId="197E654F">
            <w:pPr>
              <w:widowControl w:val="0"/>
              <w:snapToGrid w:val="0"/>
              <w:spacing w:line="240" w:lineRule="auto"/>
              <w:ind w:firstLine="0"/>
              <w:jc w:val="left"/>
            </w:pPr>
            <w:r>
              <w:t>科学知识不是绝对真理，是暂时性与持久性的统一。</w:t>
            </w:r>
          </w:p>
        </w:tc>
      </w:tr>
      <w:tr w14:paraId="16DED5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4733DFED">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2C2256F9">
            <w:pPr>
              <w:widowControl w:val="0"/>
              <w:snapToGrid w:val="0"/>
              <w:spacing w:line="240" w:lineRule="auto"/>
              <w:ind w:firstLine="0"/>
              <w:jc w:val="center"/>
            </w:pPr>
            <w:r>
              <w:t>累积性</w:t>
            </w:r>
          </w:p>
        </w:tc>
        <w:tc>
          <w:tcPr>
            <w:tcW w:w="5224" w:type="dxa"/>
            <w:tcBorders>
              <w:top w:val="nil"/>
              <w:left w:val="nil"/>
              <w:bottom w:val="nil"/>
              <w:right w:val="nil"/>
            </w:tcBorders>
            <w:tcMar>
              <w:top w:w="-1" w:type="dxa"/>
              <w:left w:w="-1" w:type="dxa"/>
              <w:bottom w:w="-1" w:type="dxa"/>
              <w:right w:w="-1" w:type="dxa"/>
            </w:tcMar>
            <w:vAlign w:val="center"/>
          </w:tcPr>
          <w:p w14:paraId="3C6F5A0F">
            <w:pPr>
              <w:widowControl w:val="0"/>
              <w:snapToGrid w:val="0"/>
              <w:spacing w:line="240" w:lineRule="auto"/>
              <w:ind w:firstLine="0"/>
              <w:jc w:val="left"/>
            </w:pPr>
            <w:r>
              <w:t>科学知识是长期积累的结果。</w:t>
            </w:r>
          </w:p>
        </w:tc>
      </w:tr>
      <w:tr w14:paraId="14DF6A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7DBEF551">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21D61E90">
            <w:pPr>
              <w:widowControl w:val="0"/>
              <w:snapToGrid w:val="0"/>
              <w:spacing w:line="240" w:lineRule="auto"/>
              <w:ind w:firstLine="0"/>
              <w:jc w:val="center"/>
            </w:pPr>
            <w:r>
              <w:t>重复性</w:t>
            </w:r>
          </w:p>
        </w:tc>
        <w:tc>
          <w:tcPr>
            <w:tcW w:w="5224" w:type="dxa"/>
            <w:tcBorders>
              <w:top w:val="nil"/>
              <w:left w:val="nil"/>
              <w:bottom w:val="nil"/>
              <w:right w:val="nil"/>
            </w:tcBorders>
            <w:tcMar>
              <w:top w:w="-1" w:type="dxa"/>
              <w:left w:w="-1" w:type="dxa"/>
              <w:bottom w:w="-1" w:type="dxa"/>
              <w:right w:w="-1" w:type="dxa"/>
            </w:tcMar>
            <w:vAlign w:val="center"/>
          </w:tcPr>
          <w:p w14:paraId="2E5F30C9">
            <w:pPr>
              <w:widowControl w:val="0"/>
              <w:snapToGrid w:val="0"/>
              <w:spacing w:line="240" w:lineRule="auto"/>
              <w:ind w:firstLine="0"/>
              <w:jc w:val="left"/>
            </w:pPr>
            <w:r>
              <w:t>得出科学理论的研究过程应该是别人也可以重复的。</w:t>
            </w:r>
          </w:p>
        </w:tc>
      </w:tr>
      <w:tr w14:paraId="6A6025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5A142E1A">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533978A8">
            <w:pPr>
              <w:widowControl w:val="0"/>
              <w:snapToGrid w:val="0"/>
              <w:spacing w:line="240" w:lineRule="auto"/>
              <w:ind w:firstLine="0"/>
              <w:jc w:val="center"/>
            </w:pPr>
            <w:r>
              <w:t>公开性</w:t>
            </w:r>
          </w:p>
        </w:tc>
        <w:tc>
          <w:tcPr>
            <w:tcW w:w="5224" w:type="dxa"/>
            <w:tcBorders>
              <w:top w:val="nil"/>
              <w:left w:val="nil"/>
              <w:bottom w:val="nil"/>
              <w:right w:val="nil"/>
            </w:tcBorders>
            <w:tcMar>
              <w:top w:w="-1" w:type="dxa"/>
              <w:left w:w="-1" w:type="dxa"/>
              <w:bottom w:w="-1" w:type="dxa"/>
              <w:right w:w="-1" w:type="dxa"/>
            </w:tcMar>
            <w:vAlign w:val="center"/>
          </w:tcPr>
          <w:p w14:paraId="5ED69D5F">
            <w:pPr>
              <w:widowControl w:val="0"/>
              <w:snapToGrid w:val="0"/>
              <w:spacing w:line="240" w:lineRule="auto"/>
              <w:ind w:firstLine="0"/>
              <w:jc w:val="left"/>
            </w:pPr>
            <w:r>
              <w:t>科研成果应公开，让别人来评判和学习，并得到科学共同体的确认。</w:t>
            </w:r>
          </w:p>
        </w:tc>
      </w:tr>
      <w:tr w14:paraId="394D93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0582A728">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005349E8">
            <w:pPr>
              <w:widowControl w:val="0"/>
              <w:snapToGrid w:val="0"/>
              <w:spacing w:line="240" w:lineRule="auto"/>
              <w:ind w:firstLine="0"/>
              <w:jc w:val="center"/>
            </w:pPr>
            <w:r>
              <w:t>局限性</w:t>
            </w:r>
          </w:p>
        </w:tc>
        <w:tc>
          <w:tcPr>
            <w:tcW w:w="5224" w:type="dxa"/>
            <w:tcBorders>
              <w:top w:val="nil"/>
              <w:left w:val="nil"/>
              <w:bottom w:val="nil"/>
              <w:right w:val="nil"/>
            </w:tcBorders>
            <w:tcMar>
              <w:top w:w="-1" w:type="dxa"/>
              <w:left w:w="-1" w:type="dxa"/>
              <w:bottom w:w="-1" w:type="dxa"/>
              <w:right w:w="-1" w:type="dxa"/>
            </w:tcMar>
            <w:vAlign w:val="center"/>
          </w:tcPr>
          <w:p w14:paraId="1646E861">
            <w:pPr>
              <w:widowControl w:val="0"/>
              <w:snapToGrid w:val="0"/>
              <w:spacing w:line="240" w:lineRule="auto"/>
              <w:ind w:firstLine="0"/>
              <w:jc w:val="left"/>
            </w:pPr>
            <w:r>
              <w:t>科学不能为所有问题（如信仰）提供完美答案和解决方案。</w:t>
            </w:r>
          </w:p>
        </w:tc>
      </w:tr>
      <w:tr w14:paraId="33E4E3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restart"/>
            <w:tcBorders>
              <w:top w:val="nil"/>
              <w:left w:val="nil"/>
              <w:bottom w:val="nil"/>
              <w:right w:val="nil"/>
            </w:tcBorders>
            <w:tcMar>
              <w:top w:w="-1" w:type="dxa"/>
              <w:left w:w="-1" w:type="dxa"/>
              <w:bottom w:w="-1" w:type="dxa"/>
              <w:right w:w="-1" w:type="dxa"/>
            </w:tcMar>
            <w:vAlign w:val="center"/>
          </w:tcPr>
          <w:p w14:paraId="7019C74C">
            <w:pPr>
              <w:widowControl w:val="0"/>
              <w:snapToGrid w:val="0"/>
              <w:spacing w:line="240" w:lineRule="auto"/>
              <w:ind w:firstLine="0"/>
              <w:jc w:val="both"/>
            </w:pPr>
            <w:r>
              <w:t>科学</w:t>
            </w:r>
            <w:r>
              <w:rPr>
                <w:rFonts w:hint="eastAsia"/>
              </w:rPr>
              <w:t>探究</w:t>
            </w:r>
            <w:r>
              <w:t>本质观</w:t>
            </w:r>
          </w:p>
        </w:tc>
        <w:tc>
          <w:tcPr>
            <w:tcW w:w="1814" w:type="dxa"/>
            <w:tcBorders>
              <w:top w:val="nil"/>
              <w:left w:val="nil"/>
              <w:bottom w:val="nil"/>
              <w:right w:val="nil"/>
            </w:tcBorders>
            <w:tcMar>
              <w:top w:w="-1" w:type="dxa"/>
              <w:left w:w="-1" w:type="dxa"/>
              <w:bottom w:w="-1" w:type="dxa"/>
              <w:right w:w="-1" w:type="dxa"/>
            </w:tcMar>
            <w:vAlign w:val="center"/>
          </w:tcPr>
          <w:p w14:paraId="27FFB376">
            <w:pPr>
              <w:widowControl w:val="0"/>
              <w:snapToGrid w:val="0"/>
              <w:spacing w:line="240" w:lineRule="auto"/>
              <w:ind w:firstLine="0"/>
              <w:jc w:val="center"/>
            </w:pPr>
            <w:r>
              <w:t>实证性</w:t>
            </w:r>
          </w:p>
        </w:tc>
        <w:tc>
          <w:tcPr>
            <w:tcW w:w="5224" w:type="dxa"/>
            <w:tcBorders>
              <w:top w:val="nil"/>
              <w:left w:val="nil"/>
              <w:bottom w:val="nil"/>
              <w:right w:val="nil"/>
            </w:tcBorders>
            <w:tcMar>
              <w:top w:w="-1" w:type="dxa"/>
              <w:left w:w="-1" w:type="dxa"/>
              <w:bottom w:w="-1" w:type="dxa"/>
              <w:right w:w="-1" w:type="dxa"/>
            </w:tcMar>
            <w:vAlign w:val="center"/>
          </w:tcPr>
          <w:p w14:paraId="17946B4B">
            <w:pPr>
              <w:widowControl w:val="0"/>
              <w:snapToGrid w:val="0"/>
              <w:spacing w:line="240" w:lineRule="auto"/>
              <w:ind w:firstLine="0"/>
              <w:jc w:val="left"/>
            </w:pPr>
            <w:r>
              <w:t>科学的正确性决定于观察和实验的检验。</w:t>
            </w:r>
          </w:p>
        </w:tc>
      </w:tr>
      <w:tr w14:paraId="7B56A6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6EEFFC1F">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07A82F98">
            <w:pPr>
              <w:widowControl w:val="0"/>
              <w:snapToGrid w:val="0"/>
              <w:spacing w:line="240" w:lineRule="auto"/>
              <w:ind w:firstLine="0"/>
              <w:jc w:val="center"/>
            </w:pPr>
            <w:r>
              <w:t>归纳性</w:t>
            </w:r>
          </w:p>
        </w:tc>
        <w:tc>
          <w:tcPr>
            <w:tcW w:w="5224" w:type="dxa"/>
            <w:tcBorders>
              <w:top w:val="nil"/>
              <w:left w:val="nil"/>
              <w:bottom w:val="nil"/>
              <w:right w:val="nil"/>
            </w:tcBorders>
            <w:tcMar>
              <w:top w:w="-1" w:type="dxa"/>
              <w:left w:w="-1" w:type="dxa"/>
              <w:bottom w:w="-1" w:type="dxa"/>
              <w:right w:w="-1" w:type="dxa"/>
            </w:tcMar>
            <w:vAlign w:val="center"/>
          </w:tcPr>
          <w:p w14:paraId="5A369749">
            <w:pPr>
              <w:widowControl w:val="0"/>
              <w:snapToGrid w:val="0"/>
              <w:spacing w:line="240" w:lineRule="auto"/>
              <w:ind w:firstLine="0"/>
              <w:jc w:val="left"/>
            </w:pPr>
            <w:r>
              <w:t>科学始于观察，科学知识主要来自对观察的归纳。</w:t>
            </w:r>
          </w:p>
        </w:tc>
      </w:tr>
      <w:tr w14:paraId="144FB8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464929A3">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7FCF2A1A">
            <w:pPr>
              <w:widowControl w:val="0"/>
              <w:snapToGrid w:val="0"/>
              <w:spacing w:line="240" w:lineRule="auto"/>
              <w:ind w:firstLine="0"/>
              <w:jc w:val="center"/>
            </w:pPr>
            <w:r>
              <w:t>创造性</w:t>
            </w:r>
          </w:p>
        </w:tc>
        <w:tc>
          <w:tcPr>
            <w:tcW w:w="5224" w:type="dxa"/>
            <w:tcBorders>
              <w:top w:val="nil"/>
              <w:left w:val="nil"/>
              <w:bottom w:val="nil"/>
              <w:right w:val="nil"/>
            </w:tcBorders>
            <w:tcMar>
              <w:top w:w="-1" w:type="dxa"/>
              <w:left w:w="-1" w:type="dxa"/>
              <w:bottom w:w="-1" w:type="dxa"/>
              <w:right w:w="-1" w:type="dxa"/>
            </w:tcMar>
            <w:vAlign w:val="center"/>
          </w:tcPr>
          <w:p w14:paraId="498F2A1F">
            <w:pPr>
              <w:widowControl w:val="0"/>
              <w:snapToGrid w:val="0"/>
              <w:spacing w:line="240" w:lineRule="auto"/>
              <w:ind w:firstLine="0"/>
              <w:jc w:val="left"/>
            </w:pPr>
            <w:r>
              <w:t>科学是人类的推理、想象和创造力的产物。</w:t>
            </w:r>
          </w:p>
        </w:tc>
      </w:tr>
      <w:tr w14:paraId="69EF8C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516DE29A">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7F9B0888">
            <w:pPr>
              <w:widowControl w:val="0"/>
              <w:snapToGrid w:val="0"/>
              <w:spacing w:line="240" w:lineRule="auto"/>
              <w:ind w:firstLine="0"/>
              <w:jc w:val="center"/>
            </w:pPr>
            <w:r>
              <w:t>预见性</w:t>
            </w:r>
          </w:p>
        </w:tc>
        <w:tc>
          <w:tcPr>
            <w:tcW w:w="5224" w:type="dxa"/>
            <w:tcBorders>
              <w:top w:val="nil"/>
              <w:left w:val="nil"/>
              <w:bottom w:val="nil"/>
              <w:right w:val="nil"/>
            </w:tcBorders>
            <w:tcMar>
              <w:top w:w="-1" w:type="dxa"/>
              <w:left w:w="-1" w:type="dxa"/>
              <w:bottom w:w="-1" w:type="dxa"/>
              <w:right w:w="-1" w:type="dxa"/>
            </w:tcMar>
            <w:vAlign w:val="center"/>
          </w:tcPr>
          <w:p w14:paraId="79A33A65">
            <w:pPr>
              <w:widowControl w:val="0"/>
              <w:snapToGrid w:val="0"/>
              <w:spacing w:line="240" w:lineRule="auto"/>
              <w:ind w:firstLine="0"/>
              <w:jc w:val="left"/>
            </w:pPr>
            <w:r>
              <w:t>科学有预见功能，根据观察和理论可以进行假说。</w:t>
            </w:r>
          </w:p>
          <w:p w14:paraId="0604319A">
            <w:pPr>
              <w:widowControl w:val="0"/>
              <w:snapToGrid w:val="0"/>
              <w:spacing w:line="240" w:lineRule="auto"/>
              <w:ind w:firstLine="0"/>
              <w:jc w:val="left"/>
            </w:pPr>
          </w:p>
        </w:tc>
      </w:tr>
      <w:tr w14:paraId="33CC70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25F2D25C">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6F7CCD0A">
            <w:pPr>
              <w:widowControl w:val="0"/>
              <w:snapToGrid w:val="0"/>
              <w:spacing w:line="240" w:lineRule="auto"/>
              <w:ind w:firstLine="0"/>
              <w:jc w:val="center"/>
            </w:pPr>
            <w:r>
              <w:t>非固定性</w:t>
            </w:r>
          </w:p>
        </w:tc>
        <w:tc>
          <w:tcPr>
            <w:tcW w:w="5224" w:type="dxa"/>
            <w:tcBorders>
              <w:top w:val="nil"/>
              <w:left w:val="nil"/>
              <w:bottom w:val="nil"/>
              <w:right w:val="nil"/>
            </w:tcBorders>
            <w:tcMar>
              <w:top w:w="-1" w:type="dxa"/>
              <w:left w:w="-1" w:type="dxa"/>
              <w:bottom w:w="-1" w:type="dxa"/>
              <w:right w:w="-1" w:type="dxa"/>
            </w:tcMar>
            <w:vAlign w:val="center"/>
          </w:tcPr>
          <w:p w14:paraId="21D2ECA0">
            <w:pPr>
              <w:widowControl w:val="0"/>
              <w:snapToGrid w:val="0"/>
              <w:spacing w:line="240" w:lineRule="auto"/>
              <w:ind w:firstLine="0"/>
              <w:jc w:val="left"/>
            </w:pPr>
            <w:r>
              <w:t>尽管科学研究的一些基本方法是相似的，但是学科知识背景和不同问题不完全固定，同一问题有不同的解决方法。</w:t>
            </w:r>
          </w:p>
        </w:tc>
      </w:tr>
      <w:tr w14:paraId="7AC0E1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45047EB8">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587E36BA">
            <w:pPr>
              <w:widowControl w:val="0"/>
              <w:snapToGrid w:val="0"/>
              <w:spacing w:line="240" w:lineRule="auto"/>
              <w:ind w:firstLine="0"/>
              <w:jc w:val="center"/>
            </w:pPr>
            <w:r>
              <w:t>非权威性</w:t>
            </w:r>
          </w:p>
        </w:tc>
        <w:tc>
          <w:tcPr>
            <w:tcW w:w="5224" w:type="dxa"/>
            <w:tcBorders>
              <w:top w:val="nil"/>
              <w:left w:val="nil"/>
              <w:bottom w:val="nil"/>
              <w:right w:val="nil"/>
            </w:tcBorders>
            <w:tcMar>
              <w:top w:w="-1" w:type="dxa"/>
              <w:left w:w="-1" w:type="dxa"/>
              <w:bottom w:w="-1" w:type="dxa"/>
              <w:right w:w="-1" w:type="dxa"/>
            </w:tcMar>
            <w:vAlign w:val="center"/>
          </w:tcPr>
          <w:p w14:paraId="7D066E42">
            <w:pPr>
              <w:widowControl w:val="0"/>
              <w:snapToGrid w:val="0"/>
              <w:spacing w:line="240" w:lineRule="auto"/>
              <w:ind w:firstLine="0"/>
              <w:jc w:val="left"/>
            </w:pPr>
            <w:r>
              <w:t>科学研究不依仗权威，没有一个科学家可以代表绝对真理，要有怀疑精神。</w:t>
            </w:r>
          </w:p>
        </w:tc>
      </w:tr>
      <w:tr w14:paraId="0A326D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5492DC0B">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21106671">
            <w:pPr>
              <w:widowControl w:val="0"/>
              <w:snapToGrid w:val="0"/>
              <w:spacing w:line="240" w:lineRule="auto"/>
              <w:ind w:firstLine="0"/>
              <w:jc w:val="center"/>
            </w:pPr>
            <w:r>
              <w:t>非绝对客观性</w:t>
            </w:r>
          </w:p>
        </w:tc>
        <w:tc>
          <w:tcPr>
            <w:tcW w:w="5224" w:type="dxa"/>
            <w:tcBorders>
              <w:top w:val="nil"/>
              <w:left w:val="nil"/>
              <w:bottom w:val="nil"/>
              <w:right w:val="nil"/>
            </w:tcBorders>
            <w:tcMar>
              <w:top w:w="-1" w:type="dxa"/>
              <w:left w:w="-1" w:type="dxa"/>
              <w:bottom w:w="-1" w:type="dxa"/>
              <w:right w:w="-1" w:type="dxa"/>
            </w:tcMar>
            <w:vAlign w:val="center"/>
          </w:tcPr>
          <w:p w14:paraId="0D36CBBB">
            <w:pPr>
              <w:widowControl w:val="0"/>
              <w:snapToGrid w:val="0"/>
              <w:spacing w:line="240" w:lineRule="auto"/>
              <w:ind w:firstLine="0"/>
              <w:jc w:val="left"/>
            </w:pPr>
            <w:r>
              <w:t>科学受科学家文化背景、信仰和看待事物方式等影响；科学观察依赖于理论的指导，这些都难保证观察和研究的客观性。</w:t>
            </w:r>
          </w:p>
        </w:tc>
      </w:tr>
      <w:tr w14:paraId="2E6365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restart"/>
            <w:tcBorders>
              <w:top w:val="nil"/>
              <w:left w:val="nil"/>
              <w:bottom w:val="nil"/>
              <w:right w:val="nil"/>
            </w:tcBorders>
            <w:tcMar>
              <w:top w:w="-1" w:type="dxa"/>
              <w:left w:w="-1" w:type="dxa"/>
              <w:bottom w:w="-1" w:type="dxa"/>
              <w:right w:w="-1" w:type="dxa"/>
            </w:tcMar>
            <w:vAlign w:val="center"/>
          </w:tcPr>
          <w:p w14:paraId="4BA9F82E">
            <w:pPr>
              <w:widowControl w:val="0"/>
              <w:snapToGrid w:val="0"/>
              <w:spacing w:line="240" w:lineRule="auto"/>
              <w:ind w:firstLine="0"/>
              <w:jc w:val="both"/>
            </w:pPr>
            <w:r>
              <w:t>科学事业本质观</w:t>
            </w:r>
          </w:p>
        </w:tc>
        <w:tc>
          <w:tcPr>
            <w:tcW w:w="1814" w:type="dxa"/>
            <w:tcBorders>
              <w:top w:val="nil"/>
              <w:left w:val="nil"/>
              <w:bottom w:val="nil"/>
              <w:right w:val="nil"/>
            </w:tcBorders>
            <w:tcMar>
              <w:top w:w="-1" w:type="dxa"/>
              <w:left w:w="-1" w:type="dxa"/>
              <w:bottom w:w="-1" w:type="dxa"/>
              <w:right w:w="-1" w:type="dxa"/>
            </w:tcMar>
            <w:vAlign w:val="center"/>
          </w:tcPr>
          <w:p w14:paraId="52A2DFD7">
            <w:pPr>
              <w:widowControl w:val="0"/>
              <w:snapToGrid w:val="0"/>
              <w:spacing w:line="240" w:lineRule="auto"/>
              <w:ind w:firstLine="0"/>
              <w:jc w:val="center"/>
            </w:pPr>
            <w:r>
              <w:t>科学与道德</w:t>
            </w:r>
          </w:p>
        </w:tc>
        <w:tc>
          <w:tcPr>
            <w:tcW w:w="5224" w:type="dxa"/>
            <w:tcBorders>
              <w:top w:val="nil"/>
              <w:left w:val="nil"/>
              <w:bottom w:val="nil"/>
              <w:right w:val="nil"/>
            </w:tcBorders>
            <w:tcMar>
              <w:top w:w="-1" w:type="dxa"/>
              <w:left w:w="-1" w:type="dxa"/>
              <w:bottom w:w="-1" w:type="dxa"/>
              <w:right w:w="-1" w:type="dxa"/>
            </w:tcMar>
            <w:vAlign w:val="center"/>
          </w:tcPr>
          <w:p w14:paraId="4D7220DC">
            <w:pPr>
              <w:widowControl w:val="0"/>
              <w:snapToGrid w:val="0"/>
              <w:spacing w:line="240" w:lineRule="auto"/>
              <w:ind w:firstLine="0"/>
              <w:jc w:val="left"/>
            </w:pPr>
            <w:r>
              <w:t>科学研究中有普遍接受的道德规范。</w:t>
            </w:r>
          </w:p>
        </w:tc>
      </w:tr>
      <w:tr w14:paraId="7D5A9F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36276D7F">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21A08492">
            <w:pPr>
              <w:widowControl w:val="0"/>
              <w:snapToGrid w:val="0"/>
              <w:spacing w:line="240" w:lineRule="auto"/>
              <w:ind w:firstLine="0"/>
              <w:jc w:val="center"/>
            </w:pPr>
            <w:r>
              <w:t>科学与技术</w:t>
            </w:r>
          </w:p>
        </w:tc>
        <w:tc>
          <w:tcPr>
            <w:tcW w:w="5224" w:type="dxa"/>
            <w:tcBorders>
              <w:top w:val="nil"/>
              <w:left w:val="nil"/>
              <w:bottom w:val="nil"/>
              <w:right w:val="nil"/>
            </w:tcBorders>
            <w:tcMar>
              <w:top w:w="-1" w:type="dxa"/>
              <w:left w:w="-1" w:type="dxa"/>
              <w:bottom w:w="-1" w:type="dxa"/>
              <w:right w:w="-1" w:type="dxa"/>
            </w:tcMar>
            <w:vAlign w:val="center"/>
          </w:tcPr>
          <w:p w14:paraId="260A89F1">
            <w:pPr>
              <w:widowControl w:val="0"/>
              <w:snapToGrid w:val="0"/>
              <w:spacing w:line="240" w:lineRule="auto"/>
              <w:ind w:firstLine="0"/>
              <w:jc w:val="left"/>
            </w:pPr>
            <w:r>
              <w:t>科学与技术是有区别的，科学与技术具有相互作用。</w:t>
            </w:r>
          </w:p>
        </w:tc>
      </w:tr>
      <w:tr w14:paraId="7EAC3E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18990C71">
            <w:pPr>
              <w:widowControl w:val="0"/>
              <w:snapToGrid w:val="0"/>
              <w:spacing w:line="240" w:lineRule="auto"/>
              <w:ind w:firstLine="0"/>
              <w:jc w:val="center"/>
            </w:pPr>
          </w:p>
        </w:tc>
        <w:tc>
          <w:tcPr>
            <w:tcW w:w="1814" w:type="dxa"/>
            <w:tcBorders>
              <w:top w:val="nil"/>
              <w:left w:val="nil"/>
              <w:bottom w:val="nil"/>
              <w:right w:val="nil"/>
            </w:tcBorders>
            <w:tcMar>
              <w:top w:w="-1" w:type="dxa"/>
              <w:left w:w="-1" w:type="dxa"/>
              <w:bottom w:w="-1" w:type="dxa"/>
              <w:right w:w="-1" w:type="dxa"/>
            </w:tcMar>
            <w:vAlign w:val="center"/>
          </w:tcPr>
          <w:p w14:paraId="427EFA08">
            <w:pPr>
              <w:widowControl w:val="0"/>
              <w:snapToGrid w:val="0"/>
              <w:spacing w:line="240" w:lineRule="auto"/>
              <w:ind w:firstLine="0"/>
              <w:jc w:val="center"/>
            </w:pPr>
            <w:r>
              <w:t>科学与社会</w:t>
            </w:r>
          </w:p>
        </w:tc>
        <w:tc>
          <w:tcPr>
            <w:tcW w:w="5224" w:type="dxa"/>
            <w:tcBorders>
              <w:top w:val="nil"/>
              <w:left w:val="nil"/>
              <w:bottom w:val="nil"/>
              <w:right w:val="nil"/>
            </w:tcBorders>
            <w:tcMar>
              <w:top w:w="-1" w:type="dxa"/>
              <w:left w:w="-1" w:type="dxa"/>
              <w:bottom w:w="-1" w:type="dxa"/>
              <w:right w:w="-1" w:type="dxa"/>
            </w:tcMar>
            <w:vAlign w:val="center"/>
          </w:tcPr>
          <w:p w14:paraId="1C4ADA7A">
            <w:pPr>
              <w:widowControl w:val="0"/>
              <w:snapToGrid w:val="0"/>
              <w:spacing w:line="240" w:lineRule="auto"/>
              <w:ind w:firstLine="0"/>
              <w:jc w:val="left"/>
            </w:pPr>
            <w:r>
              <w:t>科学与社会密切相关、总体上给人类带来了福音，但也产生了不良后果。</w:t>
            </w:r>
          </w:p>
        </w:tc>
      </w:tr>
      <w:tr w14:paraId="504D8A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84" w:type="dxa"/>
            <w:vMerge w:val="continue"/>
            <w:tcMar>
              <w:top w:w="-1" w:type="dxa"/>
              <w:left w:w="-1" w:type="dxa"/>
              <w:bottom w:w="-1" w:type="dxa"/>
              <w:right w:w="-1" w:type="dxa"/>
            </w:tcMar>
            <w:vAlign w:val="center"/>
          </w:tcPr>
          <w:p w14:paraId="30E3E012">
            <w:pPr>
              <w:widowControl w:val="0"/>
              <w:snapToGrid w:val="0"/>
              <w:spacing w:line="240" w:lineRule="auto"/>
              <w:ind w:firstLine="0"/>
              <w:jc w:val="center"/>
            </w:pPr>
          </w:p>
        </w:tc>
        <w:tc>
          <w:tcPr>
            <w:tcW w:w="1814" w:type="dxa"/>
            <w:tcBorders>
              <w:top w:val="nil"/>
              <w:left w:val="nil"/>
              <w:bottom w:val="single" w:color="auto" w:sz="12" w:space="0"/>
              <w:right w:val="nil"/>
            </w:tcBorders>
            <w:tcMar>
              <w:top w:w="-1" w:type="dxa"/>
              <w:left w:w="-1" w:type="dxa"/>
              <w:bottom w:w="-1" w:type="dxa"/>
              <w:right w:w="-1" w:type="dxa"/>
            </w:tcMar>
            <w:vAlign w:val="center"/>
          </w:tcPr>
          <w:p w14:paraId="3117F1C6">
            <w:pPr>
              <w:widowControl w:val="0"/>
              <w:snapToGrid w:val="0"/>
              <w:spacing w:line="240" w:lineRule="auto"/>
              <w:ind w:firstLine="0"/>
              <w:jc w:val="center"/>
            </w:pPr>
            <w:r>
              <w:t>科学家身份</w:t>
            </w:r>
          </w:p>
        </w:tc>
        <w:tc>
          <w:tcPr>
            <w:tcW w:w="5224" w:type="dxa"/>
            <w:tcBorders>
              <w:top w:val="nil"/>
              <w:left w:val="nil"/>
              <w:bottom w:val="single" w:color="auto" w:sz="12" w:space="0"/>
              <w:right w:val="nil"/>
            </w:tcBorders>
            <w:tcMar>
              <w:top w:w="-1" w:type="dxa"/>
              <w:left w:w="-1" w:type="dxa"/>
              <w:bottom w:w="-1" w:type="dxa"/>
              <w:right w:w="-1" w:type="dxa"/>
            </w:tcMar>
            <w:vAlign w:val="center"/>
          </w:tcPr>
          <w:p w14:paraId="7EA30D98">
            <w:pPr>
              <w:widowControl w:val="0"/>
              <w:snapToGrid w:val="0"/>
              <w:spacing w:line="240" w:lineRule="auto"/>
              <w:ind w:firstLine="0"/>
              <w:jc w:val="left"/>
            </w:pPr>
            <w:r>
              <w:t>科学家也是公民，但他会运用科学知识来解决公众事务问题。</w:t>
            </w:r>
          </w:p>
        </w:tc>
      </w:tr>
    </w:tbl>
    <w:p w14:paraId="49BA302B">
      <w:pPr>
        <w:keepNext w:val="0"/>
        <w:keepLines w:val="0"/>
        <w:pageBreakBefore w:val="0"/>
        <w:widowControl/>
        <w:kinsoku/>
        <w:wordWrap/>
        <w:overflowPunct/>
        <w:topLinePunct w:val="0"/>
        <w:autoSpaceDE/>
        <w:autoSpaceDN/>
        <w:bidi w:val="0"/>
        <w:adjustRightInd/>
        <w:snapToGrid/>
        <w:spacing w:line="400" w:lineRule="exact"/>
        <w:ind w:firstLine="460" w:firstLineChars="200"/>
        <w:jc w:val="both"/>
        <w:textAlignment w:val="auto"/>
        <w:rPr>
          <w:rFonts w:hint="eastAsia" w:ascii="宋体" w:hAnsi="宋体" w:cs="宋体"/>
          <w:color w:val="000000"/>
          <w:kern w:val="2"/>
          <w:szCs w:val="24"/>
        </w:rPr>
      </w:pPr>
      <w:r>
        <w:rPr>
          <w:rFonts w:hint="eastAsia" w:ascii="宋体" w:hAnsi="宋体" w:cs="宋体"/>
          <w:color w:val="000000"/>
          <w:kern w:val="2"/>
          <w:szCs w:val="24"/>
        </w:rPr>
        <w:t>值得说明的是，科学本质观在本研究中并非游离于化学学科之外的附加内容，而是需要落入具体的化学知识学习任务中来加以培育。前文综述已经指出，学生在科学知识的“暂定性”、科学探究的“理论负载性”以及科学事业的“社会文化属性”等方面的认识普遍较为薄弱，这也构成了本研究后续教学设计需要重点关注和加以干预的方向。</w:t>
      </w:r>
    </w:p>
    <w:p w14:paraId="06D6C355">
      <w:pPr>
        <w:pStyle w:val="5"/>
        <w:numPr>
          <w:ilvl w:val="1"/>
          <w:numId w:val="19"/>
        </w:numPr>
        <w:ind w:firstLine="0"/>
        <w:rPr>
          <w:highlight w:val="none"/>
        </w:rPr>
      </w:pPr>
      <w:r>
        <w:rPr>
          <w:rFonts w:hint="eastAsia"/>
          <w:highlight w:val="none"/>
        </w:rPr>
        <w:t>HPS教学理念与科学本质观教育的内在关联</w:t>
      </w:r>
    </w:p>
    <w:p w14:paraId="781041F5">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cs="宋体"/>
          <w:color w:val="000000"/>
          <w:kern w:val="2"/>
          <w:szCs w:val="24"/>
        </w:rPr>
      </w:pPr>
      <w:r>
        <w:rPr>
          <w:rFonts w:hint="eastAsia" w:ascii="宋体" w:hAnsi="宋体" w:cs="宋体"/>
          <w:color w:val="000000"/>
          <w:kern w:val="2"/>
          <w:szCs w:val="24"/>
        </w:rPr>
        <w:t>科学本质观教育对课堂教学的要求，从根本上不同于一般的知识传授。培育学生的科学本质观，既不能靠单独开设专题课程，也不能依赖在正常教学之外追加若干说明，而是需要将科学知识的暂定性与可修正性、科学探究的实证性与创造性、科学活动的社会文化属性，整合进具体学科的知识学习过程之中。这对教学设计提出了几项基本要求：</w:t>
      </w:r>
    </w:p>
    <w:p w14:paraId="22BF490B">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cs="宋体"/>
          <w:color w:val="000000"/>
          <w:kern w:val="2"/>
          <w:szCs w:val="24"/>
        </w:rPr>
      </w:pPr>
      <w:r>
        <w:rPr>
          <w:rFonts w:hint="eastAsia" w:ascii="宋体" w:hAnsi="宋体" w:cs="宋体"/>
          <w:color w:val="000000"/>
          <w:kern w:val="2"/>
          <w:szCs w:val="24"/>
        </w:rPr>
        <w:t>首先，教学目标必须超越知识记忆层面，明确纳入科学本质的相关维度；内容与素材的选择必须能够呈现知识的生成历程，而非仅提供结论性陈述；</w:t>
      </w:r>
    </w:p>
    <w:p w14:paraId="1F61FA59">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cs="宋体"/>
          <w:color w:val="000000"/>
          <w:kern w:val="2"/>
          <w:szCs w:val="24"/>
        </w:rPr>
      </w:pPr>
      <w:r>
        <w:rPr>
          <w:rFonts w:hint="eastAsia" w:ascii="宋体" w:hAnsi="宋体" w:cs="宋体"/>
          <w:color w:val="000000"/>
          <w:kern w:val="2"/>
          <w:szCs w:val="24"/>
        </w:rPr>
        <w:t>其次，学习任务与探究活动必须让学生有机会经历类科学探究的思维过程，而非仅完成验证性操作；</w:t>
      </w:r>
    </w:p>
    <w:p w14:paraId="0CCDE986">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cs="宋体"/>
          <w:color w:val="000000"/>
          <w:kern w:val="2"/>
          <w:szCs w:val="24"/>
        </w:rPr>
      </w:pPr>
      <w:r>
        <w:rPr>
          <w:rFonts w:hint="eastAsia" w:ascii="宋体" w:hAnsi="宋体" w:cs="宋体"/>
          <w:color w:val="000000"/>
          <w:kern w:val="2"/>
          <w:szCs w:val="24"/>
        </w:rPr>
        <w:t>再次，评价设计必须能够捕捉科学本质观这认识的变化，而非仅凭知识测试判断效果。</w:t>
      </w:r>
    </w:p>
    <w:p w14:paraId="52846E34">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cs="宋体"/>
          <w:color w:val="000000"/>
          <w:kern w:val="2"/>
          <w:szCs w:val="24"/>
        </w:rPr>
      </w:pPr>
      <w:r>
        <w:rPr>
          <w:rFonts w:hint="eastAsia" w:ascii="宋体" w:hAnsi="宋体" w:cs="宋体"/>
          <w:color w:val="000000"/>
          <w:kern w:val="2"/>
          <w:szCs w:val="24"/>
        </w:rPr>
        <w:t>然而，仅凭传统的讲授式教学，这些要求难以实现。科学本质观的形成，需要真实的知识生成情境作为载体，需要可分析的科学推理过程作为体验依托，需要科学与社会互动的案例作为认识扩展的材料。这在客观上呼唤一种能够同时供给历史情境、哲学视角与社会维度的教学理念介入。HPS教学理念正是这样一种框架——它将科学本质观的学习融入化学知识形成的真实脉络之中，使知识习得与科学本质感知能够在同一教学过程中同步推进。</w:t>
      </w:r>
    </w:p>
    <w:p w14:paraId="3D84A765">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cs="宋体"/>
          <w:color w:val="000000"/>
          <w:kern w:val="2"/>
          <w:szCs w:val="24"/>
        </w:rPr>
      </w:pPr>
      <w:r>
        <w:rPr>
          <w:rFonts w:hint="eastAsia" w:ascii="宋体" w:hAnsi="宋体" w:cs="宋体"/>
          <w:color w:val="000000"/>
          <w:kern w:val="2"/>
          <w:szCs w:val="24"/>
        </w:rPr>
        <w:t>具体而言，HPS教学理念对科学本质观教育的支撑作用，体现在教学设计的各核心环节之中。</w:t>
      </w:r>
    </w:p>
    <w:p w14:paraId="251693C0">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cs="宋体"/>
          <w:color w:val="000000"/>
          <w:kern w:val="2"/>
          <w:szCs w:val="24"/>
        </w:rPr>
      </w:pPr>
      <w:r>
        <w:rPr>
          <w:rFonts w:hint="eastAsia" w:ascii="宋体" w:hAnsi="宋体" w:cs="宋体"/>
          <w:color w:val="000000"/>
          <w:kern w:val="2"/>
          <w:szCs w:val="24"/>
        </w:rPr>
        <w:t>在教学目标层面，HPS的三个维度与科学本质观的三大培养方向形成直接对接。科学史维度通过化学概念与理论为“科学认识本质”目标的落实提供了可依托的历史情境，使学生有机会看到知识是如何从假说经争论再到修正的；科学哲学维度引导学生在具体内容的学习中反思证据与理论之间的关系，直接对应“科学探究本质”的认识目标；科学社会学维度帮助学生看到化学知识的产生与应用始终嵌入于特定的社会背景与伦理框架之中，指向"科学事业本质"的理解。由此，原本抽象的NOS目标得以转化为可通过具体化学史情境加以落实的教学方向。</w:t>
      </w:r>
    </w:p>
    <w:p w14:paraId="6E2F0038">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cs="宋体"/>
          <w:color w:val="000000"/>
          <w:kern w:val="2"/>
          <w:szCs w:val="24"/>
        </w:rPr>
      </w:pPr>
      <w:r>
        <w:rPr>
          <w:rFonts w:hint="eastAsia" w:ascii="宋体" w:hAnsi="宋体" w:cs="宋体"/>
          <w:color w:val="000000"/>
          <w:kern w:val="2"/>
          <w:szCs w:val="24"/>
        </w:rPr>
        <w:t>在内容资源的选择层面，HPS教学理念为本研究进入课标和教材寻找素材提供了明确的筛选依据。能够呈现化学概念的争论历程、实验路径的修正过程、理论模型的演变图景，或化学技术与社会产生实质互动的史料，具备支持科学本质观教育所需的“证据可见性”与“本质可感知性”。这使内容资源的遴选不再停留于经验判断，而是有了可循的操作标准。</w:t>
      </w:r>
    </w:p>
    <w:p w14:paraId="1C284B86">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cs="宋体"/>
          <w:color w:val="000000"/>
          <w:kern w:val="2"/>
          <w:szCs w:val="24"/>
        </w:rPr>
      </w:pPr>
      <w:r>
        <w:rPr>
          <w:rFonts w:hint="eastAsia" w:ascii="宋体" w:hAnsi="宋体" w:cs="宋体"/>
          <w:color w:val="000000"/>
          <w:kern w:val="2"/>
          <w:szCs w:val="24"/>
        </w:rPr>
        <w:t>在学习任务与探究活动设计层面，HPS教学理念以真实化学史事件或STSE议题为情境原型，围绕“理论危机与模型修正”、“证据获取与科学论证”、“科学技术的社会价值权衡”等问题类型组织学习任务，使学生在解决具体问题的过程中既完成化学知识建构，又自然触及科学本质观的相关维度。探究活动因此不再停留于验证性实验，而是具备了让学生体验科学推理过程、感知认识不确定性的条件。</w:t>
      </w:r>
    </w:p>
    <w:p w14:paraId="50E60BCD">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cs="宋体"/>
          <w:color w:val="000000"/>
          <w:kern w:val="2"/>
          <w:szCs w:val="24"/>
        </w:rPr>
      </w:pPr>
      <w:r>
        <w:rPr>
          <w:rFonts w:hint="eastAsia" w:ascii="宋体" w:hAnsi="宋体" w:cs="宋体"/>
          <w:color w:val="000000"/>
          <w:kern w:val="2"/>
          <w:szCs w:val="24"/>
        </w:rPr>
        <w:t>在教学评价层面，HPS教学理念的三维结构与本研究选用的刘健智量表之间存在内在逻辑对应。量表的"科学认识—科学过程—科学事业"三维框架，恰与HPS的"科学哲学—科学历史—科学社会学"三个层面形成逻辑映射。以HPS理念指导的教学干预所预期触及的学生观念变化，可通过量表前后测数据得到量化捕捉，再辅以访谈与课堂记录作为质性支撑，从而使“教学设计—课堂实施—效果评价”这一行动研究路径形成自洽的逻辑闭环。</w:t>
      </w:r>
    </w:p>
    <w:p w14:paraId="245F9330">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cs="宋体"/>
          <w:color w:val="000000"/>
          <w:kern w:val="2"/>
          <w:szCs w:val="24"/>
        </w:rPr>
      </w:pPr>
      <w:r>
        <w:rPr>
          <w:rFonts w:hint="eastAsia" w:ascii="宋体" w:hAnsi="宋体" w:cs="宋体"/>
          <w:color w:val="000000"/>
          <w:kern w:val="2"/>
          <w:szCs w:val="24"/>
        </w:rPr>
        <w:t>综上，科学本质观教育在目标设定、内容选择、任务设计、探究活动与评价工具等层面提出的系统要求，与HPS教学理念在情境供给、素材筛选、任务框架与评价逻辑等方面的功能，形成了层层对应的内在关联。正是这种关联，为本研究以HPS理念构建高中化学科学本质观教学设计策略框架提供了理论依据，也使整体研究逻辑从“理念引入”到“目标确立”、“资源开发”、“任务设计”、“效果评价”得以层层贯通，如图3-1所示。</w:t>
      </w:r>
    </w:p>
    <w:p w14:paraId="019E5881">
      <w:pPr>
        <w:ind w:firstLine="0"/>
        <w:jc w:val="center"/>
      </w:pPr>
      <w:r>
        <w:rPr>
          <w:rFonts w:hint="eastAsia"/>
        </w:rPr>
        <w:drawing>
          <wp:inline distT="0" distB="0" distL="114300" distR="114300">
            <wp:extent cx="5261610" cy="3833495"/>
            <wp:effectExtent l="0" t="0" r="5715" b="5080"/>
            <wp:docPr id="4" name="图片 4" descr="图3-1_HPS理念指导下的教学策略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1_HPS理念指导下的教学策略框架"/>
                    <pic:cNvPicPr>
                      <a:picLocks noChangeAspect="1"/>
                    </pic:cNvPicPr>
                  </pic:nvPicPr>
                  <pic:blipFill>
                    <a:blip r:embed="rId18"/>
                    <a:stretch>
                      <a:fillRect/>
                    </a:stretch>
                  </pic:blipFill>
                  <pic:spPr>
                    <a:xfrm>
                      <a:off x="0" y="0"/>
                      <a:ext cx="5261610" cy="3833495"/>
                    </a:xfrm>
                    <a:prstGeom prst="rect">
                      <a:avLst/>
                    </a:prstGeom>
                  </pic:spPr>
                </pic:pic>
              </a:graphicData>
            </a:graphic>
          </wp:inline>
        </w:drawing>
      </w:r>
    </w:p>
    <w:p w14:paraId="32B60BF4">
      <w:pPr>
        <w:ind w:firstLine="460" w:firstLineChars="200"/>
        <w:jc w:val="center"/>
        <w:rPr>
          <w:rFonts w:hint="eastAsia" w:ascii="宋体" w:hAnsi="宋体" w:cs="宋体"/>
          <w:color w:val="000000"/>
          <w:kern w:val="2"/>
          <w:szCs w:val="24"/>
        </w:rPr>
      </w:pPr>
      <w:r>
        <w:rPr>
          <w:rFonts w:hint="eastAsia" w:ascii="宋体" w:hAnsi="宋体" w:cs="宋体"/>
          <w:color w:val="000000"/>
          <w:kern w:val="2"/>
          <w:szCs w:val="24"/>
        </w:rPr>
        <w:t>图3-1 HPS教学理念下高中化学科学本质观教学设计策略框架</w:t>
      </w:r>
    </w:p>
    <w:p w14:paraId="0CF5673D">
      <w:pPr>
        <w:pStyle w:val="2"/>
        <w:numPr>
          <w:ilvl w:val="1"/>
          <w:numId w:val="18"/>
        </w:numPr>
        <w:jc w:val="center"/>
      </w:pPr>
      <w:r>
        <w:rPr>
          <w:rFonts w:hint="eastAsia"/>
        </w:rPr>
        <w:t>理论框架</w:t>
      </w:r>
    </w:p>
    <w:p w14:paraId="3D8634BD">
      <w:pPr>
        <w:pStyle w:val="5"/>
        <w:numPr>
          <w:ilvl w:val="1"/>
          <w:numId w:val="20"/>
        </w:numPr>
        <w:ind w:firstLine="0"/>
      </w:pPr>
      <w:r>
        <w:rPr>
          <w:rFonts w:hint="eastAsia"/>
        </w:rPr>
        <w:t>基于“课标—教材—学情”的教学前期分析</w:t>
      </w:r>
    </w:p>
    <w:p w14:paraId="60A200E0">
      <w:pPr>
        <w:pStyle w:val="5"/>
        <w:numPr>
          <w:ilvl w:val="1"/>
          <w:numId w:val="21"/>
        </w:numPr>
      </w:pPr>
      <w:r>
        <w:rPr>
          <w:rFonts w:hint="eastAsia"/>
        </w:rPr>
        <w:t>基于HPS素养维度分析课程标准</w:t>
      </w:r>
    </w:p>
    <w:p w14:paraId="42087B2D">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《普通高中化学课程标准（2017年版2020年修订）》（以下简称"新课标"）在课程理念、核心素养目标、内容要求与教学建议等多个层面均为HPS教学理念在高中化学课堂的落实提供了明确导向与政策依据</w:t>
      </w:r>
      <w:r>
        <w:rPr>
          <w:rFonts w:hint="eastAsia"/>
          <w:vertAlign w:val="superscript"/>
        </w:rPr>
        <w:t>［</w:t>
      </w:r>
      <w:r>
        <w:rPr>
          <w:rFonts w:hint="eastAsia"/>
          <w:vertAlign w:val="superscript"/>
        </w:rPr>
        <w:footnoteReference w:id="57"/>
      </w:r>
      <w:r>
        <w:rPr>
          <w:rFonts w:hint="eastAsia"/>
          <w:vertAlign w:val="superscript"/>
        </w:rPr>
        <w:t>］</w:t>
      </w:r>
      <w:r>
        <w:rPr>
          <w:rFonts w:hint="eastAsia"/>
        </w:rPr>
        <w:t>。</w:t>
      </w:r>
    </w:p>
    <w:p w14:paraId="5A6A331B">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在课程理念层面，新课标强调“结合人类探索物质及其变化的历史”与“社会生活实际”，引导学生关注化学相关的社会问题。这直接体现了将化学史、科学哲学与科学—技术—社会关系（HPS）有机融入课堂的课改诉求。</w:t>
      </w:r>
    </w:p>
    <w:p w14:paraId="373770C5">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在核心素养层面，新课标的设定深度契合科学本质观（NOS）的三大维度：“证据推理与模型认知”要求基于证据进行证实或证伪，对应科学知识的实证性与暂定性；“科学探究与创新意识”强调敢于质疑与实践探究，呼应科学探究的创造性与非权威性；“科学态度与社会责任”要求对涉化社会热点作出价值判断，彰显了科学事业的社会文化属性。可见，NOS目标已内化于核心素养体系之中。</w:t>
      </w:r>
    </w:p>
    <w:p w14:paraId="64EE06DD">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在内容与情境素材层面，新课标明确将“科学探究过程”列入内容要求，并推荐了“原子结构模型演变”“氧化还原反应本质探究”“合成氨工业”等丰富史料与真实的STSE问题，为HPS教学的落地提供了直接的素材载体。</w:t>
      </w:r>
    </w:p>
    <w:p w14:paraId="1A8A2933">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在教学建议层面，新课标倡导依托真实探究问题，鼓励学生通过文献查阅与讨论交流理解知识的形成过程。这一主张与HPS教学中“问题提出—史料分析—证据检验—显性反思”的实施流程高度吻合。</w:t>
      </w:r>
    </w:p>
    <w:p w14:paraId="415B45FF">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综上所述，新课标从顶层理念、素养目标、具体内容到实施路径，均为本研究开展HPS导向的科学本质观教学设计提供了充分的空间与依据。</w:t>
      </w:r>
    </w:p>
    <w:p w14:paraId="65991184">
      <w:pPr>
        <w:pStyle w:val="5"/>
        <w:numPr>
          <w:ilvl w:val="1"/>
          <w:numId w:val="21"/>
        </w:numPr>
      </w:pPr>
      <w:r>
        <w:rPr>
          <w:rFonts w:hint="eastAsia"/>
        </w:rPr>
        <w:t>基于HPS维度分析教材内容</w:t>
      </w:r>
    </w:p>
    <w:p w14:paraId="3C41D28A">
      <w:r>
        <w:rPr>
          <w:rFonts w:hint="eastAsia"/>
        </w:rPr>
        <w:t>教材是HPS教学理念进入课堂的直接载体。分析现行人教版高中化学教材，核心在于梳理其中的HPS内容，并厘清其与科学本质观（NOS）三大维度的内在联系。</w:t>
      </w:r>
    </w:p>
    <w:p w14:paraId="4436CCF4">
      <w:pPr>
        <w:widowControl w:val="0"/>
      </w:pPr>
      <w:r>
        <w:rPr>
          <w:rFonts w:hint="eastAsia"/>
        </w:rPr>
        <w:t>教材通过“科学史话”“科学·技术·社会”“实验探究”等栏目，将化学知识与HPS素材有机融合，具体体现在以下三个维度：</w:t>
      </w:r>
    </w:p>
    <w:p w14:paraId="056177CC">
      <w:pPr>
        <w:widowControl w:val="0"/>
        <w:numPr>
          <w:ilvl w:val="0"/>
          <w:numId w:val="22"/>
        </w:numPr>
      </w:pPr>
      <w:r>
        <w:rPr>
          <w:rFonts w:hint="eastAsia"/>
        </w:rPr>
        <w:t>在科学认识维度上，教材借助原子结构模型的演变、氧化还原理论的发展等史料，帮助学生理解科学知识并非一蹴而就，而是在不断积累与修正中发展，支撑了NOS中“累积性”与“相对性”的培养。</w:t>
      </w:r>
    </w:p>
    <w:p w14:paraId="073D87B5">
      <w:pPr>
        <w:widowControl w:val="0"/>
        <w:numPr>
          <w:ilvl w:val="0"/>
          <w:numId w:val="22"/>
        </w:numPr>
        <w:rPr>
          <w:rFonts w:hint="eastAsia"/>
        </w:rPr>
      </w:pPr>
      <w:r>
        <w:rPr>
          <w:rFonts w:hint="eastAsia"/>
        </w:rPr>
        <w:t>在科学过程维度上，通过元素化合物性质探究等活动，引导学生经历假设形成与结论论证的完整过程，使其体会科学探究并非线性的观察归纳，而是需要创造性推理与反复检验的实践，契合“实证性”与“创造性”内涵。</w:t>
      </w:r>
    </w:p>
    <w:p w14:paraId="5E8BDFE0">
      <w:pPr>
        <w:numPr>
          <w:ilvl w:val="0"/>
          <w:numId w:val="22"/>
        </w:numPr>
      </w:pPr>
      <w:r>
        <w:rPr>
          <w:rFonts w:hint="eastAsia"/>
        </w:rPr>
        <w:t>在科学事业维度上，通过合成氨工业对人类社会的影响、绿色化学等内容，展现科学与社会的互动，引导学生认识科学是嵌入于社会文化与伦理价值中的人类活动，体现了“社会文化性”。</w:t>
      </w:r>
    </w:p>
    <w:p w14:paraId="37188C43">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然而，文献综述与教材文本比对表明，现行教材中的HPS素材多呈碎片化的“点缀式”分布，缺乏整体的内容线索，且科学本质观的培养目标在教材中均处于“隐性状态”。如果仅依赖教材现有的呈现方式，教师极易将其讲成枯燥的科学家传记或静态的历史故事，无法承载促进学生科学本质观念转变的重任。这种文本编排上的现实局限，直接构成了本研究后续开展“HPS教学资源整合与重构”的现实动因。本研究的教学设计旨在深挖并重构教材史料，创设引发学生显性反思的问题链，推动科学本质观教育由“隐性渗透”走向“显性建构”。</w:t>
      </w:r>
    </w:p>
    <w:p w14:paraId="43C9B1CB">
      <w:pPr>
        <w:pStyle w:val="5"/>
        <w:numPr>
          <w:ilvl w:val="1"/>
          <w:numId w:val="21"/>
        </w:numPr>
      </w:pPr>
      <w:r>
        <w:rPr>
          <w:rFonts w:hint="eastAsia"/>
        </w:rPr>
        <w:t>高二学生的认知起点与科学本质观现状分析</w:t>
      </w:r>
    </w:p>
    <w:p w14:paraId="2BB68F37">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本研究的教学干预对象为高二学生。在认知发展上，该阶段学生已步入形式运算阶段后期，具备较强的抽象逻辑推理与假设演绎能力，这为课堂中开展史料研读、证据论证与哲学反思等高阶思维活动提供了必要的认知前提。在知识经验储备方面，学生已完成必修模块的学习，掌握了元素化合物及化学反应原理等核心内容，并初步接触过原子结构演变、氧化还原等化学史素材。然而，日常教学中的化学史多停留在“听历史故事”的表层，学生鲜有机会对科学发现的过程、方法的多样性及其社会属性进行深度挖掘，尚未建构起系统的科学本质观框架。</w:t>
      </w:r>
    </w:p>
    <w:p w14:paraId="15A0FBFD">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结合前期的现状诊断，高二学生在科学本质观的三大维度上普遍存在典型误解。在科学认识本质维度，学生极易将教材中的化学理论视为不可撼动的绝对真理，缺乏对科学知识暂定性与可修正性的理解；在科学过程本质维度，学生往往将科学探究固化为机械的“观察—归纳”模式，忽视了创造性推理与理论框架在科学发现中的核心作用；在科学事业本质维度，学生的认知最为薄弱，普遍将科学活动视为绝对中立、客观的知识生产，缺乏对科学与社会互动、科学共同体规范及科学局限性的审视。</w:t>
      </w:r>
    </w:p>
    <w:p w14:paraId="5BEFC591">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此外，经历选科分流后，选择化学方向的学生普遍具备较强的问题意识。但在真实的班级生态中，学情往往呈现出明显的层次分化：基础扎实的学生思维活跃，能够迅速切入深度的模型批判与论证；而基础较为薄弱的学生长期习惯于应试型的知识接受，面对抽象的反思任务时极易产生畏难情绪。这就要求在后续的行动研究与教学设计中，必须预设具有弹性的梯度任务支架，确保NOS的建构真正扎根于不同层次学生的最近发展区内。</w:t>
      </w:r>
    </w:p>
    <w:p w14:paraId="187B2F68">
      <w:pPr>
        <w:pStyle w:val="5"/>
        <w:numPr>
          <w:ilvl w:val="1"/>
          <w:numId w:val="20"/>
        </w:numPr>
        <w:ind w:firstLine="0"/>
      </w:pPr>
      <w:r>
        <w:rPr>
          <w:rFonts w:hint="eastAsia"/>
        </w:rPr>
        <w:t>明确科学本质观培养目标</w:t>
      </w:r>
    </w:p>
    <w:p w14:paraId="48D6798E">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pPr>
      <w:r>
        <w:rPr>
          <w:rFonts w:hint="eastAsia"/>
        </w:rPr>
        <w:t>绪论的文献梳理已经表明，科学本质观培育的核心困境之一，在于课堂教学中科学本质目标长期以"隐性渗透"的方式存在，缺乏可操作、可评价的明确落点。因此，在HPS教学理念的指引下，本设计的首要思路便是将科学本质的内涵加以“显性化”，明确将其设定为核心教学目标之一。</w:t>
      </w:r>
    </w:p>
    <w:p w14:paraId="67020F14">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pPr>
      <w:r>
        <w:rPr>
          <w:rFonts w:hint="eastAsia"/>
        </w:rPr>
        <w:t>这意味着，在设计某一节课时，教师不仅要明确“学生应掌握哪些化学知识”，不仅要关注学生对化学符号、宏微观结构、反应原理等本体知识的掌握，更要精准对标科学本质的核心维度，要将科学本质观要素显性化，例如明确指出学生通过学习能够认识到科学实验如何验证理论、科学理论如何被修正和完善等。例如，在“氧化还原反应”的发展史教学中，目标应明确指向让学生领悟科学理论是不断纠正与完善的，并体会科学家在提出新理论时所受到的社会背景制约。通过这种显性、聚焦的目标定位，确保科学本质观不再是空泛的理念口号，而是贯穿于每一堂化学课的切实指标。需要注意的是，科学本质观是多维度的，并非所有教学内容都能涵盖全部维度。因此，教师在制定本节课的目标时，应明确本节课重点培养科学本质的哪些方面（如科学假设的验证过程、科学家的创造性思维等），确保目标具体明确。</w:t>
      </w:r>
    </w:p>
    <w:p w14:paraId="550971F1">
      <w:pPr>
        <w:pStyle w:val="5"/>
        <w:numPr>
          <w:ilvl w:val="1"/>
          <w:numId w:val="20"/>
        </w:numPr>
        <w:ind w:firstLine="0"/>
      </w:pPr>
      <w:r>
        <w:rPr>
          <w:rFonts w:hint="eastAsia"/>
        </w:rPr>
        <w:t>以化学史为主线的HPS教学资源筛选原则</w:t>
      </w:r>
    </w:p>
    <w:p w14:paraId="6665182B">
      <w:pPr>
        <w:keepNext w:val="0"/>
        <w:keepLines w:val="0"/>
        <w:pageBreakBefore w:val="0"/>
        <w:widowControl/>
        <w:kinsoku/>
        <w:wordWrap/>
        <w:overflowPunct/>
        <w:topLinePunct w:val="0"/>
        <w:autoSpaceDE/>
        <w:autoSpaceDN/>
        <w:bidi w:val="0"/>
        <w:adjustRightInd/>
        <w:snapToGrid/>
        <w:spacing w:line="400" w:lineRule="exact"/>
        <w:ind w:firstLine="476"/>
        <w:textAlignment w:val="auto"/>
      </w:pPr>
      <w:r>
        <w:rPr>
          <w:rFonts w:hint="eastAsia"/>
        </w:rPr>
        <w:t>HPS教学理念的有效实施，依赖于高质量、高适配度的历史科学素材。结合本研究的教学设计立场，素材的选取并不以"趣味化"或"故事化"为首要标准，而是以能否为科学本质观的特定维度提供可分析的历史情境为核心依据。</w:t>
      </w:r>
    </w:p>
    <w:p w14:paraId="4F5D1FDB">
      <w:pPr>
        <w:keepNext w:val="0"/>
        <w:keepLines w:val="0"/>
        <w:pageBreakBefore w:val="0"/>
        <w:widowControl/>
        <w:kinsoku/>
        <w:wordWrap/>
        <w:overflowPunct/>
        <w:topLinePunct w:val="0"/>
        <w:autoSpaceDE/>
        <w:autoSpaceDN/>
        <w:bidi w:val="0"/>
        <w:adjustRightInd/>
        <w:snapToGrid/>
        <w:spacing w:line="400" w:lineRule="exact"/>
        <w:ind w:firstLine="476"/>
        <w:textAlignment w:val="auto"/>
      </w:pPr>
      <w:r>
        <w:rPr>
          <w:rFonts w:hint="eastAsia"/>
        </w:rPr>
        <w:t>在筛选原则上，本研究强调以下三点：</w:t>
      </w:r>
    </w:p>
    <w:p w14:paraId="429C0686">
      <w:pPr>
        <w:keepNext w:val="0"/>
        <w:keepLines w:val="0"/>
        <w:pageBreakBefore w:val="0"/>
        <w:widowControl/>
        <w:numPr>
          <w:ilvl w:val="0"/>
          <w:numId w:val="23"/>
        </w:numPr>
        <w:kinsoku/>
        <w:wordWrap/>
        <w:overflowPunct/>
        <w:topLinePunct w:val="0"/>
        <w:autoSpaceDE/>
        <w:autoSpaceDN/>
        <w:bidi w:val="0"/>
        <w:adjustRightInd/>
        <w:snapToGrid/>
        <w:spacing w:line="400" w:lineRule="exact"/>
        <w:ind w:firstLine="476"/>
        <w:textAlignment w:val="auto"/>
      </w:pPr>
      <w:r>
        <w:rPr>
          <w:rFonts w:hint="eastAsia"/>
        </w:rPr>
        <w:t>史料的"证据可见性"，即所选材料能够清晰呈现科学家形成判断的依据与推理过程，而非仅呈现结论本身，使学生有机会看到"证据如何支撑理论"的真实图景；</w:t>
      </w:r>
    </w:p>
    <w:p w14:paraId="76B32715">
      <w:pPr>
        <w:keepNext w:val="0"/>
        <w:keepLines w:val="0"/>
        <w:pageBreakBefore w:val="0"/>
        <w:widowControl/>
        <w:numPr>
          <w:ilvl w:val="0"/>
          <w:numId w:val="23"/>
        </w:numPr>
        <w:kinsoku/>
        <w:wordWrap/>
        <w:overflowPunct/>
        <w:topLinePunct w:val="0"/>
        <w:autoSpaceDE/>
        <w:autoSpaceDN/>
        <w:bidi w:val="0"/>
        <w:adjustRightInd/>
        <w:snapToGrid/>
        <w:spacing w:line="400" w:lineRule="exact"/>
        <w:ind w:firstLine="476"/>
        <w:textAlignment w:val="auto"/>
      </w:pPr>
      <w:r>
        <w:rPr>
          <w:rFonts w:hint="eastAsia"/>
        </w:rPr>
        <w:t>史料与科学本质维度的"对应明确性"，即在引入某段史料之前，教师需要清楚地判断它与科学本质的哪一维度关联最为直接，以便在教学过程中有针对性地引导学生进行提取与反思；</w:t>
      </w:r>
    </w:p>
    <w:p w14:paraId="51EF39C1">
      <w:pPr>
        <w:keepNext w:val="0"/>
        <w:keepLines w:val="0"/>
        <w:pageBreakBefore w:val="0"/>
        <w:widowControl/>
        <w:numPr>
          <w:ilvl w:val="0"/>
          <w:numId w:val="23"/>
        </w:numPr>
        <w:kinsoku/>
        <w:wordWrap/>
        <w:overflowPunct/>
        <w:topLinePunct w:val="0"/>
        <w:autoSpaceDE/>
        <w:autoSpaceDN/>
        <w:bidi w:val="0"/>
        <w:adjustRightInd/>
        <w:snapToGrid/>
        <w:spacing w:line="400" w:lineRule="exact"/>
        <w:ind w:firstLine="476"/>
        <w:textAlignment w:val="auto"/>
      </w:pPr>
      <w:r>
        <w:rPr>
          <w:rFonts w:hint="eastAsia"/>
        </w:rPr>
        <w:t>史料与教材内容的"学科契合性"，即所选史料应能与教学单元中的核心化学概念或原理形成有机联结，而非游离于知识学习之外。在此基础上，教师还需兼顾不同学生群体的已有知识基础，对史料的呈现深度与复杂程度加以灵活调整，避免因材料信息密度过高而削弱学生的参与意愿。</w:t>
      </w:r>
    </w:p>
    <w:p w14:paraId="158B3327">
      <w:pPr>
        <w:keepNext w:val="0"/>
        <w:keepLines w:val="0"/>
        <w:pageBreakBefore w:val="0"/>
        <w:widowControl/>
        <w:numPr>
          <w:ilvl w:val="0"/>
          <w:numId w:val="0"/>
        </w:numPr>
        <w:kinsoku/>
        <w:wordWrap/>
        <w:overflowPunct/>
        <w:topLinePunct w:val="0"/>
        <w:autoSpaceDE/>
        <w:autoSpaceDN/>
        <w:bidi w:val="0"/>
        <w:adjustRightInd/>
        <w:snapToGrid/>
        <w:spacing w:line="400" w:lineRule="exact"/>
        <w:textAlignment w:val="auto"/>
      </w:pPr>
    </w:p>
    <w:p w14:paraId="618774F5">
      <w:pPr>
        <w:pStyle w:val="5"/>
        <w:numPr>
          <w:ilvl w:val="1"/>
          <w:numId w:val="20"/>
        </w:numPr>
        <w:ind w:firstLine="0"/>
      </w:pPr>
      <w:r>
        <w:rPr>
          <w:rFonts w:hint="eastAsia"/>
        </w:rPr>
        <w:t>基于HPS教学理念的学习任务</w:t>
      </w:r>
    </w:p>
    <w:p w14:paraId="249EBEA9">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在HPS教学理念下，学习任务的设计不再是孤立的概念传授或机械的课后习题，而是转变为以问题解决为核心的驱动结构。为了将抽象的科学本质观（NOS）真正转化为课堂可操作、可落实的教学载体，本研究依托学习任务单的形式，将特定的化学史料和真实社会议题转化为驱动学生主动探究的实体化支架。在具体设计中，每一个学习任务均严格遵循“情境、角色、行为、知识、成果、育人价值”的六要素模型进行系统重构：通过创设高认知冲突的历史或社会情境，赋予学生明确的职业或历史角色，驱动其开展寻证、论证与决策等核心实践行为，并在调用化学本体知识解决核心问题的过程中，产出具体的任务成果。同时，这套学习任务单在顶层设计上精准对标刘健智科学本质观的三大维度，通过设计“科学理论危机与模型修正”、“科学证据获取与探究过程”以及“科学技术社会价值权衡与决策”三大核心任务，促使学生在解决具体科学危机的过程中，实现科学认识、科学过程与科学事业本质观的协同发展。具体设计框架如表</w:t>
      </w:r>
      <w:r>
        <w:rPr>
          <w:rFonts w:hint="eastAsia"/>
          <w:lang w:val="en-US" w:eastAsia="zh-CN"/>
        </w:rPr>
        <w:t>3</w:t>
      </w:r>
      <w:r>
        <w:rPr>
          <w:rFonts w:hint="eastAsia"/>
        </w:rPr>
        <w:t>-</w:t>
      </w:r>
      <w:r>
        <w:rPr>
          <w:rFonts w:hint="eastAsia"/>
          <w:lang w:val="en-US" w:eastAsia="zh-CN"/>
        </w:rPr>
        <w:t>2</w:t>
      </w:r>
      <w:r>
        <w:rPr>
          <w:rFonts w:hint="eastAsia"/>
        </w:rPr>
        <w:t>所示。</w:t>
      </w:r>
    </w:p>
    <w:p w14:paraId="79052332">
      <w:pPr>
        <w:ind w:firstLine="460" w:firstLineChars="200"/>
        <w:jc w:val="center"/>
        <w:rPr>
          <w:rFonts w:hint="eastAsia" w:ascii="宋体" w:hAnsi="宋体" w:cs="宋体"/>
          <w:color w:val="000000"/>
          <w:kern w:val="2"/>
          <w:szCs w:val="24"/>
        </w:rPr>
      </w:pPr>
      <w:r>
        <w:rPr>
          <w:rFonts w:hint="eastAsia" w:ascii="宋体" w:hAnsi="宋体" w:cs="宋体"/>
          <w:color w:val="000000"/>
          <w:kern w:val="2"/>
          <w:szCs w:val="24"/>
        </w:rPr>
        <w:t>表</w:t>
      </w:r>
      <w:r>
        <w:rPr>
          <w:rFonts w:hint="eastAsia" w:ascii="宋体" w:hAnsi="宋体" w:cs="宋体"/>
          <w:color w:val="000000"/>
          <w:kern w:val="2"/>
          <w:szCs w:val="24"/>
          <w:lang w:val="en-US" w:eastAsia="zh-CN"/>
        </w:rPr>
        <w:t>3</w:t>
      </w:r>
      <w:r>
        <w:rPr>
          <w:rFonts w:hint="eastAsia" w:ascii="宋体" w:hAnsi="宋体" w:cs="宋体"/>
          <w:color w:val="000000"/>
          <w:kern w:val="2"/>
          <w:szCs w:val="24"/>
        </w:rPr>
        <w:t>-</w:t>
      </w:r>
      <w:r>
        <w:rPr>
          <w:rFonts w:hint="eastAsia" w:ascii="宋体" w:hAnsi="宋体" w:cs="宋体"/>
          <w:color w:val="000000"/>
          <w:kern w:val="2"/>
          <w:szCs w:val="24"/>
          <w:lang w:val="en-US" w:eastAsia="zh-CN"/>
        </w:rPr>
        <w:t>2</w:t>
      </w:r>
      <w:r>
        <w:rPr>
          <w:rFonts w:hint="eastAsia" w:ascii="宋体" w:hAnsi="宋体" w:cs="宋体"/>
          <w:color w:val="000000"/>
          <w:kern w:val="2"/>
          <w:szCs w:val="24"/>
        </w:rPr>
        <w:t xml:space="preserve"> 基于HPS教学理念的高中化学科学本质观学习任务单</w:t>
      </w:r>
    </w:p>
    <w:tbl>
      <w:tblPr>
        <w:tblStyle w:val="19"/>
        <w:tblW w:w="1071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89"/>
        <w:gridCol w:w="1376"/>
        <w:gridCol w:w="1399"/>
        <w:gridCol w:w="1755"/>
        <w:gridCol w:w="1386"/>
        <w:gridCol w:w="1297"/>
        <w:gridCol w:w="1812"/>
      </w:tblGrid>
      <w:tr w14:paraId="23BE84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55243225">
            <w:pPr>
              <w:widowControl w:val="0"/>
              <w:snapToGrid w:val="0"/>
              <w:spacing w:line="240" w:lineRule="auto"/>
              <w:ind w:firstLine="0"/>
              <w:jc w:val="center"/>
              <w:rPr>
                <w:rFonts w:ascii="宋体"/>
                <w:b/>
              </w:rPr>
            </w:pPr>
            <w:r>
              <w:rPr>
                <w:rFonts w:hint="eastAsia" w:ascii="宋体" w:hAnsi="宋体" w:cs="宋体"/>
                <w:b/>
                <w:color w:val="000000"/>
                <w:kern w:val="2"/>
                <w:szCs w:val="24"/>
              </w:rPr>
              <w:t>学习任务</w:t>
            </w:r>
          </w:p>
        </w:tc>
        <w:tc>
          <w:tcPr>
            <w:tcW w:w="1376" w:type="dxa"/>
            <w:tcBorders>
              <w:top w:val="single" w:color="auto" w:sz="12" w:space="0"/>
              <w:left w:val="nil"/>
              <w:bottom w:val="nil"/>
              <w:right w:val="nil"/>
            </w:tcBorders>
            <w:tcMar>
              <w:top w:w="-1" w:type="dxa"/>
              <w:left w:w="-1" w:type="dxa"/>
              <w:bottom w:w="-1" w:type="dxa"/>
              <w:right w:w="-1" w:type="dxa"/>
            </w:tcMar>
            <w:vAlign w:val="center"/>
          </w:tcPr>
          <w:p w14:paraId="68A48E61">
            <w:pPr>
              <w:widowControl w:val="0"/>
              <w:snapToGrid w:val="0"/>
              <w:spacing w:line="240" w:lineRule="auto"/>
              <w:ind w:firstLine="0"/>
              <w:jc w:val="center"/>
              <w:rPr>
                <w:rFonts w:ascii="宋体"/>
                <w:b/>
              </w:rPr>
            </w:pPr>
            <w:r>
              <w:rPr>
                <w:rFonts w:hint="eastAsia" w:ascii="宋体" w:hAnsi="宋体" w:cs="宋体"/>
                <w:b/>
                <w:color w:val="000000"/>
                <w:kern w:val="2"/>
                <w:szCs w:val="24"/>
              </w:rPr>
              <w:t>驱动问题</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BF71062">
            <w:pPr>
              <w:widowControl w:val="0"/>
              <w:snapToGrid w:val="0"/>
              <w:spacing w:line="240" w:lineRule="auto"/>
              <w:ind w:firstLine="0"/>
              <w:jc w:val="center"/>
              <w:rPr>
                <w:rFonts w:ascii="宋体"/>
                <w:b/>
              </w:rPr>
            </w:pPr>
            <w:r>
              <w:rPr>
                <w:rFonts w:hint="eastAsia" w:ascii="宋体" w:hAnsi="宋体" w:cs="宋体"/>
                <w:b/>
                <w:color w:val="000000"/>
                <w:kern w:val="2"/>
                <w:szCs w:val="24"/>
              </w:rPr>
              <w:t>角色</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03C3DB8">
            <w:pPr>
              <w:widowControl w:val="0"/>
              <w:snapToGrid w:val="0"/>
              <w:spacing w:line="240" w:lineRule="auto"/>
              <w:ind w:firstLine="0"/>
              <w:jc w:val="center"/>
              <w:rPr>
                <w:rFonts w:ascii="宋体"/>
                <w:b/>
              </w:rPr>
            </w:pPr>
            <w:r>
              <w:rPr>
                <w:rFonts w:hint="eastAsia" w:ascii="宋体" w:hAnsi="宋体" w:cs="宋体"/>
                <w:b/>
                <w:color w:val="000000"/>
                <w:kern w:val="2"/>
                <w:szCs w:val="24"/>
              </w:rPr>
              <w:t>行为</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2188593">
            <w:pPr>
              <w:widowControl w:val="0"/>
              <w:snapToGrid w:val="0"/>
              <w:spacing w:line="240" w:lineRule="auto"/>
              <w:ind w:firstLine="0"/>
              <w:jc w:val="center"/>
              <w:rPr>
                <w:rFonts w:ascii="宋体"/>
                <w:b/>
              </w:rPr>
            </w:pPr>
            <w:r>
              <w:rPr>
                <w:rFonts w:hint="eastAsia" w:ascii="宋体" w:hAnsi="宋体" w:cs="宋体"/>
                <w:b/>
                <w:color w:val="000000"/>
                <w:kern w:val="2"/>
                <w:szCs w:val="24"/>
              </w:rPr>
              <w:t>知识</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1C9280D">
            <w:pPr>
              <w:widowControl w:val="0"/>
              <w:snapToGrid w:val="0"/>
              <w:spacing w:line="240" w:lineRule="auto"/>
              <w:ind w:firstLine="0"/>
              <w:jc w:val="center"/>
              <w:rPr>
                <w:rFonts w:ascii="宋体"/>
                <w:b/>
              </w:rPr>
            </w:pPr>
            <w:r>
              <w:rPr>
                <w:rFonts w:hint="eastAsia" w:ascii="宋体" w:hAnsi="宋体" w:cs="宋体"/>
                <w:b/>
                <w:color w:val="000000"/>
                <w:kern w:val="2"/>
                <w:szCs w:val="24"/>
              </w:rPr>
              <w:t>成果</w:t>
            </w:r>
          </w:p>
        </w:tc>
        <w:tc>
          <w:tcPr>
            <w:tcW w:w="1812" w:type="dxa"/>
            <w:tcBorders>
              <w:top w:val="single" w:color="auto" w:sz="12" w:space="0"/>
              <w:left w:val="nil"/>
              <w:bottom w:val="nil"/>
              <w:right w:val="nil"/>
            </w:tcBorders>
            <w:tcMar>
              <w:top w:w="-1" w:type="dxa"/>
              <w:left w:w="-1" w:type="dxa"/>
              <w:bottom w:w="-1" w:type="dxa"/>
              <w:right w:w="-1" w:type="dxa"/>
            </w:tcMar>
            <w:vAlign w:val="center"/>
          </w:tcPr>
          <w:p w14:paraId="5D1257C8">
            <w:pPr>
              <w:widowControl w:val="0"/>
              <w:snapToGrid w:val="0"/>
              <w:spacing w:line="240" w:lineRule="auto"/>
              <w:ind w:firstLine="0"/>
              <w:jc w:val="center"/>
              <w:rPr>
                <w:rFonts w:ascii="宋体"/>
                <w:b/>
              </w:rPr>
            </w:pPr>
            <w:r>
              <w:rPr>
                <w:rFonts w:hint="eastAsia" w:ascii="宋体" w:hAnsi="宋体" w:cs="宋体"/>
                <w:b/>
                <w:color w:val="000000"/>
                <w:kern w:val="2"/>
                <w:szCs w:val="24"/>
              </w:rPr>
              <w:t>育人价值</w:t>
            </w:r>
          </w:p>
        </w:tc>
      </w:tr>
      <w:tr w14:paraId="36F08D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EEB0B3C">
            <w:pPr>
              <w:widowControl w:val="0"/>
              <w:snapToGrid w:val="0"/>
              <w:spacing w:line="240" w:lineRule="auto"/>
              <w:ind w:firstLine="0"/>
              <w:jc w:val="center"/>
              <w:rPr>
                <w:rFonts w:ascii="宋体"/>
              </w:rPr>
            </w:pPr>
            <w:r>
              <w:rPr>
                <w:rFonts w:hint="eastAsia" w:ascii="宋体"/>
              </w:rPr>
              <w:t>基于“科学理论危机与模型修正”问题解决的学习任务</w:t>
            </w:r>
          </w:p>
        </w:tc>
        <w:tc>
          <w:tcPr>
            <w:tcW w:w="1376" w:type="dxa"/>
            <w:tcBorders>
              <w:top w:val="single" w:color="auto" w:sz="4" w:space="0"/>
              <w:left w:val="nil"/>
              <w:bottom w:val="nil"/>
              <w:right w:val="nil"/>
            </w:tcBorders>
            <w:tcMar>
              <w:top w:w="-1" w:type="dxa"/>
              <w:left w:w="-1" w:type="dxa"/>
              <w:bottom w:w="-1" w:type="dxa"/>
              <w:right w:w="-1" w:type="dxa"/>
            </w:tcMar>
            <w:vAlign w:val="center"/>
          </w:tcPr>
          <w:p w14:paraId="7A1ADB21">
            <w:pPr>
              <w:widowControl w:val="0"/>
              <w:snapToGrid w:val="0"/>
              <w:spacing w:line="240" w:lineRule="auto"/>
              <w:ind w:firstLine="0"/>
              <w:jc w:val="left"/>
              <w:rPr>
                <w:rFonts w:ascii="宋体"/>
              </w:rPr>
            </w:pPr>
            <w:r>
              <w:rPr>
                <w:rFonts w:hint="eastAsia" w:ascii="宋体"/>
              </w:rPr>
              <w:t>当既有化学理论或模型遭遇反常实验证据时，如何进行合理的修正与重构？</w:t>
            </w:r>
          </w:p>
        </w:tc>
        <w:tc>
          <w:tcPr>
            <w:tcW w:w="0" w:type="auto"/>
            <w:tcBorders>
              <w:top w:val="single" w:color="auto" w:sz="4" w:space="0"/>
              <w:left w:val="nil"/>
              <w:bottom w:val="nil"/>
              <w:right w:val="nil"/>
            </w:tcBorders>
            <w:tcMar>
              <w:top w:w="-1" w:type="dxa"/>
              <w:left w:w="-1" w:type="dxa"/>
              <w:bottom w:w="-1" w:type="dxa"/>
              <w:right w:w="-1" w:type="dxa"/>
            </w:tcMar>
            <w:vAlign w:val="center"/>
          </w:tcPr>
          <w:p w14:paraId="73557520">
            <w:pPr>
              <w:widowControl w:val="0"/>
              <w:snapToGrid w:val="0"/>
              <w:spacing w:line="240" w:lineRule="auto"/>
              <w:ind w:firstLine="0"/>
              <w:jc w:val="left"/>
              <w:rPr>
                <w:rFonts w:ascii="宋体"/>
              </w:rPr>
            </w:pPr>
            <w:r>
              <w:rPr>
                <w:rFonts w:hint="eastAsia" w:ascii="宋体"/>
              </w:rPr>
              <w:t>历史文献分析员与模型评估者</w:t>
            </w:r>
          </w:p>
        </w:tc>
        <w:tc>
          <w:tcPr>
            <w:tcW w:w="0" w:type="auto"/>
            <w:tcBorders>
              <w:top w:val="single" w:color="auto" w:sz="4" w:space="0"/>
              <w:left w:val="nil"/>
              <w:bottom w:val="nil"/>
              <w:right w:val="nil"/>
            </w:tcBorders>
            <w:tcMar>
              <w:top w:w="-1" w:type="dxa"/>
              <w:left w:w="-1" w:type="dxa"/>
              <w:bottom w:w="-1" w:type="dxa"/>
              <w:right w:w="-1" w:type="dxa"/>
            </w:tcMar>
            <w:vAlign w:val="center"/>
          </w:tcPr>
          <w:p w14:paraId="307B3B72">
            <w:pPr>
              <w:widowControl w:val="0"/>
              <w:snapToGrid w:val="0"/>
              <w:spacing w:line="240" w:lineRule="auto"/>
              <w:ind w:firstLine="0"/>
              <w:jc w:val="left"/>
              <w:rPr>
                <w:rFonts w:ascii="宋体"/>
              </w:rPr>
            </w:pPr>
            <w:r>
              <w:rPr>
                <w:rFonts w:hint="eastAsia" w:ascii="宋体"/>
              </w:rPr>
              <w:t>研读科学史中的冲突数据与资料，剖析旧模型的理论缺陷，运用化学原理解释反常现象并尝试修正模型。</w:t>
            </w:r>
          </w:p>
        </w:tc>
        <w:tc>
          <w:tcPr>
            <w:tcW w:w="0" w:type="auto"/>
            <w:tcBorders>
              <w:top w:val="single" w:color="auto" w:sz="4" w:space="0"/>
              <w:left w:val="nil"/>
              <w:bottom w:val="nil"/>
              <w:right w:val="nil"/>
            </w:tcBorders>
            <w:tcMar>
              <w:top w:w="-1" w:type="dxa"/>
              <w:left w:w="-1" w:type="dxa"/>
              <w:bottom w:w="-1" w:type="dxa"/>
              <w:right w:w="-1" w:type="dxa"/>
            </w:tcMar>
            <w:vAlign w:val="center"/>
          </w:tcPr>
          <w:p w14:paraId="02A450C5">
            <w:pPr>
              <w:widowControl w:val="0"/>
              <w:snapToGrid w:val="0"/>
              <w:spacing w:line="240" w:lineRule="auto"/>
              <w:ind w:firstLine="0"/>
              <w:jc w:val="left"/>
              <w:rPr>
                <w:rFonts w:ascii="宋体"/>
              </w:rPr>
            </w:pPr>
            <w:r>
              <w:rPr>
                <w:rFonts w:hint="eastAsia" w:ascii="宋体"/>
              </w:rPr>
              <w:t>化学核心概念演变历程、模型建构与科学修正的逻辑方法。</w:t>
            </w:r>
          </w:p>
        </w:tc>
        <w:tc>
          <w:tcPr>
            <w:tcW w:w="0" w:type="auto"/>
            <w:tcBorders>
              <w:top w:val="single" w:color="auto" w:sz="4" w:space="0"/>
              <w:left w:val="nil"/>
              <w:bottom w:val="nil"/>
              <w:right w:val="nil"/>
            </w:tcBorders>
            <w:tcMar>
              <w:top w:w="-1" w:type="dxa"/>
              <w:left w:w="-1" w:type="dxa"/>
              <w:bottom w:w="-1" w:type="dxa"/>
              <w:right w:w="-1" w:type="dxa"/>
            </w:tcMar>
            <w:vAlign w:val="center"/>
          </w:tcPr>
          <w:p w14:paraId="74BB4C90">
            <w:pPr>
              <w:widowControl w:val="0"/>
              <w:snapToGrid w:val="0"/>
              <w:spacing w:line="240" w:lineRule="auto"/>
              <w:ind w:firstLine="0"/>
              <w:jc w:val="left"/>
              <w:rPr>
                <w:rFonts w:ascii="宋体"/>
              </w:rPr>
            </w:pPr>
            <w:r>
              <w:rPr>
                <w:rFonts w:hint="eastAsia" w:ascii="宋体"/>
              </w:rPr>
              <w:t>科学概念演变脉络图 / 旧模型缺陷分析报告与修正后的模型草图。</w:t>
            </w:r>
          </w:p>
        </w:tc>
        <w:tc>
          <w:tcPr>
            <w:tcW w:w="1812" w:type="dxa"/>
            <w:tcBorders>
              <w:top w:val="single" w:color="auto" w:sz="4" w:space="0"/>
              <w:left w:val="nil"/>
              <w:bottom w:val="nil"/>
              <w:right w:val="nil"/>
            </w:tcBorders>
            <w:tcMar>
              <w:top w:w="-1" w:type="dxa"/>
              <w:left w:w="-1" w:type="dxa"/>
              <w:bottom w:w="-1" w:type="dxa"/>
              <w:right w:w="-1" w:type="dxa"/>
            </w:tcMar>
            <w:vAlign w:val="center"/>
          </w:tcPr>
          <w:p w14:paraId="50751697">
            <w:pPr>
              <w:widowControl w:val="0"/>
              <w:snapToGrid w:val="0"/>
              <w:spacing w:line="240" w:lineRule="auto"/>
              <w:ind w:firstLine="0"/>
              <w:jc w:val="left"/>
              <w:rPr>
                <w:rFonts w:ascii="宋体"/>
              </w:rPr>
            </w:pPr>
            <w:r>
              <w:rPr>
                <w:rFonts w:hint="eastAsia" w:ascii="宋体" w:hAnsi="宋体" w:cs="宋体"/>
                <w:color w:val="000000"/>
                <w:kern w:val="2"/>
                <w:szCs w:val="24"/>
              </w:rPr>
              <w:t>指向“科学认识本质观”维度，体会科学知识的暂定性、相对性与累积性特征。</w:t>
            </w:r>
          </w:p>
        </w:tc>
      </w:tr>
      <w:tr w14:paraId="05B370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56C72A4">
            <w:pPr>
              <w:widowControl w:val="0"/>
              <w:snapToGrid w:val="0"/>
              <w:spacing w:line="240" w:lineRule="auto"/>
              <w:ind w:firstLine="0"/>
              <w:jc w:val="center"/>
              <w:rPr>
                <w:rFonts w:ascii="宋体"/>
              </w:rPr>
            </w:pPr>
            <w:r>
              <w:rPr>
                <w:rFonts w:hint="eastAsia" w:ascii="宋体"/>
              </w:rPr>
              <w:t>基于“科学证据获取与探究过程”问题解决的学习任务</w:t>
            </w:r>
          </w:p>
        </w:tc>
        <w:tc>
          <w:tcPr>
            <w:tcW w:w="1376" w:type="dxa"/>
            <w:tcBorders>
              <w:top w:val="nil"/>
              <w:left w:val="nil"/>
              <w:bottom w:val="nil"/>
              <w:right w:val="nil"/>
            </w:tcBorders>
            <w:tcMar>
              <w:top w:w="-1" w:type="dxa"/>
              <w:left w:w="-1" w:type="dxa"/>
              <w:bottom w:w="-1" w:type="dxa"/>
              <w:right w:w="-1" w:type="dxa"/>
            </w:tcMar>
            <w:vAlign w:val="center"/>
          </w:tcPr>
          <w:p w14:paraId="6C76E474">
            <w:pPr>
              <w:widowControl w:val="0"/>
              <w:snapToGrid w:val="0"/>
              <w:spacing w:line="240" w:lineRule="auto"/>
              <w:ind w:firstLine="0"/>
              <w:jc w:val="left"/>
              <w:rPr>
                <w:rFonts w:ascii="宋体"/>
              </w:rPr>
            </w:pPr>
            <w:r>
              <w:rPr>
                <w:rFonts w:hint="eastAsia" w:ascii="宋体"/>
              </w:rPr>
              <w:t>在面对复杂的化学问题或不同学术观点的争议时，如何设计实验获取有效证据并进行科学论证？</w:t>
            </w:r>
          </w:p>
        </w:tc>
        <w:tc>
          <w:tcPr>
            <w:tcW w:w="0" w:type="auto"/>
            <w:tcBorders>
              <w:top w:val="nil"/>
              <w:left w:val="nil"/>
              <w:bottom w:val="nil"/>
              <w:right w:val="nil"/>
            </w:tcBorders>
            <w:tcMar>
              <w:top w:w="-1" w:type="dxa"/>
              <w:left w:w="-1" w:type="dxa"/>
              <w:bottom w:w="-1" w:type="dxa"/>
              <w:right w:w="-1" w:type="dxa"/>
            </w:tcMar>
            <w:vAlign w:val="center"/>
          </w:tcPr>
          <w:p w14:paraId="28271F0B">
            <w:pPr>
              <w:widowControl w:val="0"/>
              <w:snapToGrid w:val="0"/>
              <w:spacing w:line="240" w:lineRule="auto"/>
              <w:ind w:firstLine="0"/>
              <w:jc w:val="left"/>
              <w:rPr>
                <w:rFonts w:ascii="宋体"/>
              </w:rPr>
            </w:pPr>
            <w:r>
              <w:rPr>
                <w:rFonts w:ascii="宋体"/>
              </w:rPr>
              <w:t>实验方案设计者与证据论证者</w:t>
            </w:r>
          </w:p>
        </w:tc>
        <w:tc>
          <w:tcPr>
            <w:tcW w:w="0" w:type="auto"/>
            <w:tcBorders>
              <w:top w:val="nil"/>
              <w:left w:val="nil"/>
              <w:bottom w:val="nil"/>
              <w:right w:val="nil"/>
            </w:tcBorders>
            <w:tcMar>
              <w:top w:w="-1" w:type="dxa"/>
              <w:left w:w="-1" w:type="dxa"/>
              <w:bottom w:w="-1" w:type="dxa"/>
              <w:right w:w="-1" w:type="dxa"/>
            </w:tcMar>
            <w:vAlign w:val="center"/>
          </w:tcPr>
          <w:p w14:paraId="7FDEA7DB">
            <w:pPr>
              <w:widowControl w:val="0"/>
              <w:snapToGrid w:val="0"/>
              <w:spacing w:line="240" w:lineRule="auto"/>
              <w:ind w:firstLine="0"/>
              <w:jc w:val="left"/>
              <w:rPr>
                <w:rFonts w:ascii="宋体"/>
              </w:rPr>
            </w:pPr>
            <w:r>
              <w:rPr>
                <w:rFonts w:hint="eastAsia" w:ascii="宋体"/>
              </w:rPr>
              <w:t>控制实验变量设计验证方案，利用定性或定量分析方法收集关键证据，在交流分享中开展严密的科学辩论。</w:t>
            </w:r>
          </w:p>
        </w:tc>
        <w:tc>
          <w:tcPr>
            <w:tcW w:w="0" w:type="auto"/>
            <w:tcBorders>
              <w:top w:val="nil"/>
              <w:left w:val="nil"/>
              <w:bottom w:val="nil"/>
              <w:right w:val="nil"/>
            </w:tcBorders>
            <w:tcMar>
              <w:top w:w="-1" w:type="dxa"/>
              <w:left w:w="-1" w:type="dxa"/>
              <w:bottom w:w="-1" w:type="dxa"/>
              <w:right w:w="-1" w:type="dxa"/>
            </w:tcMar>
            <w:vAlign w:val="center"/>
          </w:tcPr>
          <w:p w14:paraId="1BDA8BF9">
            <w:pPr>
              <w:widowControl w:val="0"/>
              <w:snapToGrid w:val="0"/>
              <w:spacing w:line="240" w:lineRule="auto"/>
              <w:ind w:firstLine="0"/>
              <w:jc w:val="left"/>
              <w:rPr>
                <w:rFonts w:ascii="宋体"/>
              </w:rPr>
            </w:pPr>
            <w:r>
              <w:rPr>
                <w:rFonts w:hint="eastAsia" w:ascii="宋体" w:hAnsi="宋体" w:cs="宋体"/>
                <w:color w:val="000000"/>
                <w:kern w:val="2"/>
                <w:szCs w:val="24"/>
              </w:rPr>
              <w:t>化学实验设计原则、变量控制方法、科学论证结构与推演工具。</w:t>
            </w:r>
          </w:p>
        </w:tc>
        <w:tc>
          <w:tcPr>
            <w:tcW w:w="0" w:type="auto"/>
            <w:tcBorders>
              <w:top w:val="nil"/>
              <w:left w:val="nil"/>
              <w:bottom w:val="nil"/>
              <w:right w:val="nil"/>
            </w:tcBorders>
            <w:tcMar>
              <w:top w:w="-1" w:type="dxa"/>
              <w:left w:w="-1" w:type="dxa"/>
              <w:bottom w:w="-1" w:type="dxa"/>
              <w:right w:w="-1" w:type="dxa"/>
            </w:tcMar>
            <w:vAlign w:val="center"/>
          </w:tcPr>
          <w:p w14:paraId="2A389C69">
            <w:pPr>
              <w:widowControl w:val="0"/>
              <w:snapToGrid w:val="0"/>
              <w:spacing w:line="240" w:lineRule="auto"/>
              <w:ind w:firstLine="0"/>
              <w:jc w:val="left"/>
              <w:rPr>
                <w:rFonts w:ascii="宋体"/>
              </w:rPr>
            </w:pPr>
            <w:r>
              <w:rPr>
                <w:rFonts w:hint="eastAsia" w:ascii="宋体" w:hAnsi="宋体" w:cs="宋体"/>
                <w:color w:val="000000"/>
                <w:kern w:val="2"/>
                <w:szCs w:val="24"/>
              </w:rPr>
              <w:t>设计研究科学实验探究方案/ 展示科学研究结论。</w:t>
            </w:r>
          </w:p>
        </w:tc>
        <w:tc>
          <w:tcPr>
            <w:tcW w:w="1812" w:type="dxa"/>
            <w:tcBorders>
              <w:top w:val="nil"/>
              <w:left w:val="nil"/>
              <w:bottom w:val="nil"/>
              <w:right w:val="nil"/>
            </w:tcBorders>
            <w:tcMar>
              <w:top w:w="-1" w:type="dxa"/>
              <w:left w:w="-1" w:type="dxa"/>
              <w:bottom w:w="-1" w:type="dxa"/>
              <w:right w:w="-1" w:type="dxa"/>
            </w:tcMar>
            <w:vAlign w:val="center"/>
          </w:tcPr>
          <w:p w14:paraId="58D53086">
            <w:pPr>
              <w:widowControl w:val="0"/>
              <w:snapToGrid w:val="0"/>
              <w:spacing w:line="240" w:lineRule="auto"/>
              <w:ind w:firstLine="0"/>
              <w:jc w:val="left"/>
              <w:rPr>
                <w:rFonts w:ascii="宋体"/>
              </w:rPr>
            </w:pPr>
            <w:r>
              <w:rPr>
                <w:rFonts w:hint="eastAsia" w:ascii="宋体" w:hAnsi="宋体" w:cs="宋体"/>
                <w:color w:val="000000"/>
                <w:kern w:val="2"/>
                <w:szCs w:val="24"/>
              </w:rPr>
              <w:t>指向“科学过程本质观”维度，理解科学探究的实证性、创造性推理及非权威性。</w:t>
            </w:r>
          </w:p>
        </w:tc>
      </w:tr>
      <w:tr w14:paraId="793412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689" w:type="dxa"/>
            <w:tcBorders>
              <w:top w:val="nil"/>
              <w:left w:val="nil"/>
              <w:bottom w:val="single" w:color="auto" w:sz="12" w:space="0"/>
              <w:right w:val="nil"/>
            </w:tcBorders>
            <w:tcMar>
              <w:top w:w="-1" w:type="dxa"/>
              <w:left w:w="-1" w:type="dxa"/>
              <w:bottom w:w="-1" w:type="dxa"/>
              <w:right w:w="-1" w:type="dxa"/>
            </w:tcMar>
            <w:vAlign w:val="center"/>
          </w:tcPr>
          <w:p w14:paraId="4FEA0735">
            <w:pPr>
              <w:widowControl w:val="0"/>
              <w:snapToGrid w:val="0"/>
              <w:spacing w:line="240" w:lineRule="auto"/>
              <w:ind w:firstLine="0"/>
              <w:jc w:val="center"/>
              <w:rPr>
                <w:rFonts w:ascii="宋体"/>
              </w:rPr>
            </w:pPr>
            <w:r>
              <w:rPr>
                <w:rFonts w:hint="eastAsia" w:ascii="宋体"/>
              </w:rPr>
              <w:t>基于“科学技术社会价值权衡与决策”问题解决的学习任务</w:t>
            </w:r>
          </w:p>
        </w:tc>
        <w:tc>
          <w:tcPr>
            <w:tcW w:w="1376" w:type="dxa"/>
            <w:tcBorders>
              <w:top w:val="nil"/>
              <w:left w:val="nil"/>
              <w:bottom w:val="single" w:color="auto" w:sz="12" w:space="0"/>
              <w:right w:val="nil"/>
            </w:tcBorders>
            <w:tcMar>
              <w:top w:w="-1" w:type="dxa"/>
              <w:left w:w="-1" w:type="dxa"/>
              <w:bottom w:w="-1" w:type="dxa"/>
              <w:right w:w="-1" w:type="dxa"/>
            </w:tcMar>
            <w:vAlign w:val="center"/>
          </w:tcPr>
          <w:p w14:paraId="60236647">
            <w:pPr>
              <w:widowControl w:val="0"/>
              <w:snapToGrid w:val="0"/>
              <w:spacing w:line="240" w:lineRule="auto"/>
              <w:ind w:firstLine="0"/>
              <w:jc w:val="left"/>
              <w:rPr>
                <w:rFonts w:ascii="宋体"/>
              </w:rPr>
            </w:pPr>
            <w:r>
              <w:rPr>
                <w:rFonts w:hint="eastAsia" w:ascii="宋体"/>
              </w:rPr>
              <w:t>如何全面评估一项化学技术成果对人类社会与自然环境的多维影响，并做出理性的价值决策？</w:t>
            </w:r>
          </w:p>
        </w:tc>
        <w:tc>
          <w:tcPr>
            <w:tcW w:w="1399" w:type="dxa"/>
            <w:tcBorders>
              <w:top w:val="nil"/>
              <w:left w:val="nil"/>
              <w:bottom w:val="single" w:color="auto" w:sz="12" w:space="0"/>
              <w:right w:val="nil"/>
            </w:tcBorders>
            <w:tcMar>
              <w:top w:w="-1" w:type="dxa"/>
              <w:left w:w="-1" w:type="dxa"/>
              <w:bottom w:w="-1" w:type="dxa"/>
              <w:right w:w="-1" w:type="dxa"/>
            </w:tcMar>
            <w:vAlign w:val="center"/>
          </w:tcPr>
          <w:p w14:paraId="49178C75">
            <w:pPr>
              <w:widowControl w:val="0"/>
              <w:snapToGrid w:val="0"/>
              <w:spacing w:line="240" w:lineRule="auto"/>
              <w:ind w:firstLine="0"/>
              <w:jc w:val="left"/>
              <w:rPr>
                <w:rFonts w:ascii="宋体"/>
              </w:rPr>
            </w:pPr>
            <w:r>
              <w:rPr>
                <w:rFonts w:hint="eastAsia" w:ascii="宋体"/>
              </w:rPr>
              <w:t>行业不同利益相关方代表</w:t>
            </w:r>
          </w:p>
        </w:tc>
        <w:tc>
          <w:tcPr>
            <w:tcW w:w="1755" w:type="dxa"/>
            <w:tcBorders>
              <w:top w:val="nil"/>
              <w:left w:val="nil"/>
              <w:bottom w:val="single" w:color="auto" w:sz="12" w:space="0"/>
              <w:right w:val="nil"/>
            </w:tcBorders>
            <w:tcMar>
              <w:top w:w="-1" w:type="dxa"/>
              <w:left w:w="-1" w:type="dxa"/>
              <w:bottom w:w="-1" w:type="dxa"/>
              <w:right w:w="-1" w:type="dxa"/>
            </w:tcMar>
            <w:vAlign w:val="center"/>
          </w:tcPr>
          <w:p w14:paraId="2774361A">
            <w:pPr>
              <w:widowControl w:val="0"/>
              <w:snapToGrid w:val="0"/>
              <w:spacing w:line="240" w:lineRule="auto"/>
              <w:ind w:firstLine="0"/>
              <w:jc w:val="left"/>
              <w:rPr>
                <w:rFonts w:ascii="宋体"/>
              </w:rPr>
            </w:pPr>
            <w:r>
              <w:rPr>
                <w:rFonts w:hint="eastAsia" w:ascii="宋体"/>
              </w:rPr>
              <w:t>辩证分析实际工业技术的双刃剑效应，权衡经济效益、生态风险与伦理冲突，提出合理的解决建议。</w:t>
            </w:r>
          </w:p>
        </w:tc>
        <w:tc>
          <w:tcPr>
            <w:tcW w:w="1386" w:type="dxa"/>
            <w:tcBorders>
              <w:top w:val="nil"/>
              <w:left w:val="nil"/>
              <w:bottom w:val="single" w:color="auto" w:sz="12" w:space="0"/>
              <w:right w:val="nil"/>
            </w:tcBorders>
            <w:tcMar>
              <w:top w:w="-1" w:type="dxa"/>
              <w:left w:w="-1" w:type="dxa"/>
              <w:bottom w:w="-1" w:type="dxa"/>
              <w:right w:w="-1" w:type="dxa"/>
            </w:tcMar>
            <w:vAlign w:val="center"/>
          </w:tcPr>
          <w:p w14:paraId="304C55DE">
            <w:pPr>
              <w:widowControl w:val="0"/>
              <w:snapToGrid w:val="0"/>
              <w:spacing w:line="240" w:lineRule="auto"/>
              <w:ind w:firstLine="0"/>
              <w:jc w:val="left"/>
              <w:rPr>
                <w:rFonts w:ascii="宋体"/>
              </w:rPr>
            </w:pPr>
            <w:r>
              <w:rPr>
                <w:rFonts w:hint="eastAsia" w:ascii="宋体"/>
              </w:rPr>
              <w:t>化学原理的工业应用条件、STSE综合评估方法、辩证思维工具。</w:t>
            </w:r>
          </w:p>
        </w:tc>
        <w:tc>
          <w:tcPr>
            <w:tcW w:w="1297" w:type="dxa"/>
            <w:tcBorders>
              <w:top w:val="nil"/>
              <w:left w:val="nil"/>
              <w:bottom w:val="single" w:color="auto" w:sz="12" w:space="0"/>
              <w:right w:val="nil"/>
            </w:tcBorders>
            <w:tcMar>
              <w:top w:w="-1" w:type="dxa"/>
              <w:left w:w="-1" w:type="dxa"/>
              <w:bottom w:w="-1" w:type="dxa"/>
              <w:right w:w="-1" w:type="dxa"/>
            </w:tcMar>
            <w:vAlign w:val="center"/>
          </w:tcPr>
          <w:p w14:paraId="7B86F7FE">
            <w:pPr>
              <w:widowControl w:val="0"/>
              <w:snapToGrid w:val="0"/>
              <w:spacing w:line="240" w:lineRule="auto"/>
              <w:ind w:firstLine="0"/>
              <w:jc w:val="left"/>
              <w:rPr>
                <w:rFonts w:ascii="宋体"/>
              </w:rPr>
            </w:pPr>
            <w:r>
              <w:rPr>
                <w:rFonts w:hint="eastAsia" w:ascii="宋体"/>
              </w:rPr>
              <w:t>化学技术社会应用建议书 / 课堂模拟听证会多方观点摘要。</w:t>
            </w:r>
          </w:p>
        </w:tc>
        <w:tc>
          <w:tcPr>
            <w:tcW w:w="1812" w:type="dxa"/>
            <w:tcBorders>
              <w:top w:val="nil"/>
              <w:left w:val="nil"/>
              <w:bottom w:val="single" w:color="auto" w:sz="12" w:space="0"/>
              <w:right w:val="nil"/>
            </w:tcBorders>
            <w:tcMar>
              <w:top w:w="-1" w:type="dxa"/>
              <w:left w:w="-1" w:type="dxa"/>
              <w:bottom w:w="-1" w:type="dxa"/>
              <w:right w:w="-1" w:type="dxa"/>
            </w:tcMar>
            <w:vAlign w:val="center"/>
          </w:tcPr>
          <w:p w14:paraId="03E4BD05">
            <w:pPr>
              <w:widowControl w:val="0"/>
              <w:snapToGrid w:val="0"/>
              <w:spacing w:line="240" w:lineRule="auto"/>
              <w:ind w:firstLine="0"/>
              <w:jc w:val="left"/>
              <w:rPr>
                <w:rFonts w:ascii="宋体"/>
              </w:rPr>
            </w:pPr>
            <w:r>
              <w:rPr>
                <w:rFonts w:hint="eastAsia" w:ascii="宋体" w:hAnsi="宋体" w:cs="宋体"/>
                <w:color w:val="000000"/>
                <w:kern w:val="2"/>
                <w:szCs w:val="24"/>
              </w:rPr>
              <w:t>指向“科学事业本质观”维度，认识科学活动的社会文化属性、局限性及社会责任。</w:t>
            </w:r>
          </w:p>
        </w:tc>
      </w:tr>
    </w:tbl>
    <w:p w14:paraId="5DA74C81">
      <w:pPr>
        <w:pStyle w:val="5"/>
        <w:numPr>
          <w:ilvl w:val="1"/>
          <w:numId w:val="20"/>
        </w:numPr>
        <w:ind w:firstLine="0"/>
      </w:pPr>
      <w:r>
        <w:rPr>
          <w:rFonts w:hint="eastAsia"/>
        </w:rPr>
        <w:t>基于HPS教学理念下学习任务驱动的探究活动</w:t>
      </w:r>
    </w:p>
    <w:p w14:paraId="762EE1C7">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学习任务驱动的探究活动是落实HPS教学理念、建构科学本质观的关键环节。基于前述的三大学习任务，本研究在课堂实施中设计了相应的探究活动。这些活动旨在通过具体的化学史料与真实问题，引导学生在分析、实证与讨论中，切实促进科学本质观三个维度的发展。</w:t>
      </w:r>
    </w:p>
    <w:p w14:paraId="7F98853A">
      <w:pPr>
        <w:pStyle w:val="5"/>
        <w:numPr>
          <w:ilvl w:val="1"/>
          <w:numId w:val="24"/>
        </w:numPr>
      </w:pPr>
      <w:r>
        <w:rPr>
          <w:rFonts w:hint="eastAsia"/>
        </w:rPr>
        <w:t>围绕“科学理论危机与模型修正”的探究活动</w:t>
      </w:r>
    </w:p>
    <w:p w14:paraId="193BFEAE">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本活动主要承接第一项学习任务，对应学生科学知识本质观的培养。在教学实施中，教师首先展示与学生已有认知或旧有理论相冲突的历史实验事实及数据。学生以学习小组为单位，对这些“反常数据”进行研读，找出旧有模型的局限性与矛盾点。随后，教师提供必要的知识支架，引导学生尝试提出新的解释假设，并对旧模型进行修正或初步重构。通过这种“遇到矛盾—分析缺陷—修正模型”的真实课堂推演，学生能够直观感受到科学理论并非一成不变的绝对真理，而是随着新证据的出现不断被修正和发展的，从而深化对科学知识暂定性与累积性的理解。</w:t>
      </w:r>
    </w:p>
    <w:p w14:paraId="2DA60F63">
      <w:pPr>
        <w:pStyle w:val="5"/>
        <w:numPr>
          <w:ilvl w:val="1"/>
          <w:numId w:val="24"/>
        </w:numPr>
      </w:pPr>
      <w:r>
        <w:rPr>
          <w:rFonts w:hint="eastAsia"/>
        </w:rPr>
        <w:t>围绕“科学证据获取与探究过程”的探究活动</w:t>
      </w:r>
    </w:p>
    <w:p w14:paraId="56A908F4">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本活动主要承接第二项学习任务，对应学生科学探究本质观的培养。教学中，教师抛出特定的化学问题，要求学生查阅资料、设计实验方案或确定数据分析路径。学生通过真实的微型实验操作，或是对历史定量数据的计算推演，获取能够支持结论的核心证据。在各组得出初步结论后，教师组织班级内的汇报与讨论，要求学生“用证据说话”，解释化学现象并回应其他组同学的质疑。这一过程还原了科学探究中的实证要求，让学生在动手操作与逻辑辩论中明白：科学结论的确立必须依赖可靠的证据，且探究过程高度依赖创造性思维与同伴间的交流协作。</w:t>
      </w:r>
    </w:p>
    <w:p w14:paraId="2DC95720">
      <w:pPr>
        <w:pStyle w:val="5"/>
        <w:numPr>
          <w:ilvl w:val="1"/>
          <w:numId w:val="24"/>
        </w:numPr>
      </w:pPr>
      <w:r>
        <w:rPr>
          <w:rFonts w:hint="eastAsia"/>
        </w:rPr>
        <w:t>围绕“科学技术社会价值权衡与决策”的探究活动</w:t>
      </w:r>
    </w:p>
    <w:p w14:paraId="5E1BDAC7">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本活动主要承接第三项学习任务，对应学生科学事业本质观的培养。在化学核心概念的学习告一段落后，教师引入与该知识相关的真实STSE（科学、技术、社会、环境）议题，如某项化工生产（如合成氨、塑料制造等）带来的经济效益与环境污染矛盾。活动多采用课堂辩论或小组立场汇报的形式。学生基于课本内容与课外搜集的资料，从现实生活中的不同利益相关方视角出发，客观剖析该项化学技术的利与弊。在权衡与交流中，教师适时引导反思，使学生认识到科学技术在推动社会进步的同时也存在局限性，科学事业的发展始终受到社会经济、文化与伦理等多重现实因素的制约。</w:t>
      </w:r>
    </w:p>
    <w:p w14:paraId="109DC3AC">
      <w:pPr>
        <w:pStyle w:val="5"/>
        <w:numPr>
          <w:ilvl w:val="1"/>
          <w:numId w:val="20"/>
        </w:numPr>
        <w:ind w:firstLine="0"/>
      </w:pPr>
      <w:r>
        <w:rPr>
          <w:rFonts w:hint="eastAsia"/>
        </w:rPr>
        <w:t>建立指向科学本质观维度变化的评价机制</w:t>
      </w:r>
    </w:p>
    <w:p w14:paraId="0F685C94">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评价设计是本教学思路的重要组成部分，也是确保"学生科学本质观是否真正发生变化"这一问题能够得到可检验回答的关键机制。由于科学本质观兼具知识、探究与事业三个维度，且其变化难以通过单一的纸笔测验充分呈现，本研究主张采用"量化前后测与质性过程证据相结合"的评价设计。</w:t>
      </w:r>
    </w:p>
    <w:p w14:paraId="31B44AFF">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在量化评价层面，基于刘健智三维度量表修订而成的科学本质观测评工具，将分别在教学干预前后实施，通过维度得分的前后对比揭示学生在科学认识本质观、科学过程本质观与科学事业本质观三个方面的实质性变化，并采用配对样本T检验与协方差分析等统计手段保证结论的可靠性。在质性证据层面，则辅以抽样访谈、课堂讨论记录与学习作品分析，捕捉学生在具体化学史情境中形成认识转变的过程轨迹，为量化数据提供解释性支撑，从而使"为何变化、如何变化"的问题得到更为完整的回答。这种评价逻辑的建立，使教学设计不再仅停留于活动层面的设计，而是从一开始便将"科学本质观是否可测、如何测"纳入整体框架之中，形成"目标设定—教学实施—评价检验"的内在闭环。</w:t>
      </w:r>
    </w:p>
    <w:p w14:paraId="6CADD913">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综合本章的论述可以看出，整个教学框架的建构始终遵循着一条自上而下的逻辑线索。本章首先在理论依据部分厘清了 HPS教学理念与科学本质观各自的内涵，并进一步论证了二者之间的内在关联：HPS理念所涵盖的科学史、科学哲学与科学社会学三个维度，恰好与刘健智科学本质观量表中的科学认识、科学过程与科学事业三个维度形成逐一对应的逻辑映射。正是这一映射关系，为后续教学框架的搭建提供了根本依据——它既规定了教学目标应当显性化指向的科学本质维度，也为内容资源的筛选、学习任务的设计、探究活动的组织乃至评价工具的选择提供了统一的价值标准。</w:t>
      </w:r>
    </w:p>
    <w:p w14:paraId="646D8FD5">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在此基础上，本章顺次展开了"教学前期分析—明确科学本质观目标—HPS教学资源筛选—学习任务设计—探究活动实施—评价机制设计"六个环节，并将其纳入"计划—实施—反思—改进"的行动研究循环之中。需要强调的是，这六个环节并非经验性的简单拼接，而是由前述理论依据层层推导而来：HPS 理念作为一条主线贯穿其始终，使科学本质观的培养目标得以在每一环节中落地，并最终通过量表前后测与质性过程证据相结合的评价机制得到检验。</w:t>
      </w:r>
    </w:p>
    <w:p w14:paraId="5A33C7CD">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为完整呈现"理论依据—策略框架"之间的指导与生成关系，现将二者整合于同一框架之中，如图3-2所示。该图上半部分呈现本研究的理论依据及HPS教学理念与科学本质观的内在关联，下半部分呈现在此依据指导下展开的教学策略框架，二者以"理论指引"相贯通，共同构成了本研究 HPS 教学理念下高中化学科学本质观教学的理论框架，也为第四章的教学设计与第五章的课堂实践验证奠定了基础。</w:t>
      </w:r>
    </w:p>
    <w:p w14:paraId="0F84F31E">
      <w:pPr>
        <w:ind w:firstLine="0"/>
        <w:jc w:val="center"/>
      </w:pPr>
      <w:r>
        <w:drawing>
          <wp:inline distT="0" distB="0" distL="114300" distR="114300">
            <wp:extent cx="5140325" cy="3568065"/>
            <wp:effectExtent l="0" t="0" r="317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140325" cy="3568065"/>
                    </a:xfrm>
                    <a:prstGeom prst="rect">
                      <a:avLst/>
                    </a:prstGeom>
                    <a:noFill/>
                    <a:ln>
                      <a:noFill/>
                    </a:ln>
                  </pic:spPr>
                </pic:pic>
              </a:graphicData>
            </a:graphic>
          </wp:inline>
        </w:drawing>
      </w:r>
    </w:p>
    <w:p w14:paraId="7A6F9219">
      <w:pPr>
        <w:ind w:firstLine="460" w:firstLineChars="200"/>
        <w:jc w:val="center"/>
        <w:rPr>
          <w:rFonts w:hint="eastAsia" w:ascii="宋体" w:hAnsi="宋体" w:cs="宋体"/>
          <w:color w:val="000000"/>
          <w:kern w:val="2"/>
          <w:szCs w:val="24"/>
        </w:rPr>
      </w:pPr>
      <w:r>
        <w:rPr>
          <w:rFonts w:hint="eastAsia" w:ascii="宋体" w:hAnsi="宋体" w:cs="宋体"/>
          <w:color w:val="000000"/>
          <w:kern w:val="2"/>
          <w:szCs w:val="24"/>
        </w:rPr>
        <w:t>图3-2 HPS教学理念下高中化学科学本质观教学设计理论框架</w:t>
      </w:r>
    </w:p>
    <w:p w14:paraId="5A676EA4">
      <w:pPr>
        <w:pStyle w:val="2"/>
        <w:widowControl w:val="0"/>
        <w:numPr>
          <w:ilvl w:val="0"/>
          <w:numId w:val="17"/>
        </w:numPr>
        <w:jc w:val="both"/>
        <w:rPr>
          <w:rFonts w:hint="eastAsia" w:ascii="黑体" w:hAnsi="黑体" w:eastAsia="黑体" w:cs="黑体"/>
          <w:sz w:val="32"/>
          <w:szCs w:val="32"/>
        </w:rPr>
      </w:pPr>
      <w:r>
        <w:rPr>
          <w:rFonts w:hint="eastAsia" w:ascii="黑体" w:hAnsi="黑体" w:eastAsia="黑体" w:cs="黑体"/>
          <w:sz w:val="32"/>
          <w:szCs w:val="32"/>
        </w:rPr>
        <w:t>指向科学本质观的高中化学HPS教学案例设计与实施——以"苯"的教学为例</w:t>
      </w:r>
    </w:p>
    <w:p w14:paraId="6737D182">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eastAsia="宋体" w:cs="宋体"/>
        </w:rPr>
      </w:pPr>
      <w:r>
        <w:rPr>
          <w:rFonts w:hint="eastAsia" w:ascii="宋体" w:hAnsi="宋体" w:eastAsia="宋体" w:cs="宋体"/>
        </w:rPr>
        <w:t>本章依据第三章构建的“HPS教学理念下高中化学科学本质观教学设计理论框架”，选取人教版普通高中教科书化学必修第二册“有机化合物”模块中“苯”这一节作为教学案例，开展指向科学本质观的HPS教学设计与实施研究。</w:t>
      </w:r>
    </w:p>
    <w:p w14:paraId="0CF02E2D">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eastAsia="宋体"/>
          <w:lang w:eastAsia="zh-CN"/>
        </w:rPr>
      </w:pPr>
      <w:r>
        <w:rPr>
          <w:rFonts w:hint="eastAsia"/>
        </w:rPr>
        <w:t>选取“苯”作为教学载体，一方面在于苯分子结构的探索历程本身就是一部浓缩的科学发现史——从法拉第发现苯、凯库勒提出环状结构假说，到后续化学家依据实验证据不断质疑、修正这一模型，直至形成现代苯环结构的科学共识，这一历程完整呈现了科学知识“假设—检验—修正—共识”的生成脉络，为科学知识本质观、科学探究本质观与科学事业本质观的协同培育提供了天然的历史素材与问题情境</w:t>
      </w:r>
      <w:r>
        <w:rPr>
          <w:rFonts w:hint="eastAsia"/>
          <w:lang w:eastAsia="zh-CN"/>
        </w:rPr>
        <w:t>。</w:t>
      </w:r>
    </w:p>
    <w:p w14:paraId="528DB349">
      <w:pPr>
        <w:keepNext/>
        <w:keepLines w:val="0"/>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另一方面，既有研究已表明，“苯”作为必修阶段有机化合物学习的重要内容，兼具知识本身的基础性与史料的丰富性，是HPS教学理念在中学化学课堂中运用的典型课例</w:t>
      </w:r>
      <w:r>
        <w:rPr>
          <w:rStyle w:val="22"/>
          <w:rFonts w:hint="eastAsia"/>
        </w:rPr>
        <w:footnoteReference w:id="58"/>
      </w:r>
      <w:r>
        <w:rPr>
          <w:rFonts w:hint="eastAsia"/>
        </w:rPr>
        <w:t>，便于在常规课时内实现HPS理念与学科教学的深度融合，也有利于与本研究第三章构建的理论框架形成呼应与检验。</w:t>
      </w:r>
    </w:p>
    <w:p w14:paraId="3BA07255">
      <w:pPr>
        <w:keepNext/>
        <w:keepLines w:val="0"/>
        <w:pageBreakBefore w:val="0"/>
        <w:widowControl w:val="0"/>
        <w:kinsoku/>
        <w:wordWrap/>
        <w:overflowPunct/>
        <w:topLinePunct w:val="0"/>
        <w:autoSpaceDE/>
        <w:autoSpaceDN/>
        <w:bidi w:val="0"/>
        <w:adjustRightInd/>
        <w:snapToGrid/>
        <w:ind w:firstLine="476"/>
        <w:jc w:val="both"/>
        <w:textAlignment w:val="auto"/>
        <w:rPr>
          <w:rFonts w:hint="eastAsia"/>
        </w:rPr>
      </w:pPr>
      <w:r>
        <w:rPr>
          <w:rFonts w:hint="eastAsia"/>
        </w:rPr>
        <w:t>本章遵循“课标—教材—学情”的教学前期分析思路，结合科学本质观培养目标与HPS教学资源的筛选原则，围绕“科学理论危机与模型修正”“科学证据获取与探究过程”“科学技术社会价值权衡与决策”三大学习任务展开教学设计，并配套建立指向科学本质观维度变化的评价机制，形成“前期分析—目标设计—内容整合—任务实施—评价反馈”环环相扣的教学案例，为课堂实践检验奠定基础。</w:t>
      </w:r>
    </w:p>
    <w:p w14:paraId="1FE431BE">
      <w:pPr>
        <w:pStyle w:val="2"/>
        <w:keepNext/>
        <w:keepLines w:val="0"/>
        <w:pageBreakBefore w:val="0"/>
        <w:widowControl w:val="0"/>
        <w:numPr>
          <w:ilvl w:val="1"/>
          <w:numId w:val="25"/>
        </w:numPr>
        <w:kinsoku/>
        <w:wordWrap/>
        <w:overflowPunct/>
        <w:topLinePunct w:val="0"/>
        <w:autoSpaceDE/>
        <w:autoSpaceDN/>
        <w:bidi w:val="0"/>
        <w:adjustRightInd/>
        <w:snapToGrid/>
        <w:jc w:val="center"/>
        <w:textAlignment w:val="auto"/>
        <w:rPr>
          <w:rFonts w:hint="eastAsia"/>
        </w:rPr>
      </w:pPr>
      <w:r>
        <w:rPr>
          <w:rFonts w:hint="eastAsia"/>
        </w:rPr>
        <w:t>基于“课标—教材—学情”的教学前期分析</w:t>
      </w:r>
    </w:p>
    <w:p w14:paraId="5A8C48C9">
      <w:pPr>
        <w:pStyle w:val="5"/>
        <w:keepNext/>
        <w:keepLines w:val="0"/>
        <w:pageBreakBefore w:val="0"/>
        <w:widowControl w:val="0"/>
        <w:numPr>
          <w:ilvl w:val="1"/>
          <w:numId w:val="26"/>
        </w:numPr>
        <w:kinsoku/>
        <w:wordWrap/>
        <w:overflowPunct/>
        <w:topLinePunct w:val="0"/>
        <w:autoSpaceDE/>
        <w:autoSpaceDN/>
        <w:bidi w:val="0"/>
        <w:adjustRightInd/>
        <w:snapToGrid/>
        <w:ind w:firstLine="0"/>
        <w:textAlignment w:val="auto"/>
        <w:rPr>
          <w:rFonts w:hint="eastAsia"/>
          <w:highlight w:val="none"/>
        </w:rPr>
      </w:pPr>
      <w:r>
        <w:rPr>
          <w:rFonts w:hint="eastAsia"/>
          <w:highlight w:val="none"/>
        </w:rPr>
        <w:t>课程标准分析</w:t>
      </w:r>
      <w:r>
        <w:rPr>
          <w:rFonts w:hint="eastAsia"/>
          <w:highlight w:val="none"/>
          <w:lang w:val="en-US" w:eastAsia="zh-CN"/>
        </w:rPr>
        <w:t xml:space="preserve"> </w:t>
      </w:r>
    </w:p>
    <w:p w14:paraId="58944ED3">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eastAsia="宋体" w:cs="宋体"/>
        </w:rPr>
      </w:pPr>
      <w:r>
        <w:rPr>
          <w:rFonts w:hint="eastAsia" w:ascii="宋体" w:hAnsi="宋体" w:cs="宋体"/>
          <w:lang w:val="en-US" w:eastAsia="zh-CN"/>
        </w:rPr>
        <w:t>本文</w:t>
      </w:r>
      <w:r>
        <w:rPr>
          <w:rFonts w:hint="eastAsia" w:ascii="宋体" w:hAnsi="宋体" w:eastAsia="宋体" w:cs="宋体"/>
        </w:rPr>
        <w:t>第三章</w:t>
      </w:r>
      <w:r>
        <w:rPr>
          <w:rFonts w:hint="eastAsia" w:ascii="宋体" w:hAnsi="宋体" w:cs="宋体"/>
          <w:lang w:val="en-US" w:eastAsia="zh-CN"/>
        </w:rPr>
        <w:t>第一节</w:t>
      </w:r>
      <w:r>
        <w:rPr>
          <w:rFonts w:hint="eastAsia" w:ascii="宋体" w:hAnsi="宋体" w:eastAsia="宋体" w:cs="宋体"/>
        </w:rPr>
        <w:t>“基于HPS素养维度分析课程标准”</w:t>
      </w:r>
      <w:r>
        <w:rPr>
          <w:rFonts w:hint="eastAsia" w:ascii="宋体" w:hAnsi="宋体" w:cs="宋体"/>
          <w:lang w:eastAsia="zh-CN"/>
        </w:rPr>
        <w:t>，</w:t>
      </w:r>
      <w:r>
        <w:rPr>
          <w:rFonts w:hint="eastAsia" w:ascii="宋体" w:hAnsi="宋体" w:eastAsia="宋体" w:cs="宋体"/>
        </w:rPr>
        <w:t>已从课程理念、核心素养、内容与情境素材、教学建议四个层面，论证了《普通高中化学课程标准（2017年版2020年修订）》</w:t>
      </w:r>
      <w:r>
        <w:rPr>
          <w:rFonts w:hint="eastAsia" w:ascii="宋体" w:hAnsi="宋体" w:eastAsia="宋体" w:cs="宋体"/>
          <w:vertAlign w:val="superscript"/>
        </w:rPr>
        <w:footnoteReference w:id="59"/>
      </w:r>
      <w:r>
        <w:rPr>
          <w:rFonts w:hint="eastAsia" w:ascii="宋体" w:hAnsi="宋体" w:eastAsia="宋体" w:cs="宋体"/>
        </w:rPr>
        <w:t>与HPS教学理念、科学本质观培养目标之间的整体适配性。本节循此分析框架，进一步聚焦到“苯”这一具体教学内容，逐一考察课程标准在各层面的要求如何在苯分子结构探索史这一教学案例中获得具体、可操作的落点，而不再另立分析体系。</w:t>
      </w:r>
    </w:p>
    <w:p w14:paraId="453D673B">
      <w:pPr>
        <w:pStyle w:val="5"/>
        <w:numPr>
          <w:ilvl w:val="1"/>
          <w:numId w:val="27"/>
        </w:numPr>
        <w:rPr>
          <w:rFonts w:hint="eastAsia"/>
        </w:rPr>
      </w:pPr>
      <w:r>
        <w:rPr>
          <w:rFonts w:hint="eastAsia"/>
        </w:rPr>
        <w:t>课程理念</w:t>
      </w:r>
      <w:r>
        <w:rPr>
          <w:rFonts w:hint="eastAsia"/>
          <w:lang w:val="en-US" w:eastAsia="zh-CN"/>
        </w:rPr>
        <w:t>分析</w:t>
      </w:r>
    </w:p>
    <w:p w14:paraId="40DAE7E1">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eastAsia="宋体" w:cs="宋体"/>
        </w:rPr>
      </w:pPr>
      <w:r>
        <w:rPr>
          <w:rFonts w:hint="eastAsia" w:ascii="宋体" w:hAnsi="宋体" w:eastAsia="宋体" w:cs="宋体"/>
        </w:rPr>
        <w:t>课程标准强调应结合人类探索物质及其变化的历史组织教学，并倡导引导学生关注与化学相关的社会性问题，这正是第三章所论证的“课改诉求”在课程理念层面的具体表述。苯分子结构自其分子式确定之日起，历经“认知冲突—凯库勒假说提出—反常证据质疑—现代模型确立”的完整历史进程，同时其工业应用与职业危害又天然构成了真实的化学与社会议题。“历史”与“社会生活实际”这两条课程标准所倡导的主线，能够在苯这一节课中由同一物质、同一课时统一承载，这是本设计选取“苯”作为教学案例的重要依据之一。</w:t>
      </w:r>
    </w:p>
    <w:p w14:paraId="24C2C8D7">
      <w:pPr>
        <w:pStyle w:val="5"/>
        <w:numPr>
          <w:ilvl w:val="1"/>
          <w:numId w:val="27"/>
        </w:numPr>
        <w:rPr>
          <w:rFonts w:hint="eastAsia"/>
        </w:rPr>
      </w:pPr>
      <w:r>
        <w:rPr>
          <w:rFonts w:hint="eastAsia"/>
        </w:rPr>
        <w:t>核心素养</w:t>
      </w:r>
      <w:r>
        <w:rPr>
          <w:rFonts w:hint="eastAsia"/>
          <w:lang w:val="en-US" w:eastAsia="zh-CN"/>
        </w:rPr>
        <w:t>契合性分析</w:t>
      </w:r>
    </w:p>
    <w:p w14:paraId="2D884F48">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eastAsia="宋体" w:cs="宋体"/>
        </w:rPr>
      </w:pPr>
      <w:r>
        <w:rPr>
          <w:rFonts w:hint="eastAsia" w:ascii="宋体" w:hAnsi="宋体" w:eastAsia="宋体" w:cs="宋体"/>
        </w:rPr>
        <w:t>第三章已经论证，课程标准所设定的核心素养与科学本质观三大维度之间存在深度契合：“证据推理与模型认知”对应科学知识的实证性与暂定性，“科学探究与创新意识”对应科学探究的创造性与非权威性，“科学态度与社会责任”对应科学事业的社会文化属性。本设计将这一较为概括的对应关系，进一步具体化为“苯”教学案例中的三条</w:t>
      </w:r>
      <w:r>
        <w:rPr>
          <w:rFonts w:hint="eastAsia" w:ascii="宋体" w:hAnsi="宋体" w:cs="宋体"/>
          <w:lang w:val="en-US" w:eastAsia="zh-CN"/>
        </w:rPr>
        <w:t>学习</w:t>
      </w:r>
      <w:r>
        <w:rPr>
          <w:rFonts w:hint="eastAsia" w:ascii="宋体" w:hAnsi="宋体" w:eastAsia="宋体" w:cs="宋体"/>
        </w:rPr>
        <w:t>任务主线：</w:t>
      </w:r>
    </w:p>
    <w:p w14:paraId="4C1D1258">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eastAsia="宋体" w:cs="宋体"/>
        </w:rPr>
      </w:pPr>
      <w:r>
        <w:rPr>
          <w:rFonts w:hint="eastAsia" w:ascii="宋体" w:hAnsi="宋体" w:eastAsia="宋体" w:cs="宋体"/>
        </w:rPr>
        <w:t>其一，苯分子结构由凯库勒式向现代苯环结构的修正过程，直接承载“证据推理与模型认知”素养，构成“科学理论危机与模型修正”学习任务的课标依据；</w:t>
      </w:r>
    </w:p>
    <w:p w14:paraId="2ABB72E2">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eastAsia="宋体" w:cs="宋体"/>
        </w:rPr>
      </w:pPr>
      <w:r>
        <w:rPr>
          <w:rFonts w:hint="eastAsia" w:ascii="宋体" w:hAnsi="宋体" w:eastAsia="宋体" w:cs="宋体"/>
        </w:rPr>
        <w:t>其二，围绕苯环中是否存在典型碳碳双键所展开的实验设计与证据论证，直接承载“科学探究与创新意识”素养，构成“科学证据获取与探究过程”学习任务的课标依据；</w:t>
      </w:r>
    </w:p>
    <w:p w14:paraId="4E4EDAF5">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eastAsia="宋体" w:cs="宋体"/>
        </w:rPr>
      </w:pPr>
      <w:r>
        <w:rPr>
          <w:rFonts w:hint="eastAsia" w:ascii="宋体" w:hAnsi="宋体" w:eastAsia="宋体" w:cs="宋体"/>
        </w:rPr>
        <w:t>其三，苯的工业价值与毒性危害之间的现实张力，直接承载“科学态度与社会责任”素养，构成“科学技术社会价值权衡与决策”学习任务的课标依据。至此，第三章中较为宏观的“核心素养—科学本质观”映射关系，在“苯”这一具体课例中转化为三条可实施、可评价的任务化落点。</w:t>
      </w:r>
    </w:p>
    <w:p w14:paraId="4275FB03">
      <w:pPr>
        <w:pStyle w:val="5"/>
        <w:numPr>
          <w:ilvl w:val="1"/>
          <w:numId w:val="27"/>
        </w:numPr>
        <w:rPr>
          <w:rFonts w:hint="eastAsia"/>
        </w:rPr>
      </w:pPr>
      <w:r>
        <w:rPr>
          <w:rFonts w:hint="eastAsia"/>
        </w:rPr>
        <w:t>内容与情境素材</w:t>
      </w:r>
      <w:r>
        <w:rPr>
          <w:rFonts w:hint="eastAsia"/>
          <w:lang w:val="en-US" w:eastAsia="zh-CN"/>
        </w:rPr>
        <w:t>分析</w:t>
      </w:r>
    </w:p>
    <w:p w14:paraId="7414B7B1">
      <w:pPr>
        <w:keepNext w:val="0"/>
        <w:keepLines w:val="0"/>
        <w:pageBreakBefore w:val="0"/>
        <w:widowControl/>
        <w:kinsoku/>
        <w:wordWrap/>
        <w:overflowPunct/>
        <w:topLinePunct w:val="0"/>
        <w:autoSpaceDE/>
        <w:autoSpaceDN/>
        <w:bidi w:val="0"/>
        <w:adjustRightInd/>
        <w:snapToGrid/>
        <w:spacing w:line="400" w:lineRule="exact"/>
        <w:ind w:firstLine="476"/>
        <w:jc w:val="both"/>
        <w:textAlignment w:val="auto"/>
        <w:rPr>
          <w:rFonts w:hint="eastAsia" w:ascii="宋体" w:hAnsi="宋体" w:eastAsia="宋体" w:cs="宋体"/>
        </w:rPr>
      </w:pPr>
      <w:r>
        <w:rPr>
          <w:rFonts w:hint="eastAsia" w:ascii="宋体" w:hAnsi="宋体" w:eastAsia="宋体" w:cs="宋体"/>
        </w:rPr>
        <w:t>课程标准将科学探究过程列入内容要求，并倡导选用能够呈现知识生成与修正过程的史料、真实的科学技术社会议题作为情境素材，这也正是第三章理论框架中“以化学史为主线的HPS教学资源筛选原则”（证据可见性、对应明确性、学科契合性）得以提出的政策依据。苯分子结构探索史完整呈现了“提出假设—遭遇反常证据—修正模型”的知识生成脉络，证据链条清晰、可讨论性强；苯的工业应用与职业危害又是现实存在、可查证的科学技术社会议题。二者共同满足了课程标准对情境素材“真实性”与“过程性”的要求，也使第三章所提出的资源筛选原则在“苯”这一课例中有了具体、可辨识的落地对象，而非停留于抽象标准。</w:t>
      </w:r>
    </w:p>
    <w:p w14:paraId="5663537E">
      <w:pPr>
        <w:pStyle w:val="5"/>
        <w:numPr>
          <w:ilvl w:val="1"/>
          <w:numId w:val="27"/>
        </w:numPr>
        <w:rPr>
          <w:rFonts w:hint="eastAsia"/>
        </w:rPr>
      </w:pPr>
      <w:r>
        <w:rPr>
          <w:rFonts w:hint="eastAsia"/>
        </w:rPr>
        <w:t>教学建议</w:t>
      </w:r>
      <w:r>
        <w:rPr>
          <w:rFonts w:hint="eastAsia"/>
          <w:lang w:val="en-US" w:eastAsia="zh-CN"/>
        </w:rPr>
        <w:t>分析</w:t>
      </w:r>
    </w:p>
    <w:p w14:paraId="5BC55518">
      <w:pPr>
        <w:keepNext/>
        <w:keepLines w:val="0"/>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ascii="宋体" w:hAnsi="宋体" w:eastAsia="宋体" w:cs="宋体"/>
        </w:rPr>
      </w:pPr>
      <w:r>
        <w:rPr>
          <w:rFonts w:hint="eastAsia" w:ascii="宋体" w:hAnsi="宋体" w:eastAsia="宋体" w:cs="宋体"/>
        </w:rPr>
        <w:t>课程标准倡导依托真实探究问题，鼓励学生通过文献查阅、实验探究与讨论交流经历知识形成的过程，这与第三章所概括的HPS教学“问题提出—史料分析—证据检验—显性反思”实施流程相吻合。本设计据此将“苯”教学案例的三大学习任务，均设计为包含驱动问题、探究行为、成果产出与育人价值反思在内的完整任务单结构，使教学建议层面较为原则性的政策导向，转化为第四节可直接实施的课堂任务结构，避免理论环节与教学实施环节相互脱节。</w:t>
      </w:r>
    </w:p>
    <w:p w14:paraId="16E29827">
      <w:pPr>
        <w:keepNext/>
        <w:keepLines w:val="0"/>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ascii="宋体" w:hAnsi="宋体" w:eastAsia="宋体" w:cs="宋体"/>
        </w:rPr>
      </w:pPr>
      <w:r>
        <w:rPr>
          <w:rFonts w:hint="eastAsia" w:ascii="宋体" w:hAnsi="宋体" w:eastAsia="宋体" w:cs="宋体"/>
        </w:rPr>
        <w:t>综上，课程标准从课程理念、核心素养、内容素材到教学建议四个层面的要求，与第三章所构建的HPS教学理念与科学本质观教学设计理论框架具有严密的对应关系；而“苯”这一教学内容，恰好能够在同一课时中将这四个层面的要求同时转化为具体、可操作的学习任务。这既是本节课程标准分析区别于泛泛罗列课标条目的关键所在，也再次印证了第三章理论框架在具体课例开发中的可迁移性与可操作性。</w:t>
      </w:r>
    </w:p>
    <w:p w14:paraId="63EDDBD6">
      <w:pPr>
        <w:pStyle w:val="5"/>
        <w:keepNext/>
        <w:keepLines w:val="0"/>
        <w:pageBreakBefore w:val="0"/>
        <w:widowControl w:val="0"/>
        <w:numPr>
          <w:ilvl w:val="1"/>
          <w:numId w:val="26"/>
        </w:numPr>
        <w:kinsoku/>
        <w:wordWrap/>
        <w:overflowPunct/>
        <w:topLinePunct w:val="0"/>
        <w:autoSpaceDE/>
        <w:autoSpaceDN/>
        <w:bidi w:val="0"/>
        <w:adjustRightInd/>
        <w:snapToGrid/>
        <w:ind w:firstLine="0"/>
        <w:textAlignment w:val="auto"/>
        <w:rPr>
          <w:rFonts w:hint="eastAsia"/>
        </w:rPr>
      </w:pPr>
      <w:r>
        <w:rPr>
          <w:rFonts w:hint="eastAsia"/>
        </w:rPr>
        <w:t>教材分析</w:t>
      </w:r>
    </w:p>
    <w:p w14:paraId="7324607E">
      <w:pPr>
        <w:keepNext/>
        <w:keepLines w:val="0"/>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人教版普通高中教科书化学必修第二册“有机化合物”模块中，苯与甲烷、乙烯并列，是学生认识烃类物质“结构决定性质”这一核心观念的重要节点，也是学生系统接触芳香族化合物的起点。教材对苯的呈现，通常涵盖苯的物理性质、组成与分子式、结构式（凯库勒式）的历史沿革，以及苯的化学性质（燃烧反应、与溴的取代反应、与浓硝酸的取代反应等），并在“资料卡片”“科学·技术·社会”等栏目中穿插介绍苯的工业价值与安全使用常识。</w:t>
      </w:r>
    </w:p>
    <w:p w14:paraId="26359B7F">
      <w:pPr>
        <w:keepNext/>
        <w:keepLines w:val="0"/>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从HPS维度对教材内容进行分析，可以发现其与科学本质观三大维度存在如下内在关联：</w:t>
      </w:r>
    </w:p>
    <w:p w14:paraId="238D0EB6">
      <w:pPr>
        <w:keepNext/>
        <w:keepLines w:val="0"/>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其一，在科学知识维度上，教材通过呈现“凯库勒式”这一历史结构模型，隐含了科学知识是随实验证据不断修正的特征。但教材通常仅以简短的资料性文字提及凯库勒式的历史，对其后续被质疑、修正的曲折过程</w:t>
      </w:r>
      <w:r>
        <w:rPr>
          <w:rFonts w:hint="eastAsia"/>
          <w:lang w:val="en-US" w:eastAsia="zh-CN"/>
        </w:rPr>
        <w:t>提及</w:t>
      </w:r>
      <w:r>
        <w:rPr>
          <w:rFonts w:hint="eastAsia"/>
        </w:rPr>
        <w:t>甚少，科学知识“暂定性”“累积性”的教育价值</w:t>
      </w:r>
      <w:r>
        <w:rPr>
          <w:rFonts w:hint="eastAsia"/>
          <w:lang w:val="en-US" w:eastAsia="zh-CN"/>
        </w:rPr>
        <w:t>没有明显体现</w:t>
      </w:r>
      <w:r>
        <w:rPr>
          <w:rFonts w:hint="eastAsia"/>
        </w:rPr>
        <w:t>。</w:t>
      </w:r>
    </w:p>
    <w:p w14:paraId="4D51095C">
      <w:pPr>
        <w:keepNext/>
        <w:keepLines w:val="0"/>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其二，在科学过程维度上，教材安排了苯与溴水、酸性高锰酸钾溶液反应的实验事实，用以论证苯环结构不同于典型的碳碳双键结构，这一编排本身即蕴含了“实证性”的探究逻辑。但教材通常直接给出结论性描述，较少引导学生像化学家一样经历“提出假设—寻找证据—修正认识”的完整探究过程，科学探究本质观的培养缺乏显性任务支撑。</w:t>
      </w:r>
    </w:p>
    <w:p w14:paraId="6A8ABB7C">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其三，在科学事业维度上，教材在相关栏目中会涉及苯的工业价值及其毒性、致癌性、安全生产要求等内容，为科学与社会、科学与技术关系的讨论提供了素材来源，但这些内容呈现较为零散，未能与苯分子结构本身的学习形成有机联结，科学事业本质观的渗透较为薄弱。</w:t>
      </w:r>
    </w:p>
    <w:p w14:paraId="647511C0">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由此可见，现行教材虽已蕴含较为丰富的HPS素材，但整体呈现方式较为“点缀式”，科学本质观的培养目标依附于知识讲授过程，缺乏显性的问题链条与反思环节支撑。这也构成了本教学设计的</w:t>
      </w:r>
      <w:r>
        <w:rPr>
          <w:rFonts w:hint="eastAsia"/>
          <w:lang w:val="en-US" w:eastAsia="zh-CN"/>
        </w:rPr>
        <w:t>现实动机</w:t>
      </w:r>
      <w:r>
        <w:rPr>
          <w:rFonts w:hint="eastAsia"/>
        </w:rPr>
        <w:t>科学探究本质观与科学事业本质观协同发展的完整教学链条，实现“教材核心知识+HPS史料”的深度融合。</w:t>
      </w:r>
    </w:p>
    <w:p w14:paraId="14908BA5">
      <w:pPr>
        <w:pStyle w:val="5"/>
        <w:keepNext/>
        <w:keepLines/>
        <w:pageBreakBefore w:val="0"/>
        <w:widowControl w:val="0"/>
        <w:numPr>
          <w:ilvl w:val="1"/>
          <w:numId w:val="26"/>
        </w:numPr>
        <w:kinsoku/>
        <w:wordWrap/>
        <w:overflowPunct/>
        <w:topLinePunct w:val="0"/>
        <w:autoSpaceDE/>
        <w:autoSpaceDN/>
        <w:bidi w:val="0"/>
        <w:adjustRightInd/>
        <w:ind w:firstLine="0"/>
        <w:textAlignment w:val="auto"/>
        <w:rPr>
          <w:rFonts w:hint="eastAsia"/>
          <w:highlight w:val="yellow"/>
        </w:rPr>
      </w:pPr>
      <w:r>
        <w:rPr>
          <w:rFonts w:hint="eastAsia"/>
          <w:highlight w:val="yellow"/>
        </w:rPr>
        <w:t>学情分析</w:t>
      </w:r>
    </w:p>
    <w:p w14:paraId="6AA40AA3">
      <w:pPr>
        <w:pStyle w:val="5"/>
        <w:keepNext/>
        <w:keepLines/>
        <w:pageBreakBefore w:val="0"/>
        <w:widowControl w:val="0"/>
        <w:numPr>
          <w:ilvl w:val="1"/>
          <w:numId w:val="28"/>
        </w:numPr>
        <w:kinsoku/>
        <w:wordWrap/>
        <w:overflowPunct/>
        <w:topLinePunct w:val="0"/>
        <w:autoSpaceDE/>
        <w:autoSpaceDN/>
        <w:bidi w:val="0"/>
        <w:adjustRightInd/>
        <w:snapToGrid/>
        <w:textAlignment w:val="auto"/>
        <w:rPr>
          <w:rFonts w:hint="eastAsia"/>
        </w:rPr>
      </w:pPr>
      <w:r>
        <w:rPr>
          <w:rFonts w:hint="eastAsia"/>
        </w:rPr>
        <w:t>基于 SWOT 模型的学情分析</w:t>
      </w:r>
    </w:p>
    <w:p w14:paraId="3238D953">
      <w:pPr>
        <w:keepNext/>
        <w:keepLines/>
        <w:pageBreakBefore w:val="0"/>
        <w:widowControl w:val="0"/>
        <w:kinsoku/>
        <w:wordWrap/>
        <w:overflowPunct/>
        <w:topLinePunct w:val="0"/>
        <w:autoSpaceDE/>
        <w:autoSpaceDN/>
        <w:bidi w:val="0"/>
        <w:adjustRightInd/>
        <w:snapToGrid/>
        <w:spacing w:after="120" w:line="400" w:lineRule="exact"/>
        <w:ind w:firstLine="482"/>
        <w:jc w:val="both"/>
        <w:textAlignment w:val="auto"/>
        <w:rPr>
          <w:rFonts w:hint="eastAsia" w:ascii="Times New Roman" w:hAnsi="Times New Roman" w:eastAsia="宋体" w:cs="Times New Roman"/>
          <w:spacing w:val="-5"/>
          <w:sz w:val="24"/>
          <w:lang w:val="en-US" w:eastAsia="zh-CN" w:bidi="ar-SA"/>
        </w:rPr>
      </w:pPr>
      <w:r>
        <w:rPr>
          <w:rFonts w:hint="eastAsia"/>
        </w:rPr>
        <w:t>本节课的教学对象为高一年级学生，即必修阶段“有机化合物”模块的初学者。学生在此前已完成了原子结构、化学键（离子键、共价键）等必修一相关内容的学习，并通过甲烷、乙烯等前置内容，初步建立了“结构简式”“官能团”“同分异构”等有机化学基础观念，具备了理解苯分子结构特殊性所需的知识起点；同时，</w:t>
      </w:r>
      <w:r>
        <w:rPr>
          <w:rFonts w:hint="eastAsia" w:ascii="Times New Roman" w:hAnsi="Times New Roman" w:eastAsia="宋体" w:cs="Times New Roman"/>
          <w:spacing w:val="-5"/>
          <w:sz w:val="24"/>
          <w:lang w:val="en-US" w:eastAsia="zh-CN" w:bidi="ar-SA"/>
        </w:rPr>
        <w:t>学生正处于抽象逻辑思维快速发展、对故事性与探究性学习内容抱有较高兴趣的心理发展阶段，这为引入苯的结构探索史开展HPS教学提供了适宜的认知与情感基础。</w:t>
      </w:r>
    </w:p>
    <w:p w14:paraId="6F37BB92">
      <w:pPr>
        <w:keepNext/>
        <w:keepLines/>
        <w:pageBreakBefore w:val="0"/>
        <w:widowControl w:val="0"/>
        <w:kinsoku/>
        <w:wordWrap/>
        <w:overflowPunct/>
        <w:topLinePunct w:val="0"/>
        <w:autoSpaceDE/>
        <w:autoSpaceDN/>
        <w:bidi w:val="0"/>
        <w:adjustRightInd/>
        <w:snapToGrid/>
        <w:spacing w:after="120" w:line="400" w:lineRule="exact"/>
        <w:ind w:firstLine="482" w:firstLineChars="0"/>
        <w:jc w:val="both"/>
        <w:textAlignment w:val="auto"/>
        <w:rPr>
          <w:rFonts w:hint="eastAsia" w:cs="Times New Roman"/>
          <w:spacing w:val="-5"/>
          <w:sz w:val="24"/>
          <w:lang w:val="en-US" w:eastAsia="zh-CN" w:bidi="ar-SA"/>
        </w:rPr>
      </w:pPr>
      <w:r>
        <w:rPr>
          <w:rFonts w:hint="eastAsia" w:ascii="Times New Roman" w:hAnsi="Times New Roman" w:eastAsia="宋体" w:cs="Times New Roman"/>
          <w:spacing w:val="-5"/>
          <w:sz w:val="24"/>
          <w:lang w:val="en-US" w:eastAsia="zh-CN" w:bidi="ar-SA"/>
        </w:rPr>
        <w:t>利用化学SWOT论证模型，阐述高一学生所处年龄—心理发展阶段及其认知、技能、态度发展规律，已有知识基础与现有认识能力水平，对本节课学习内容与学习活动要求的适应性、提供的机会、提出的挑战或存在的困难，分析如何从教学策略上利用这些适应性、机会、挑战与困难，具体如表4</w:t>
      </w:r>
      <w:r>
        <w:rPr>
          <w:rFonts w:hint="eastAsia" w:cs="Times New Roman"/>
          <w:spacing w:val="-5"/>
          <w:sz w:val="24"/>
          <w:lang w:val="en-US" w:eastAsia="zh-CN" w:bidi="ar-SA"/>
        </w:rPr>
        <w:t>-</w:t>
      </w:r>
      <w:r>
        <w:rPr>
          <w:rFonts w:hint="eastAsia" w:ascii="Times New Roman" w:hAnsi="Times New Roman" w:eastAsia="宋体" w:cs="Times New Roman"/>
          <w:spacing w:val="-5"/>
          <w:sz w:val="24"/>
          <w:lang w:val="en-US" w:eastAsia="zh-CN" w:bidi="ar-SA"/>
        </w:rPr>
        <w:t>1所示</w:t>
      </w:r>
      <w:r>
        <w:rPr>
          <w:rFonts w:hint="eastAsia" w:cs="Times New Roman"/>
          <w:spacing w:val="-5"/>
          <w:sz w:val="24"/>
          <w:lang w:val="en-US" w:eastAsia="zh-CN" w:bidi="ar-SA"/>
        </w:rPr>
        <w:t>。</w:t>
      </w:r>
    </w:p>
    <w:p w14:paraId="14F95AA1">
      <w:pPr>
        <w:keepNext/>
        <w:keepLines w:val="0"/>
        <w:pageBreakBefore w:val="0"/>
        <w:widowControl w:val="0"/>
        <w:kinsoku/>
        <w:wordWrap/>
        <w:overflowPunct/>
        <w:topLinePunct w:val="0"/>
        <w:autoSpaceDE/>
        <w:autoSpaceDN/>
        <w:bidi w:val="0"/>
        <w:adjustRightInd/>
        <w:spacing w:before="200" w:after="40"/>
        <w:jc w:val="center"/>
        <w:textAlignment w:val="auto"/>
        <w:rPr>
          <w:sz w:val="24"/>
          <w:szCs w:val="24"/>
        </w:rPr>
      </w:pPr>
      <w:r>
        <w:rPr>
          <w:rFonts w:ascii="宋体" w:hAnsi="宋体" w:eastAsia="宋体" w:cs="宋体"/>
          <w:b/>
          <w:bCs/>
          <w:sz w:val="24"/>
          <w:szCs w:val="24"/>
        </w:rPr>
        <w:t>表4</w:t>
      </w:r>
      <w:r>
        <w:rPr>
          <w:rFonts w:hint="eastAsia" w:ascii="宋体" w:hAnsi="宋体" w:cs="宋体"/>
          <w:b/>
          <w:bCs/>
          <w:sz w:val="24"/>
          <w:szCs w:val="24"/>
          <w:lang w:val="en-US" w:eastAsia="zh-CN"/>
        </w:rPr>
        <w:t>-</w:t>
      </w:r>
      <w:r>
        <w:rPr>
          <w:rFonts w:ascii="宋体" w:hAnsi="宋体" w:eastAsia="宋体" w:cs="宋体"/>
          <w:b/>
          <w:bCs/>
          <w:sz w:val="24"/>
          <w:szCs w:val="24"/>
        </w:rPr>
        <w:t>1 学生学情分析</w:t>
      </w:r>
    </w:p>
    <w:p w14:paraId="11B5BD59">
      <w:pPr>
        <w:keepNext/>
        <w:keepLines w:val="0"/>
        <w:pageBreakBefore w:val="0"/>
        <w:widowControl w:val="0"/>
        <w:kinsoku/>
        <w:wordWrap/>
        <w:overflowPunct/>
        <w:topLinePunct w:val="0"/>
        <w:autoSpaceDE/>
        <w:autoSpaceDN/>
        <w:bidi w:val="0"/>
        <w:adjustRightInd/>
        <w:spacing w:after="120"/>
        <w:jc w:val="center"/>
        <w:textAlignment w:val="auto"/>
        <w:rPr>
          <w:rFonts w:hint="eastAsia" w:ascii="Times New Roman" w:hAnsi="Times New Roman" w:eastAsia="宋体" w:cs="Times New Roman"/>
          <w:spacing w:val="-5"/>
          <w:sz w:val="24"/>
          <w:lang w:val="en-US" w:eastAsia="zh-CN" w:bidi="ar-SA"/>
        </w:rPr>
      </w:pPr>
      <w:r>
        <w:rPr>
          <w:rFonts w:ascii="Times New Roman" w:hAnsi="Times New Roman" w:eastAsia="Times New Roman" w:cs="Times New Roman"/>
          <w:i/>
          <w:iCs/>
          <w:sz w:val="18"/>
          <w:szCs w:val="18"/>
        </w:rPr>
        <w:t>Tab. 4.1  Student Learning Situation Analysis</w:t>
      </w:r>
    </w:p>
    <w:tbl>
      <w:tblPr>
        <w:tblStyle w:val="18"/>
        <w:tblW w:w="9638" w:type="dxa"/>
        <w:jc w:val="center"/>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Layout w:type="fixed"/>
        <w:tblCellMar>
          <w:top w:w="0" w:type="dxa"/>
          <w:left w:w="60" w:type="dxa"/>
          <w:bottom w:w="0" w:type="dxa"/>
          <w:right w:w="60" w:type="dxa"/>
        </w:tblCellMar>
      </w:tblPr>
      <w:tblGrid>
        <w:gridCol w:w="1450"/>
        <w:gridCol w:w="2047"/>
        <w:gridCol w:w="2047"/>
        <w:gridCol w:w="2047"/>
        <w:gridCol w:w="2047"/>
      </w:tblGrid>
      <w:tr w14:paraId="27067E73">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60" w:type="dxa"/>
            <w:bottom w:w="0" w:type="dxa"/>
            <w:right w:w="60" w:type="dxa"/>
          </w:tblCellMar>
        </w:tblPrEx>
        <w:trPr>
          <w:tblHeader/>
          <w:jc w:val="center"/>
        </w:trPr>
        <w:tc>
          <w:tcPr>
            <w:tcW w:w="1450" w:type="dxa"/>
            <w:tcBorders>
              <w:left w:val="nil"/>
              <w:bottom w:val="single" w:color="000000" w:sz="6" w:space="0"/>
              <w:right w:val="nil"/>
            </w:tcBorders>
            <w:shd w:val="clear" w:color="auto" w:fill="auto"/>
            <w:tcMar>
              <w:top w:w="40" w:type="dxa"/>
              <w:left w:w="60" w:type="dxa"/>
              <w:bottom w:w="40" w:type="dxa"/>
              <w:right w:w="60" w:type="dxa"/>
            </w:tcMar>
            <w:vAlign w:val="center"/>
          </w:tcPr>
          <w:p w14:paraId="718C1AE9">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分析维度</w:t>
            </w:r>
          </w:p>
        </w:tc>
        <w:tc>
          <w:tcPr>
            <w:tcW w:w="2047" w:type="dxa"/>
            <w:tcBorders>
              <w:left w:val="nil"/>
              <w:bottom w:val="single" w:color="000000" w:sz="6" w:space="0"/>
              <w:right w:val="nil"/>
            </w:tcBorders>
            <w:shd w:val="clear" w:color="auto" w:fill="auto"/>
            <w:tcMar>
              <w:top w:w="40" w:type="dxa"/>
              <w:left w:w="60" w:type="dxa"/>
              <w:bottom w:w="40" w:type="dxa"/>
              <w:right w:w="60" w:type="dxa"/>
            </w:tcMar>
            <w:vAlign w:val="center"/>
          </w:tcPr>
          <w:p w14:paraId="1873BB48">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S：strengths</w:t>
            </w:r>
          </w:p>
          <w:p w14:paraId="5487CE5E">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优势条件</w:t>
            </w:r>
          </w:p>
        </w:tc>
        <w:tc>
          <w:tcPr>
            <w:tcW w:w="2047" w:type="dxa"/>
            <w:tcBorders>
              <w:left w:val="nil"/>
              <w:bottom w:val="single" w:color="000000" w:sz="6" w:space="0"/>
              <w:right w:val="nil"/>
            </w:tcBorders>
            <w:shd w:val="clear" w:color="auto" w:fill="auto"/>
            <w:tcMar>
              <w:top w:w="40" w:type="dxa"/>
              <w:left w:w="60" w:type="dxa"/>
              <w:bottom w:w="40" w:type="dxa"/>
              <w:right w:w="60" w:type="dxa"/>
            </w:tcMar>
            <w:vAlign w:val="center"/>
          </w:tcPr>
          <w:p w14:paraId="28D54CB8">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W：weakness</w:t>
            </w:r>
          </w:p>
          <w:p w14:paraId="709ABBDE">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弱项条件</w:t>
            </w:r>
          </w:p>
        </w:tc>
        <w:tc>
          <w:tcPr>
            <w:tcW w:w="2047" w:type="dxa"/>
            <w:tcBorders>
              <w:left w:val="nil"/>
              <w:bottom w:val="single" w:color="000000" w:sz="6" w:space="0"/>
              <w:right w:val="nil"/>
            </w:tcBorders>
            <w:shd w:val="clear" w:color="auto" w:fill="auto"/>
            <w:tcMar>
              <w:top w:w="40" w:type="dxa"/>
              <w:left w:w="60" w:type="dxa"/>
              <w:bottom w:w="40" w:type="dxa"/>
              <w:right w:w="60" w:type="dxa"/>
            </w:tcMar>
            <w:vAlign w:val="center"/>
          </w:tcPr>
          <w:p w14:paraId="4E4FCFD1">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O：opportunities</w:t>
            </w:r>
          </w:p>
          <w:p w14:paraId="6763B9A4">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教学机会</w:t>
            </w:r>
          </w:p>
        </w:tc>
        <w:tc>
          <w:tcPr>
            <w:tcW w:w="2047" w:type="dxa"/>
            <w:tcBorders>
              <w:left w:val="nil"/>
              <w:bottom w:val="single" w:color="000000" w:sz="6" w:space="0"/>
              <w:right w:val="nil"/>
            </w:tcBorders>
            <w:shd w:val="clear" w:color="auto" w:fill="auto"/>
            <w:tcMar>
              <w:top w:w="40" w:type="dxa"/>
              <w:left w:w="60" w:type="dxa"/>
              <w:bottom w:w="40" w:type="dxa"/>
              <w:right w:w="60" w:type="dxa"/>
            </w:tcMar>
            <w:vAlign w:val="center"/>
          </w:tcPr>
          <w:p w14:paraId="728D3CCE">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T：threats</w:t>
            </w:r>
          </w:p>
          <w:p w14:paraId="157AE2C3">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挑战或困难</w:t>
            </w:r>
          </w:p>
        </w:tc>
      </w:tr>
      <w:tr w14:paraId="6BC46618">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60" w:type="dxa"/>
            <w:bottom w:w="0" w:type="dxa"/>
            <w:right w:w="60" w:type="dxa"/>
          </w:tblCellMar>
        </w:tblPrEx>
        <w:trPr>
          <w:jc w:val="center"/>
        </w:trPr>
        <w:tc>
          <w:tcPr>
            <w:tcW w:w="1450" w:type="dxa"/>
            <w:tcBorders>
              <w:left w:val="nil"/>
              <w:right w:val="nil"/>
            </w:tcBorders>
            <w:shd w:val="clear" w:color="auto" w:fill="auto"/>
            <w:tcMar>
              <w:top w:w="40" w:type="dxa"/>
              <w:left w:w="60" w:type="dxa"/>
              <w:bottom w:w="40" w:type="dxa"/>
              <w:right w:w="60" w:type="dxa"/>
            </w:tcMar>
            <w:vAlign w:val="center"/>
          </w:tcPr>
          <w:p w14:paraId="5C8414EB">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年龄—心理发展阶段及其认知、技能、态度发展规律特点</w:t>
            </w:r>
          </w:p>
        </w:tc>
        <w:tc>
          <w:tcPr>
            <w:tcW w:w="2047" w:type="dxa"/>
            <w:tcBorders>
              <w:left w:val="nil"/>
              <w:right w:val="nil"/>
            </w:tcBorders>
            <w:shd w:val="clear" w:color="auto" w:fill="auto"/>
            <w:tcMar>
              <w:top w:w="40" w:type="dxa"/>
              <w:left w:w="60" w:type="dxa"/>
              <w:bottom w:w="40" w:type="dxa"/>
              <w:right w:w="60" w:type="dxa"/>
            </w:tcMar>
            <w:vAlign w:val="top"/>
          </w:tcPr>
          <w:p w14:paraId="63DC6235">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1.高一学生正处于形式运算的阶段，初步具备了假设—演绎推理与抽象概括的能力，这为其理解“假设提出—证据检验—模型修正”这一科学认识的逻辑链条提供了必要的思维基础；</w:t>
            </w:r>
          </w:p>
          <w:p w14:paraId="4214876A">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2.同时该阶段学生自我意识增强、乐于表达与思辨，对角色扮演、史料探秘、观点交锋等具有故事性与开放性的学习方式抱有天然兴趣，这与HPS理念中以“科学史”情境驱动认知、以“科学哲学”反思深化理解、以“科学社会学”情境引发价值思辨的三条路径高度适配，为科学知识、科学探究、科学事业三维度本质观的协同渗透提供了心理与思维层面的准备。</w:t>
            </w:r>
          </w:p>
        </w:tc>
        <w:tc>
          <w:tcPr>
            <w:tcW w:w="2047" w:type="dxa"/>
            <w:tcBorders>
              <w:left w:val="nil"/>
              <w:right w:val="nil"/>
            </w:tcBorders>
            <w:shd w:val="clear" w:color="auto" w:fill="auto"/>
            <w:tcMar>
              <w:top w:w="40" w:type="dxa"/>
              <w:left w:w="60" w:type="dxa"/>
              <w:bottom w:w="40" w:type="dxa"/>
              <w:right w:w="60" w:type="dxa"/>
            </w:tcMar>
            <w:vAlign w:val="top"/>
          </w:tcPr>
          <w:p w14:paraId="02ED5F8B">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1.学生的抽象逻辑思维尚处于发展初期，对多重证据的综合权衡、模型的动态修正等高阶认知活动仍缺乏自觉运用的经验；</w:t>
            </w:r>
          </w:p>
          <w:p w14:paraId="271DC912">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2.更为关键的是，学生长期接受结论式讲授，已形成了将化学知识等同于“标准答案”、将科学探究等同于“观察—归纳”固定程序的朴素认识，这与第三章所指出的高中生在科学知识本质观、科学探究本质观、科学事业本质观三个维度上普遍存在的“绝对真理观”“机械归纳观”“价值中立观”等典型误解相印证，构成了HPS教学介入前必须正视的认知起点。</w:t>
            </w:r>
          </w:p>
        </w:tc>
        <w:tc>
          <w:tcPr>
            <w:tcW w:w="2047" w:type="dxa"/>
            <w:tcBorders>
              <w:left w:val="nil"/>
              <w:right w:val="nil"/>
            </w:tcBorders>
            <w:shd w:val="clear" w:color="auto" w:fill="auto"/>
            <w:tcMar>
              <w:top w:w="40" w:type="dxa"/>
              <w:left w:w="60" w:type="dxa"/>
              <w:bottom w:w="40" w:type="dxa"/>
              <w:right w:w="60" w:type="dxa"/>
            </w:tcMar>
            <w:vAlign w:val="top"/>
          </w:tcPr>
          <w:p w14:paraId="0FA0A1C5">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1.学生对“知识是如何形成的”这一元认知问题尚处于观念可塑期，这恰为HPS理念下以苯分子结构探索史重构其原有认知奠定基础；</w:t>
            </w:r>
          </w:p>
          <w:p w14:paraId="558583F2">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2.凯库勒式历史性地经历了提出、质疑、修正的完整过程，天然具备“制造认知冲突—引发反思—重建认识”的教学势能，将学生在科学本质观三个维度上的认识逐一转化为可讨论、可检验的课堂问题。</w:t>
            </w:r>
          </w:p>
        </w:tc>
        <w:tc>
          <w:tcPr>
            <w:tcW w:w="2047" w:type="dxa"/>
            <w:tcBorders>
              <w:left w:val="nil"/>
              <w:right w:val="nil"/>
            </w:tcBorders>
            <w:shd w:val="clear" w:color="auto" w:fill="auto"/>
            <w:tcMar>
              <w:top w:w="40" w:type="dxa"/>
              <w:left w:w="60" w:type="dxa"/>
              <w:bottom w:w="40" w:type="dxa"/>
              <w:right w:w="60" w:type="dxa"/>
            </w:tcMar>
            <w:vAlign w:val="top"/>
          </w:tcPr>
          <w:p w14:paraId="6ADB4DA5">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1.学生思维尚处于经验型向理论型过渡阶段，容易被历史故事本身的趣味性与戏剧性所吸引，止步于“听故事”的表层认知，未能进一步完成从具体史实向科学本质观念的抽象与迁移；</w:t>
            </w:r>
          </w:p>
          <w:p w14:paraId="6221664A">
            <w:pPr>
              <w:keepNext/>
              <w:keepLines w:val="0"/>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2.同时，学生在科学事业本质观维度上的原有认识最为薄弱、也最难以在短课时内实现根本转变，这要求教学设计必须在有限时间内兼顾“历史情境的吸引力”与“科学本质的反思深度”这一双重目标。</w:t>
            </w:r>
          </w:p>
        </w:tc>
      </w:tr>
      <w:tr w14:paraId="4692E4E5">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60" w:type="dxa"/>
            <w:bottom w:w="0" w:type="dxa"/>
            <w:right w:w="60" w:type="dxa"/>
          </w:tblCellMar>
        </w:tblPrEx>
        <w:trPr>
          <w:jc w:val="center"/>
        </w:trPr>
        <w:tc>
          <w:tcPr>
            <w:tcW w:w="1450" w:type="dxa"/>
            <w:tcBorders>
              <w:left w:val="nil"/>
              <w:right w:val="nil"/>
            </w:tcBorders>
            <w:shd w:val="clear" w:color="auto" w:fill="auto"/>
            <w:tcMar>
              <w:top w:w="40" w:type="dxa"/>
              <w:left w:w="60" w:type="dxa"/>
              <w:bottom w:w="40" w:type="dxa"/>
              <w:right w:w="60" w:type="dxa"/>
            </w:tcMar>
            <w:vAlign w:val="center"/>
          </w:tcPr>
          <w:p w14:paraId="0D7FA845">
            <w:pPr>
              <w:keepNext/>
              <w:keepLines/>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已有知识基础</w:t>
            </w:r>
          </w:p>
        </w:tc>
        <w:tc>
          <w:tcPr>
            <w:tcW w:w="2047" w:type="dxa"/>
            <w:tcBorders>
              <w:left w:val="nil"/>
              <w:right w:val="nil"/>
            </w:tcBorders>
            <w:shd w:val="clear" w:color="auto" w:fill="auto"/>
            <w:tcMar>
              <w:top w:w="40" w:type="dxa"/>
              <w:left w:w="60" w:type="dxa"/>
              <w:bottom w:w="40" w:type="dxa"/>
              <w:right w:w="60" w:type="dxa"/>
            </w:tcMar>
            <w:vAlign w:val="top"/>
          </w:tcPr>
          <w:p w14:paraId="23BAC606">
            <w:pPr>
              <w:keepNext/>
              <w:keepLines/>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学生已学习原子结构、共价键等必修一内容，具备基本的物质结构观念；并通过甲烷、乙烯的学习，初步掌握了结构简式、官能团等基础知识，为理解苯分子的特殊结构提供了知识铺垫。</w:t>
            </w:r>
          </w:p>
        </w:tc>
        <w:tc>
          <w:tcPr>
            <w:tcW w:w="2047" w:type="dxa"/>
            <w:tcBorders>
              <w:left w:val="nil"/>
              <w:right w:val="nil"/>
            </w:tcBorders>
            <w:shd w:val="clear" w:color="auto" w:fill="auto"/>
            <w:tcMar>
              <w:top w:w="40" w:type="dxa"/>
              <w:left w:w="60" w:type="dxa"/>
              <w:bottom w:w="40" w:type="dxa"/>
              <w:right w:w="60" w:type="dxa"/>
            </w:tcMar>
            <w:vAlign w:val="top"/>
          </w:tcPr>
          <w:p w14:paraId="7A9DE794">
            <w:pPr>
              <w:keepNext/>
              <w:keepLines/>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学生对“结构决定性质”这一核心观念尚处于初步建立阶段，容易将饱和烃与不饱和烃的性质规律机械套用于苯，误认为苯分子中必然存在碳碳双键，从而与苯环结构的特殊性产生认知冲突。</w:t>
            </w:r>
          </w:p>
        </w:tc>
        <w:tc>
          <w:tcPr>
            <w:tcW w:w="2047" w:type="dxa"/>
            <w:tcBorders>
              <w:left w:val="nil"/>
              <w:right w:val="nil"/>
            </w:tcBorders>
            <w:shd w:val="clear" w:color="auto" w:fill="auto"/>
            <w:tcMar>
              <w:top w:w="40" w:type="dxa"/>
              <w:left w:w="60" w:type="dxa"/>
              <w:bottom w:w="40" w:type="dxa"/>
              <w:right w:w="60" w:type="dxa"/>
            </w:tcMar>
            <w:vAlign w:val="top"/>
          </w:tcPr>
          <w:p w14:paraId="720304D2">
            <w:pPr>
              <w:keepNext/>
              <w:keepLines/>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利用学生已有的乙烯知识经验，制造认知冲突（苯为何不能使溴水褪色？），为凯库勒式的反常实验证据讨论提供知识对照基础。</w:t>
            </w:r>
          </w:p>
        </w:tc>
        <w:tc>
          <w:tcPr>
            <w:tcW w:w="2047" w:type="dxa"/>
            <w:tcBorders>
              <w:left w:val="nil"/>
              <w:right w:val="nil"/>
            </w:tcBorders>
            <w:shd w:val="clear" w:color="auto" w:fill="auto"/>
            <w:tcMar>
              <w:top w:w="40" w:type="dxa"/>
              <w:left w:w="60" w:type="dxa"/>
              <w:bottom w:w="40" w:type="dxa"/>
              <w:right w:w="60" w:type="dxa"/>
            </w:tcMar>
            <w:vAlign w:val="top"/>
          </w:tcPr>
          <w:p w14:paraId="147ED39E">
            <w:pPr>
              <w:keepNext/>
              <w:keepLines/>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学生若原有认知不能被有效激活并转化为“冲突意识”，容易简单接受教师讲授的结论，难以真正经历“质疑—求证—修正”的科学探究过程。</w:t>
            </w:r>
          </w:p>
        </w:tc>
      </w:tr>
      <w:tr w14:paraId="13BA94D6">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60" w:type="dxa"/>
            <w:bottom w:w="0" w:type="dxa"/>
            <w:right w:w="60" w:type="dxa"/>
          </w:tblCellMar>
        </w:tblPrEx>
        <w:trPr>
          <w:jc w:val="center"/>
        </w:trPr>
        <w:tc>
          <w:tcPr>
            <w:tcW w:w="1450" w:type="dxa"/>
            <w:tcBorders>
              <w:left w:val="nil"/>
              <w:right w:val="nil"/>
            </w:tcBorders>
            <w:shd w:val="clear" w:color="auto" w:fill="auto"/>
            <w:tcMar>
              <w:top w:w="40" w:type="dxa"/>
              <w:left w:w="60" w:type="dxa"/>
              <w:bottom w:w="40" w:type="dxa"/>
              <w:right w:w="60" w:type="dxa"/>
            </w:tcMar>
            <w:vAlign w:val="center"/>
          </w:tcPr>
          <w:p w14:paraId="59682AA0">
            <w:pPr>
              <w:keepNext/>
              <w:keepLines/>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现有认识能力水平</w:t>
            </w:r>
          </w:p>
        </w:tc>
        <w:tc>
          <w:tcPr>
            <w:tcW w:w="2047" w:type="dxa"/>
            <w:tcBorders>
              <w:left w:val="nil"/>
              <w:right w:val="nil"/>
            </w:tcBorders>
            <w:shd w:val="clear" w:color="auto" w:fill="auto"/>
            <w:tcMar>
              <w:top w:w="40" w:type="dxa"/>
              <w:left w:w="60" w:type="dxa"/>
              <w:bottom w:w="40" w:type="dxa"/>
              <w:right w:w="60" w:type="dxa"/>
            </w:tcMar>
            <w:vAlign w:val="top"/>
          </w:tcPr>
          <w:p w14:paraId="0800A04F">
            <w:pPr>
              <w:keepNext/>
              <w:keepLines/>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学生具备一定的实验观察与简单数据分析能力，能够通过实验现象作出初步判断；具有小组合作、交流表达的经验，能够参与结构模型的讨论与展示。</w:t>
            </w:r>
          </w:p>
        </w:tc>
        <w:tc>
          <w:tcPr>
            <w:tcW w:w="2047" w:type="dxa"/>
            <w:tcBorders>
              <w:left w:val="nil"/>
              <w:right w:val="nil"/>
            </w:tcBorders>
            <w:shd w:val="clear" w:color="auto" w:fill="auto"/>
            <w:tcMar>
              <w:top w:w="40" w:type="dxa"/>
              <w:left w:w="60" w:type="dxa"/>
              <w:bottom w:w="40" w:type="dxa"/>
              <w:right w:w="60" w:type="dxa"/>
            </w:tcMar>
            <w:vAlign w:val="top"/>
          </w:tcPr>
          <w:p w14:paraId="1FBD008B">
            <w:pPr>
              <w:keepNext/>
              <w:keepLines/>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学生的证据推理能力和模型建构能力仍显稚嫩，面对需综合运用氢化热数据、键长数据、邻位取代产物种类等多重证据进行论证的问题时，容易感到困难，习惯于寻求“正确答案”而非自主论证；对科学事业本质的认识基础尤为薄弱。</w:t>
            </w:r>
          </w:p>
        </w:tc>
        <w:tc>
          <w:tcPr>
            <w:tcW w:w="2047" w:type="dxa"/>
            <w:tcBorders>
              <w:left w:val="nil"/>
              <w:right w:val="nil"/>
            </w:tcBorders>
            <w:shd w:val="clear" w:color="auto" w:fill="auto"/>
            <w:tcMar>
              <w:top w:w="40" w:type="dxa"/>
              <w:left w:w="60" w:type="dxa"/>
              <w:bottom w:w="40" w:type="dxa"/>
              <w:right w:w="60" w:type="dxa"/>
            </w:tcMar>
            <w:vAlign w:val="top"/>
          </w:tcPr>
          <w:p w14:paraId="7BC261A3">
            <w:pPr>
              <w:keepNext/>
              <w:keepLines/>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通过教师提供结构化的证据支架（如反应现象记录表、键长数据对比表），引导学生逐步完成从“现象”到“证据”再到“结论”的推理链条，契合“科学证据获取与探究过程”任务的能力要求。</w:t>
            </w:r>
          </w:p>
        </w:tc>
        <w:tc>
          <w:tcPr>
            <w:tcW w:w="2047" w:type="dxa"/>
            <w:tcBorders>
              <w:left w:val="nil"/>
              <w:right w:val="nil"/>
            </w:tcBorders>
            <w:shd w:val="clear" w:color="auto" w:fill="auto"/>
            <w:tcMar>
              <w:top w:w="40" w:type="dxa"/>
              <w:left w:w="60" w:type="dxa"/>
              <w:bottom w:w="40" w:type="dxa"/>
              <w:right w:w="60" w:type="dxa"/>
            </w:tcMar>
            <w:vAlign w:val="top"/>
          </w:tcPr>
          <w:p w14:paraId="0FF42117">
            <w:pPr>
              <w:keepNext/>
              <w:keepLines/>
              <w:pageBreakBefore w:val="0"/>
              <w:widowControl w:val="0"/>
              <w:kinsoku/>
              <w:wordWrap/>
              <w:overflowPunct/>
              <w:topLinePunct w:val="0"/>
              <w:autoSpaceDE/>
              <w:autoSpaceDN/>
              <w:bidi w:val="0"/>
              <w:adjustRightInd/>
              <w:snapToGrid w:val="0"/>
              <w:spacing w:before="40" w:after="40" w:line="400" w:lineRule="exact"/>
              <w:ind w:left="0" w:leftChars="0"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面对苯的工业应用价值与其毒性、致癌性等社会性议题时，学生容易简单化处理，难以形成辩证、全面的价值判断，需要教师提供角色支架加以引导。</w:t>
            </w:r>
          </w:p>
        </w:tc>
      </w:tr>
    </w:tbl>
    <w:p w14:paraId="1B211639">
      <w:pPr>
        <w:keepNext/>
        <w:keepLines/>
        <w:pageBreakBefore w:val="0"/>
        <w:widowControl w:val="0"/>
        <w:kinsoku/>
        <w:wordWrap/>
        <w:overflowPunct/>
        <w:topLinePunct w:val="0"/>
        <w:autoSpaceDE/>
        <w:autoSpaceDN/>
        <w:bidi w:val="0"/>
        <w:adjustRightInd/>
        <w:snapToGrid/>
        <w:spacing w:after="120" w:line="400" w:lineRule="exact"/>
        <w:ind w:left="0" w:leftChars="0" w:firstLine="0" w:firstLineChars="0"/>
        <w:jc w:val="both"/>
        <w:textAlignment w:val="auto"/>
        <w:rPr>
          <w:rFonts w:hint="eastAsia" w:cs="Times New Roman"/>
          <w:spacing w:val="-5"/>
          <w:sz w:val="24"/>
          <w:lang w:val="en-US" w:eastAsia="zh-CN" w:bidi="ar-SA"/>
        </w:rPr>
      </w:pPr>
    </w:p>
    <w:p w14:paraId="2B763F7A">
      <w:pPr>
        <w:pStyle w:val="5"/>
        <w:keepNext/>
        <w:keepLines/>
        <w:pageBreakBefore w:val="0"/>
        <w:widowControl w:val="0"/>
        <w:numPr>
          <w:ilvl w:val="1"/>
          <w:numId w:val="28"/>
        </w:numPr>
        <w:kinsoku/>
        <w:wordWrap/>
        <w:overflowPunct/>
        <w:topLinePunct w:val="0"/>
        <w:autoSpaceDE/>
        <w:autoSpaceDN/>
        <w:bidi w:val="0"/>
        <w:adjustRightInd/>
        <w:snapToGrid/>
        <w:textAlignment w:val="auto"/>
        <w:rPr>
          <w:rFonts w:hint="eastAsia"/>
        </w:rPr>
      </w:pPr>
      <w:r>
        <w:rPr>
          <w:rFonts w:hint="eastAsia"/>
        </w:rPr>
        <w:t>学情优势、机会、挑战与困难的教学利用与应对</w:t>
      </w:r>
    </w:p>
    <w:p w14:paraId="37000534">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首先，在优势利用方面，针对学生具备的形式运算能力与对故事性、探究性学习的天然兴趣，教学设计遵循第三章</w:t>
      </w:r>
      <w:r>
        <w:rPr>
          <w:rFonts w:hint="eastAsia"/>
          <w:lang w:val="en-US" w:eastAsia="zh-CN"/>
        </w:rPr>
        <w:t>第三节</w:t>
      </w:r>
      <w:r>
        <w:rPr>
          <w:rFonts w:hint="eastAsia"/>
        </w:rPr>
        <w:t>“以化学史为主线的HPS教学资源筛选原则”，选取“证据可见性”突出的苯分子结构探索史作为统一情境；并依托“情境、角色、行为、知识、成果、育人价值”</w:t>
      </w:r>
      <w:r>
        <w:rPr>
          <w:rFonts w:hint="eastAsia"/>
          <w:lang w:val="en-US" w:eastAsia="zh-CN"/>
        </w:rPr>
        <w:t>学习任务</w:t>
      </w:r>
      <w:r>
        <w:rPr>
          <w:rFonts w:hint="eastAsia"/>
        </w:rPr>
        <w:t>六要素模型，为学生设置行业具体角色，将学生乐于参与角色扮演、思辨表达的心理优势直接转化为完成三大学习任务的驱动力，使认知优势充分释放于具体的探究行为之中，而非停留于兴趣层面的调动。</w:t>
      </w:r>
    </w:p>
    <w:p w14:paraId="3AB991E0">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其次，在弱项弥补方面，针对学生抽象逻辑思维尚处于发展初期、对多重证据综合权衡能力不足以及科学本质观认知不足的现状，教学设计在“科学理论危机与模型修正”“科学证据获取与探究过程”两大任务中，分别提供“证据卡片”“键长数据”等结构化学习支架，将凯库勒式的提出、质疑、修正过程拆解为可操作的子任务；同时遵循“明确科学本质观培养目标”这一理论环节，在每一子任务结束后设置显性化的反思追问，引导学生完成从具体史实向抽象科学本质观念的迁移，弥补其自主提炼与反思能力的不足。</w:t>
      </w:r>
    </w:p>
    <w:p w14:paraId="6C2EADF0">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再次，在机会把握方面，针对学生科学观念尚处于可塑期这一机会窗口，教学设计以苯分子结构史中“预测—证明—重构”的完整链条为线索，采用“预测—实验验证—讨论”的活动流程：先引导学生依据已有认知（如乙烯性质经验）对苯环结构作出预测，再通过真实实验与史料证据制造认知冲突，最后组织小组讨论完成认识重建，使学生在亲历“冲突—反思—重构”的完整过程中，将三大学习任务所承载的科学知识、科学探究、科学事业三维度本质观逐一内化、融会贯通，而非停留于单一维度的零散体验，从而把握学生科学观可塑这一有利时机。</w:t>
      </w:r>
    </w:p>
    <w:p w14:paraId="58C6BAC6">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最后，在挑战应对方面，针对学生易停留于历史故事表层趣味、科学事业维度认识转变尤为困难的现实挑战，一方面在任务实施中设置论证报告等显性成果产出，要求学生完成从史实描述到本质归纳的书面表达，以此防止学习停留在“听故事”层面；另一方面，针对科学事业本质观维度转变周期较长的特点，遵循“量化前后测与质性过程证据相结合”的评价机制，通过课前课后量表得分对比与课堂访谈相结合的方式对该维度的变化进行持续追踪，并依据行动研究“计划—行动—观察—反思”的循环，在第五章的课堂实践中结合本节课的实施反馈对相关任务设计作进一步迭代优化，避免因短课时局限而弱化该维度的培养效果。</w:t>
      </w:r>
    </w:p>
    <w:p w14:paraId="25EC112C">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综合SWOT分析，从科学本质观三大维度对学生学情进行如下梳理：</w:t>
      </w:r>
    </w:p>
    <w:p w14:paraId="22E2CF72">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在科学知识本质观维度，学生虽已具备一定的抽象逻辑思维基础，能够理解“结构决定性质”的一般规律，但长期接受结论式讲授，普遍将</w:t>
      </w:r>
      <w:r>
        <w:rPr>
          <w:rFonts w:hint="eastAsia"/>
          <w:lang w:val="en-US" w:eastAsia="zh-CN"/>
        </w:rPr>
        <w:t>科学知识</w:t>
      </w:r>
      <w:r>
        <w:rPr>
          <w:rFonts w:hint="eastAsia"/>
        </w:rPr>
        <w:t>视为不可修正之定论；同时，学生的科学观念尚处于可塑期，这为</w:t>
      </w:r>
      <w:r>
        <w:rPr>
          <w:rFonts w:hint="eastAsia"/>
          <w:lang w:val="en-US" w:eastAsia="zh-CN"/>
        </w:rPr>
        <w:t>接受</w:t>
      </w:r>
      <w:r>
        <w:rPr>
          <w:rFonts w:hint="eastAsia"/>
        </w:rPr>
        <w:t>凯库勒式的提出与修正重塑</w:t>
      </w:r>
      <w:r>
        <w:rPr>
          <w:rFonts w:hint="eastAsia"/>
          <w:lang w:val="en-US" w:eastAsia="zh-CN"/>
        </w:rPr>
        <w:t>奠定了基础</w:t>
      </w:r>
      <w:r>
        <w:rPr>
          <w:rFonts w:hint="eastAsia"/>
        </w:rPr>
        <w:t>。</w:t>
      </w:r>
    </w:p>
    <w:p w14:paraId="093A5B4A">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在科学探究本质观维度，学生具备一定的实验观察与小组合作经验，能够参与结构模型的讨论与展示，但证据推理能力与模型建构能力仍</w:t>
      </w:r>
      <w:r>
        <w:rPr>
          <w:rFonts w:hint="eastAsia"/>
          <w:lang w:val="en-US" w:eastAsia="zh-CN"/>
        </w:rPr>
        <w:t>有所欠缺</w:t>
      </w:r>
      <w:r>
        <w:rPr>
          <w:rFonts w:hint="eastAsia"/>
        </w:rPr>
        <w:t>，习惯于寻求“正确答案”而非自主论证，对键长、氢化热、邻位取代产物种类等多重证据的综合权衡能力有限；教师提供结构化的证据支架，能够为学生从“现象”到“证据”再到“结论”的推理链条搭建必要的脚手架。</w:t>
      </w:r>
    </w:p>
    <w:p w14:paraId="2897AD5E">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在科学事业本质观维度，学生对苯的工业应用与职业危害等社会性议题已有一定的生活经验，但认识基础在三个维度中最为薄弱，容易将其简单化处理，难以形成辩证、全面的价值判断，也是本节课HPS教学中最难以在短课时内实现根本转变的维度；这要求教学设计通过真实、具体的职业情境加以弥补，并在评价机制上给予持续追踪。</w:t>
      </w:r>
    </w:p>
    <w:p w14:paraId="1137FB74">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r>
        <w:rPr>
          <w:rFonts w:hint="eastAsia"/>
        </w:rPr>
        <w:t>由此可见，学生在三个维度上的学情特点，与第三章所指出的高中生科学本质观三维度典型误解基本吻合，但也在认知发展阶段、已有知识经验等方面表现出可资利用的现实基础。这一学情结论，为下一节“明确科学本质观培养目标”提供了具体、可操作的现实依据。</w:t>
      </w:r>
    </w:p>
    <w:p w14:paraId="0B665E5E">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p>
    <w:p w14:paraId="3B17C797">
      <w:pPr>
        <w:pStyle w:val="2"/>
        <w:keepNext/>
        <w:keepLines w:val="0"/>
        <w:pageBreakBefore w:val="0"/>
        <w:widowControl w:val="0"/>
        <w:numPr>
          <w:ilvl w:val="1"/>
          <w:numId w:val="25"/>
        </w:numPr>
        <w:kinsoku/>
        <w:wordWrap/>
        <w:overflowPunct/>
        <w:topLinePunct w:val="0"/>
        <w:autoSpaceDE/>
        <w:autoSpaceDN/>
        <w:bidi w:val="0"/>
        <w:adjustRightInd/>
        <w:snapToGrid/>
        <w:jc w:val="center"/>
        <w:textAlignment w:val="auto"/>
        <w:rPr>
          <w:rFonts w:hint="eastAsia"/>
        </w:rPr>
      </w:pPr>
      <w:r>
        <w:rPr>
          <w:rFonts w:hint="eastAsia"/>
          <w:lang w:val="en-US" w:eastAsia="zh-CN"/>
        </w:rPr>
        <w:t>设计</w:t>
      </w:r>
      <w:r>
        <w:rPr>
          <w:rFonts w:hint="eastAsia"/>
        </w:rPr>
        <w:t>科学本质观培养目标</w:t>
      </w:r>
    </w:p>
    <w:p w14:paraId="2A3D7A1E">
      <w:pPr>
        <w:spacing w:after="120" w:line="360" w:lineRule="auto"/>
        <w:ind w:firstLine="480"/>
        <w:jc w:val="both"/>
        <w:rPr>
          <w:rFonts w:ascii="宋体" w:hAnsi="宋体" w:eastAsia="宋体" w:cs="宋体"/>
          <w:sz w:val="24"/>
          <w:szCs w:val="24"/>
        </w:rPr>
      </w:pPr>
      <w:r>
        <w:rPr>
          <w:rFonts w:ascii="宋体" w:hAnsi="宋体" w:eastAsia="宋体" w:cs="宋体"/>
          <w:sz w:val="24"/>
          <w:szCs w:val="24"/>
        </w:rPr>
        <w:t>第三章“明确科学本质观培养目标”这一理论环节指出，科学本质观的培养若始终依附于知识讲授、停留在隐性渗透的状态，便难以真正转化为学生可感知、可评价的学习结果；HPS教学设计必须在课时层面将培养目标显性化。本研究采用</w:t>
      </w:r>
      <w:r>
        <w:rPr>
          <w:rFonts w:hint="eastAsia" w:ascii="宋体" w:hAnsi="宋体" w:cs="宋体"/>
          <w:sz w:val="24"/>
          <w:szCs w:val="24"/>
          <w:lang w:val="en-US" w:eastAsia="zh-CN"/>
        </w:rPr>
        <w:t>科学本质观的</w:t>
      </w:r>
      <w:r>
        <w:rPr>
          <w:rFonts w:ascii="宋体" w:hAnsi="宋体" w:eastAsia="宋体" w:cs="宋体"/>
          <w:sz w:val="24"/>
          <w:szCs w:val="24"/>
        </w:rPr>
        <w:t>三维度十七因素</w:t>
      </w:r>
      <w:r>
        <w:rPr>
          <w:rStyle w:val="22"/>
          <w:rFonts w:ascii="宋体" w:hAnsi="宋体" w:eastAsia="宋体" w:cs="宋体"/>
          <w:sz w:val="24"/>
          <w:szCs w:val="24"/>
        </w:rPr>
        <w:footnoteReference w:id="60"/>
      </w:r>
      <w:r>
        <w:rPr>
          <w:rFonts w:ascii="宋体" w:hAnsi="宋体" w:eastAsia="宋体" w:cs="宋体"/>
          <w:sz w:val="24"/>
          <w:szCs w:val="24"/>
        </w:rPr>
        <w:t>作为目标设定的依据，该模型将科学本质观划分为科学知识本质观、科学探究本质观、科学事业本质观三个维度，并在各维度下细分出具体的构成因素。本节循此模型，结合第一节课标、教材、学情分析的结论与苯分子结构探索史所能承载的科学本质要素，逐一设定“苯”教学案例在三个维度上的培养目标。</w:t>
      </w:r>
    </w:p>
    <w:p w14:paraId="3812AA53">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rPr>
          <w:rFonts w:ascii="宋体" w:hAnsi="宋体" w:eastAsia="宋体" w:cs="宋体"/>
          <w:sz w:val="24"/>
          <w:szCs w:val="24"/>
        </w:rPr>
      </w:pPr>
      <w:r>
        <w:rPr>
          <w:rFonts w:ascii="宋体" w:hAnsi="宋体" w:eastAsia="宋体" w:cs="宋体"/>
          <w:sz w:val="24"/>
          <w:szCs w:val="24"/>
        </w:rPr>
        <w:t>在科学知识本质观维度，本课例重点指向“暂定性”“累积性”“创造性”三个因素。学情分析表明，学生长期接受结论式讲授，普遍将化学理论视为不可修正的“标准答案”，恰与该维度的“绝对真理观”误区相对应；而苯分子结构由凯库勒式向现代苯环结构的修正历程，为矫正这一误区提供了最直接的历史载体。</w:t>
      </w:r>
    </w:p>
    <w:p w14:paraId="78BA9697">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rPr>
          <w:rFonts w:ascii="宋体" w:hAnsi="宋体" w:eastAsia="宋体" w:cs="宋体"/>
          <w:sz w:val="24"/>
          <w:szCs w:val="24"/>
        </w:rPr>
      </w:pPr>
      <w:r>
        <w:rPr>
          <w:rFonts w:ascii="宋体" w:hAnsi="宋体" w:eastAsia="宋体" w:cs="宋体"/>
          <w:sz w:val="24"/>
          <w:szCs w:val="24"/>
        </w:rPr>
        <w:t>在科学探究本质观维度，本课例重点指向“实证性”“方法多样性”“逻辑推理性”三个因素。学情分析表明，学生习惯将科学探究理解为“观察—归纳”的单一固定程序，倾向于寻求现成结论而非自主论证，恰与该维度的“机械归纳观”误区相对应；围绕苯环结构真伪之争所展开的证据获取与论证活动，为矫正这一误区提供了操作性载体。</w:t>
      </w:r>
    </w:p>
    <w:p w14:paraId="10319B6D">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rPr>
          <w:rFonts w:ascii="宋体" w:hAnsi="宋体" w:eastAsia="宋体" w:cs="宋体"/>
          <w:sz w:val="24"/>
          <w:szCs w:val="24"/>
        </w:rPr>
      </w:pPr>
      <w:r>
        <w:rPr>
          <w:rFonts w:ascii="宋体" w:hAnsi="宋体" w:eastAsia="宋体" w:cs="宋体"/>
          <w:sz w:val="24"/>
          <w:szCs w:val="24"/>
        </w:rPr>
        <w:t>在科学事业本质观维度，本课例重点指向“科学与技术”“科学与社会”“科学共同体”三个因素。学情分析表明，学生倾向于将科学视为绝对中立、与社会无涉的知识生产活动，且该维度的认识基础在三个维度中最为薄弱，恰与“价值中立观”误区相对应；苯的工业价值与职业危害之间的现实张力，以及化学界围绕苯环结构展开的长期争论，为该维度提供了双重素材。</w:t>
      </w:r>
    </w:p>
    <w:p w14:paraId="2D84654D">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rPr>
          <w:rFonts w:ascii="宋体" w:hAnsi="宋体" w:eastAsia="宋体" w:cs="宋体"/>
          <w:sz w:val="24"/>
          <w:szCs w:val="24"/>
        </w:rPr>
      </w:pPr>
      <w:r>
        <w:rPr>
          <w:rFonts w:ascii="宋体" w:hAnsi="宋体" w:eastAsia="宋体" w:cs="宋体"/>
          <w:sz w:val="24"/>
          <w:szCs w:val="24"/>
        </w:rPr>
        <w:t>综合以上三个维度的分析，将“苯”教学案例的科学本质观培养目标汇总如表4</w:t>
      </w:r>
      <w:r>
        <w:rPr>
          <w:rFonts w:hint="eastAsia" w:ascii="宋体" w:hAnsi="宋体" w:cs="宋体"/>
          <w:sz w:val="24"/>
          <w:szCs w:val="24"/>
          <w:lang w:val="en-US" w:eastAsia="zh-CN"/>
        </w:rPr>
        <w:t>-</w:t>
      </w:r>
      <w:r>
        <w:rPr>
          <w:rFonts w:ascii="宋体" w:hAnsi="宋体" w:eastAsia="宋体" w:cs="宋体"/>
          <w:sz w:val="24"/>
          <w:szCs w:val="24"/>
        </w:rPr>
        <w:t>2所示。</w:t>
      </w:r>
    </w:p>
    <w:p w14:paraId="1F66D6BB">
      <w:pPr>
        <w:spacing w:before="200" w:after="40"/>
        <w:jc w:val="center"/>
        <w:rPr>
          <w:rFonts w:hint="default" w:eastAsia="宋体"/>
          <w:sz w:val="24"/>
          <w:szCs w:val="24"/>
          <w:highlight w:val="yellow"/>
          <w:lang w:val="en-US" w:eastAsia="zh-CN"/>
        </w:rPr>
      </w:pPr>
      <w:r>
        <w:rPr>
          <w:rFonts w:ascii="宋体" w:hAnsi="宋体" w:eastAsia="宋体" w:cs="宋体"/>
          <w:b/>
          <w:bCs/>
          <w:sz w:val="24"/>
          <w:szCs w:val="24"/>
          <w:highlight w:val="yellow"/>
        </w:rPr>
        <w:t>表4</w:t>
      </w:r>
      <w:r>
        <w:rPr>
          <w:rFonts w:hint="eastAsia" w:ascii="宋体" w:hAnsi="宋体" w:cs="宋体"/>
          <w:b/>
          <w:bCs/>
          <w:sz w:val="24"/>
          <w:szCs w:val="24"/>
          <w:highlight w:val="yellow"/>
          <w:lang w:val="en-US" w:eastAsia="zh-CN"/>
        </w:rPr>
        <w:t>-</w:t>
      </w:r>
      <w:r>
        <w:rPr>
          <w:rFonts w:ascii="宋体" w:hAnsi="宋体" w:eastAsia="宋体" w:cs="宋体"/>
          <w:b/>
          <w:bCs/>
          <w:sz w:val="24"/>
          <w:szCs w:val="24"/>
          <w:highlight w:val="yellow"/>
        </w:rPr>
        <w:t>2 “苯”教学案例科学本质观培养目标</w:t>
      </w:r>
    </w:p>
    <w:p w14:paraId="3C818B71">
      <w:pPr>
        <w:spacing w:after="120"/>
        <w:jc w:val="center"/>
      </w:pPr>
      <w:r>
        <w:rPr>
          <w:rFonts w:ascii="Times New Roman" w:hAnsi="Times New Roman" w:eastAsia="Times New Roman" w:cs="Times New Roman"/>
          <w:i/>
          <w:iCs/>
          <w:sz w:val="18"/>
          <w:szCs w:val="18"/>
        </w:rPr>
        <w:t>Tab. 4.2  NOS Objectives for the "Benzene" Teaching Case</w:t>
      </w:r>
    </w:p>
    <w:tbl>
      <w:tblPr>
        <w:tblStyle w:val="18"/>
        <w:tblW w:w="826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137"/>
        <w:gridCol w:w="1827"/>
        <w:gridCol w:w="5299"/>
      </w:tblGrid>
      <w:tr w14:paraId="0E8F13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113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9BFF677">
            <w:pPr>
              <w:snapToGrid w:val="0"/>
              <w:spacing w:line="240" w:lineRule="auto"/>
              <w:ind w:left="0" w:leftChars="0" w:right="0" w:rightChars="0" w:firstLine="0" w:firstLineChars="0"/>
              <w:jc w:val="center"/>
              <w:rPr>
                <w:rFonts w:ascii="宋体" w:eastAsia="宋体"/>
                <w:b/>
                <w:sz w:val="24"/>
                <w:szCs w:val="24"/>
              </w:rPr>
            </w:pPr>
            <w:r>
              <w:rPr>
                <w:rFonts w:ascii="宋体" w:hAnsi="宋体" w:eastAsia="宋体" w:cs="宋体"/>
                <w:b/>
                <w:bCs/>
                <w:sz w:val="24"/>
                <w:szCs w:val="24"/>
              </w:rPr>
              <w:t>目标维度</w:t>
            </w:r>
          </w:p>
        </w:tc>
        <w:tc>
          <w:tcPr>
            <w:tcW w:w="182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FA3B228">
            <w:pPr>
              <w:snapToGrid w:val="0"/>
              <w:spacing w:line="240" w:lineRule="auto"/>
              <w:ind w:left="0" w:leftChars="0" w:right="0" w:rightChars="0" w:firstLine="0" w:firstLineChars="0"/>
              <w:jc w:val="center"/>
              <w:rPr>
                <w:rFonts w:ascii="宋体" w:eastAsia="宋体"/>
                <w:b/>
                <w:sz w:val="24"/>
                <w:szCs w:val="24"/>
              </w:rPr>
            </w:pPr>
            <w:r>
              <w:rPr>
                <w:rFonts w:ascii="宋体" w:hAnsi="宋体" w:eastAsia="宋体" w:cs="宋体"/>
                <w:b/>
                <w:bCs/>
                <w:sz w:val="24"/>
                <w:szCs w:val="24"/>
              </w:rPr>
              <w:t>重点培养因素</w:t>
            </w:r>
          </w:p>
        </w:tc>
        <w:tc>
          <w:tcPr>
            <w:tcW w:w="529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994208F">
            <w:pPr>
              <w:snapToGrid w:val="0"/>
              <w:spacing w:line="240" w:lineRule="auto"/>
              <w:ind w:left="0" w:leftChars="0" w:right="0" w:rightChars="0" w:firstLine="0" w:firstLineChars="0"/>
              <w:jc w:val="center"/>
              <w:rPr>
                <w:rFonts w:ascii="宋体" w:eastAsia="宋体"/>
                <w:b/>
                <w:sz w:val="24"/>
                <w:szCs w:val="24"/>
              </w:rPr>
            </w:pPr>
            <w:r>
              <w:rPr>
                <w:rFonts w:ascii="宋体" w:hAnsi="宋体" w:eastAsia="宋体" w:cs="宋体"/>
                <w:b/>
                <w:bCs/>
                <w:sz w:val="24"/>
                <w:szCs w:val="24"/>
              </w:rPr>
              <w:t>“苯”教学案例科学本质观培养目标</w:t>
            </w:r>
          </w:p>
        </w:tc>
      </w:tr>
      <w:tr w14:paraId="37AFD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137" w:type="dxa"/>
            <w:tcBorders>
              <w:top w:val="single" w:color="auto" w:sz="4" w:space="0"/>
              <w:left w:val="nil"/>
              <w:bottom w:val="nil"/>
              <w:right w:val="nil"/>
            </w:tcBorders>
            <w:noWrap w:val="0"/>
            <w:tcMar>
              <w:top w:w="60" w:type="dxa"/>
              <w:left w:w="80" w:type="dxa"/>
              <w:bottom w:w="60" w:type="dxa"/>
              <w:right w:w="80" w:type="dxa"/>
            </w:tcMar>
            <w:vAlign w:val="center"/>
          </w:tcPr>
          <w:p w14:paraId="603EAB05">
            <w:pPr>
              <w:snapToGrid w:val="0"/>
              <w:spacing w:line="240" w:lineRule="auto"/>
              <w:ind w:left="0" w:leftChars="0" w:right="0" w:rightChars="0" w:firstLine="0" w:firstLineChars="0"/>
              <w:jc w:val="center"/>
              <w:rPr>
                <w:rFonts w:ascii="宋体" w:eastAsia="宋体"/>
                <w:sz w:val="24"/>
                <w:szCs w:val="24"/>
              </w:rPr>
            </w:pPr>
            <w:r>
              <w:rPr>
                <w:rFonts w:ascii="宋体" w:hAnsi="宋体" w:eastAsia="宋体" w:cs="宋体"/>
                <w:b/>
                <w:bCs/>
                <w:sz w:val="24"/>
                <w:szCs w:val="24"/>
              </w:rPr>
              <w:t>科学知识本质观</w:t>
            </w:r>
          </w:p>
        </w:tc>
        <w:tc>
          <w:tcPr>
            <w:tcW w:w="1827" w:type="dxa"/>
            <w:tcBorders>
              <w:top w:val="single" w:color="auto" w:sz="4" w:space="0"/>
              <w:left w:val="nil"/>
              <w:bottom w:val="nil"/>
              <w:right w:val="nil"/>
            </w:tcBorders>
            <w:noWrap w:val="0"/>
            <w:tcMar>
              <w:top w:w="60" w:type="dxa"/>
              <w:left w:w="80" w:type="dxa"/>
              <w:bottom w:w="60" w:type="dxa"/>
              <w:right w:w="80" w:type="dxa"/>
            </w:tcMar>
            <w:vAlign w:val="center"/>
          </w:tcPr>
          <w:p w14:paraId="5EB75C4A">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ascii="宋体" w:eastAsia="宋体"/>
                <w:sz w:val="24"/>
                <w:szCs w:val="24"/>
              </w:rPr>
            </w:pPr>
            <w:r>
              <w:rPr>
                <w:rFonts w:hint="eastAsia" w:ascii="宋体" w:hAnsi="宋体" w:eastAsia="宋体" w:cs="宋体"/>
                <w:sz w:val="24"/>
                <w:szCs w:val="24"/>
              </w:rPr>
              <w:t>创造性、暂定性、累积性</w:t>
            </w:r>
          </w:p>
        </w:tc>
        <w:tc>
          <w:tcPr>
            <w:tcW w:w="5299" w:type="dxa"/>
            <w:tcBorders>
              <w:top w:val="single" w:color="auto" w:sz="4" w:space="0"/>
              <w:left w:val="nil"/>
              <w:bottom w:val="nil"/>
              <w:right w:val="nil"/>
            </w:tcBorders>
            <w:noWrap w:val="0"/>
            <w:tcMar>
              <w:top w:w="60" w:type="dxa"/>
              <w:left w:w="80" w:type="dxa"/>
              <w:bottom w:w="60" w:type="dxa"/>
              <w:right w:w="80" w:type="dxa"/>
            </w:tcMar>
            <w:vAlign w:val="center"/>
          </w:tcPr>
          <w:p w14:paraId="7907368E">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hint="eastAsia" w:ascii="宋体" w:eastAsia="宋体"/>
                <w:sz w:val="24"/>
                <w:szCs w:val="24"/>
              </w:rPr>
            </w:pPr>
            <w:r>
              <w:rPr>
                <w:rFonts w:hint="eastAsia" w:ascii="宋体" w:eastAsia="宋体"/>
                <w:sz w:val="24"/>
                <w:szCs w:val="24"/>
              </w:rPr>
              <w:t>1.能结合凯库勒假说提出的背景，说明该假说是科学家基于有限证据作出的创造性理论建构；</w:t>
            </w:r>
          </w:p>
          <w:p w14:paraId="050443E9">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hint="eastAsia" w:ascii="宋体" w:eastAsia="宋体"/>
                <w:sz w:val="24"/>
                <w:szCs w:val="24"/>
              </w:rPr>
            </w:pPr>
            <w:r>
              <w:rPr>
                <w:rFonts w:hint="eastAsia" w:ascii="宋体" w:eastAsia="宋体"/>
                <w:sz w:val="24"/>
                <w:szCs w:val="24"/>
              </w:rPr>
              <w:t>2.能针对邻位取代物种类、氢化热等反常证据，解释凯库勒式因何被质疑并加以修正；</w:t>
            </w:r>
          </w:p>
          <w:p w14:paraId="2003C249">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ascii="宋体" w:eastAsia="宋体"/>
                <w:sz w:val="24"/>
                <w:szCs w:val="24"/>
              </w:rPr>
            </w:pPr>
            <w:r>
              <w:rPr>
                <w:rFonts w:hint="eastAsia" w:ascii="宋体" w:eastAsia="宋体"/>
                <w:sz w:val="24"/>
                <w:szCs w:val="24"/>
              </w:rPr>
              <w:t>3.能总结苯分子结构认识的完整演变脉络，指出科学知识在继承中逐步积累、逼近客观规律。</w:t>
            </w:r>
          </w:p>
        </w:tc>
      </w:tr>
      <w:tr w14:paraId="02134B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137" w:type="dxa"/>
            <w:tcBorders>
              <w:top w:val="nil"/>
              <w:left w:val="nil"/>
              <w:bottom w:val="nil"/>
              <w:right w:val="nil"/>
            </w:tcBorders>
            <w:noWrap w:val="0"/>
            <w:tcMar>
              <w:top w:w="60" w:type="dxa"/>
              <w:left w:w="80" w:type="dxa"/>
              <w:bottom w:w="60" w:type="dxa"/>
              <w:right w:w="80" w:type="dxa"/>
            </w:tcMar>
            <w:vAlign w:val="center"/>
          </w:tcPr>
          <w:p w14:paraId="13259C52">
            <w:pPr>
              <w:snapToGrid w:val="0"/>
              <w:spacing w:line="240" w:lineRule="auto"/>
              <w:ind w:left="0" w:leftChars="0" w:right="0" w:rightChars="0" w:firstLine="0" w:firstLineChars="0"/>
              <w:jc w:val="center"/>
              <w:rPr>
                <w:rFonts w:ascii="宋体" w:eastAsia="宋体"/>
                <w:sz w:val="24"/>
                <w:szCs w:val="24"/>
              </w:rPr>
            </w:pPr>
            <w:r>
              <w:rPr>
                <w:rFonts w:ascii="宋体" w:hAnsi="宋体" w:eastAsia="宋体" w:cs="宋体"/>
                <w:b/>
                <w:bCs/>
                <w:sz w:val="24"/>
                <w:szCs w:val="24"/>
              </w:rPr>
              <w:t>科学探究本质观</w:t>
            </w:r>
          </w:p>
        </w:tc>
        <w:tc>
          <w:tcPr>
            <w:tcW w:w="1827" w:type="dxa"/>
            <w:tcBorders>
              <w:top w:val="nil"/>
              <w:left w:val="nil"/>
              <w:bottom w:val="nil"/>
              <w:right w:val="nil"/>
            </w:tcBorders>
            <w:noWrap w:val="0"/>
            <w:tcMar>
              <w:top w:w="60" w:type="dxa"/>
              <w:left w:w="80" w:type="dxa"/>
              <w:bottom w:w="60" w:type="dxa"/>
              <w:right w:w="80" w:type="dxa"/>
            </w:tcMar>
            <w:vAlign w:val="center"/>
          </w:tcPr>
          <w:p w14:paraId="1F0291CA">
            <w:pPr>
              <w:snapToGrid w:val="0"/>
              <w:spacing w:line="240" w:lineRule="auto"/>
              <w:ind w:left="0" w:leftChars="0" w:right="0" w:rightChars="0" w:firstLine="0" w:firstLineChars="0"/>
              <w:jc w:val="left"/>
              <w:rPr>
                <w:rFonts w:ascii="宋体" w:eastAsia="宋体"/>
                <w:sz w:val="24"/>
                <w:szCs w:val="24"/>
              </w:rPr>
            </w:pPr>
            <w:r>
              <w:rPr>
                <w:rFonts w:hint="eastAsia" w:ascii="宋体" w:hAnsi="宋体" w:eastAsia="宋体" w:cs="宋体"/>
                <w:b w:val="0"/>
                <w:color w:val="000000"/>
                <w:spacing w:val="0"/>
                <w:sz w:val="24"/>
                <w:szCs w:val="24"/>
              </w:rPr>
              <w:t>实证性、方法多样性、逻辑推理性</w:t>
            </w:r>
          </w:p>
        </w:tc>
        <w:tc>
          <w:tcPr>
            <w:tcW w:w="5299" w:type="dxa"/>
            <w:tcBorders>
              <w:top w:val="nil"/>
              <w:left w:val="nil"/>
              <w:bottom w:val="nil"/>
              <w:right w:val="nil"/>
            </w:tcBorders>
            <w:noWrap w:val="0"/>
            <w:tcMar>
              <w:top w:w="60" w:type="dxa"/>
              <w:left w:w="80" w:type="dxa"/>
              <w:bottom w:w="60" w:type="dxa"/>
              <w:right w:w="80" w:type="dxa"/>
            </w:tcMar>
            <w:vAlign w:val="center"/>
          </w:tcPr>
          <w:p w14:paraId="502AF283">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hint="eastAsia" w:ascii="宋体" w:eastAsia="宋体"/>
                <w:sz w:val="24"/>
                <w:szCs w:val="24"/>
              </w:rPr>
            </w:pPr>
            <w:r>
              <w:rPr>
                <w:rFonts w:hint="eastAsia" w:ascii="宋体" w:eastAsia="宋体"/>
                <w:sz w:val="24"/>
                <w:szCs w:val="24"/>
              </w:rPr>
              <w:t>1.能通过完成苯与溴水、酸性高锰酸钾溶液的对比实验，说明实验证据在判断苯环结构中的作用；</w:t>
            </w:r>
          </w:p>
          <w:p w14:paraId="555A8E86">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hint="eastAsia" w:ascii="宋体" w:eastAsia="宋体"/>
                <w:sz w:val="24"/>
                <w:szCs w:val="24"/>
              </w:rPr>
            </w:pPr>
            <w:r>
              <w:rPr>
                <w:rFonts w:hint="eastAsia" w:ascii="宋体" w:eastAsia="宋体"/>
                <w:sz w:val="24"/>
                <w:szCs w:val="24"/>
              </w:rPr>
              <w:t>2.能举例说明定性实验现象与键长、氢化热等定量数据如何相互印证、共同支持同一结论；</w:t>
            </w:r>
          </w:p>
          <w:p w14:paraId="5C5AC6B7">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ascii="宋体" w:eastAsia="宋体"/>
                <w:sz w:val="24"/>
                <w:szCs w:val="24"/>
              </w:rPr>
            </w:pPr>
            <w:r>
              <w:rPr>
                <w:rFonts w:hint="eastAsia" w:ascii="宋体" w:eastAsia="宋体"/>
                <w:sz w:val="24"/>
                <w:szCs w:val="24"/>
              </w:rPr>
              <w:t>3.能根据“假设—演绎”式的论证过程，推断苯环中是否存在典型碳碳双键，并说明推断依据。</w:t>
            </w:r>
          </w:p>
        </w:tc>
      </w:tr>
      <w:tr w14:paraId="79B915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137" w:type="dxa"/>
            <w:tcBorders>
              <w:top w:val="nil"/>
              <w:left w:val="nil"/>
              <w:bottom w:val="single" w:color="auto" w:sz="12" w:space="0"/>
              <w:right w:val="nil"/>
            </w:tcBorders>
            <w:noWrap w:val="0"/>
            <w:tcMar>
              <w:top w:w="60" w:type="dxa"/>
              <w:left w:w="80" w:type="dxa"/>
              <w:bottom w:w="60" w:type="dxa"/>
              <w:right w:w="80" w:type="dxa"/>
            </w:tcMar>
            <w:vAlign w:val="center"/>
          </w:tcPr>
          <w:p w14:paraId="1A9BEABC">
            <w:pPr>
              <w:snapToGrid w:val="0"/>
              <w:spacing w:line="240" w:lineRule="auto"/>
              <w:ind w:left="0" w:leftChars="0" w:right="0" w:rightChars="0" w:firstLine="0" w:firstLineChars="0"/>
              <w:jc w:val="center"/>
              <w:rPr>
                <w:rFonts w:ascii="宋体" w:eastAsia="宋体"/>
                <w:sz w:val="24"/>
                <w:szCs w:val="24"/>
              </w:rPr>
            </w:pPr>
            <w:r>
              <w:rPr>
                <w:rFonts w:ascii="宋体" w:hAnsi="宋体" w:eastAsia="宋体" w:cs="宋体"/>
                <w:b/>
                <w:bCs/>
                <w:sz w:val="24"/>
                <w:szCs w:val="24"/>
              </w:rPr>
              <w:t>科学事业本质观</w:t>
            </w:r>
          </w:p>
        </w:tc>
        <w:tc>
          <w:tcPr>
            <w:tcW w:w="1827" w:type="dxa"/>
            <w:tcBorders>
              <w:top w:val="nil"/>
              <w:left w:val="nil"/>
              <w:bottom w:val="single" w:color="auto" w:sz="12" w:space="0"/>
              <w:right w:val="nil"/>
            </w:tcBorders>
            <w:noWrap w:val="0"/>
            <w:tcMar>
              <w:top w:w="60" w:type="dxa"/>
              <w:left w:w="80" w:type="dxa"/>
              <w:bottom w:w="60" w:type="dxa"/>
              <w:right w:w="80" w:type="dxa"/>
            </w:tcMar>
            <w:vAlign w:val="center"/>
          </w:tcPr>
          <w:p w14:paraId="0435C44D">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ascii="宋体" w:eastAsia="宋体"/>
                <w:sz w:val="24"/>
                <w:szCs w:val="24"/>
              </w:rPr>
            </w:pPr>
            <w:r>
              <w:rPr>
                <w:rFonts w:hint="eastAsia" w:ascii="宋体" w:hAnsi="宋体" w:eastAsia="宋体" w:cs="宋体"/>
                <w:sz w:val="24"/>
                <w:szCs w:val="24"/>
              </w:rPr>
              <w:t>科学与技术、科学与社会、科学共同体</w:t>
            </w:r>
          </w:p>
        </w:tc>
        <w:tc>
          <w:tcPr>
            <w:tcW w:w="5299" w:type="dxa"/>
            <w:tcBorders>
              <w:top w:val="nil"/>
              <w:left w:val="nil"/>
              <w:bottom w:val="single" w:color="auto" w:sz="12" w:space="0"/>
              <w:right w:val="nil"/>
            </w:tcBorders>
            <w:noWrap w:val="0"/>
            <w:tcMar>
              <w:top w:w="60" w:type="dxa"/>
              <w:left w:w="80" w:type="dxa"/>
              <w:bottom w:w="60" w:type="dxa"/>
              <w:right w:w="80" w:type="dxa"/>
            </w:tcMar>
            <w:vAlign w:val="center"/>
          </w:tcPr>
          <w:p w14:paraId="5EA10388">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ascii="宋体" w:eastAsia="宋体"/>
                <w:sz w:val="24"/>
                <w:szCs w:val="24"/>
              </w:rPr>
            </w:pPr>
            <w:r>
              <w:rPr>
                <w:rFonts w:ascii="宋体" w:eastAsia="宋体"/>
                <w:sz w:val="24"/>
                <w:szCs w:val="24"/>
              </w:rPr>
              <w:t>1.能举例说明苯的工业价值与其毒性、致癌性之间的关系，指出技术应用伴随的现实风险；</w:t>
            </w:r>
          </w:p>
          <w:p w14:paraId="3DAE2271">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ascii="宋体" w:eastAsia="宋体"/>
                <w:sz w:val="24"/>
                <w:szCs w:val="24"/>
              </w:rPr>
            </w:pPr>
            <w:r>
              <w:rPr>
                <w:rFonts w:ascii="宋体" w:eastAsia="宋体"/>
                <w:sz w:val="24"/>
                <w:szCs w:val="24"/>
              </w:rPr>
              <w:t>2.能比较模拟听证会中不同角色的立场差异，说明科技应用决策需要综合考量的社会因素；</w:t>
            </w:r>
          </w:p>
          <w:p w14:paraId="50EB92D0">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ascii="宋体" w:eastAsia="宋体"/>
                <w:sz w:val="24"/>
                <w:szCs w:val="24"/>
              </w:rPr>
            </w:pPr>
            <w:r>
              <w:rPr>
                <w:rFonts w:ascii="宋体" w:eastAsia="宋体"/>
                <w:sz w:val="24"/>
                <w:szCs w:val="24"/>
              </w:rPr>
              <w:t>3.能总结化学界对凯库勒式从接受、质疑到修正的历史过程，说明科学共同体检验知识的作用。</w:t>
            </w:r>
          </w:p>
        </w:tc>
      </w:tr>
    </w:tbl>
    <w:p w14:paraId="11281FF6">
      <w:pPr>
        <w:keepNext w:val="0"/>
        <w:keepLines w:val="0"/>
        <w:pageBreakBefore w:val="0"/>
        <w:widowControl/>
        <w:kinsoku/>
        <w:wordWrap/>
        <w:overflowPunct/>
        <w:topLinePunct w:val="0"/>
        <w:autoSpaceDE/>
        <w:autoSpaceDN/>
        <w:bidi w:val="0"/>
        <w:adjustRightInd/>
        <w:snapToGrid/>
        <w:spacing w:after="120" w:line="400" w:lineRule="exact"/>
        <w:ind w:left="0" w:leftChars="0" w:firstLine="0" w:firstLineChars="0"/>
        <w:jc w:val="both"/>
        <w:textAlignment w:val="auto"/>
        <w:rPr>
          <w:rFonts w:hint="eastAsia" w:ascii="宋体" w:hAnsi="宋体" w:cs="宋体"/>
          <w:sz w:val="24"/>
          <w:szCs w:val="24"/>
          <w:lang w:val="en-US" w:eastAsia="zh-CN"/>
        </w:rPr>
      </w:pPr>
    </w:p>
    <w:p w14:paraId="17EE0ADD">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ascii="宋体" w:hAnsi="宋体" w:eastAsia="宋体" w:cs="宋体"/>
          <w:sz w:val="24"/>
          <w:szCs w:val="24"/>
        </w:rPr>
      </w:pPr>
      <w:r>
        <w:rPr>
          <w:rFonts w:hint="eastAsia" w:ascii="宋体" w:hAnsi="宋体" w:cs="宋体"/>
          <w:sz w:val="24"/>
          <w:szCs w:val="24"/>
          <w:lang w:val="en-US" w:eastAsia="zh-CN"/>
        </w:rPr>
        <w:t>除此之外</w:t>
      </w:r>
      <w:r>
        <w:rPr>
          <w:rFonts w:ascii="宋体" w:hAnsi="宋体" w:eastAsia="宋体" w:cs="宋体"/>
          <w:sz w:val="24"/>
          <w:szCs w:val="24"/>
        </w:rPr>
        <w:t>，上述三个维度的目标并非彼此割裂、齐头并进，而是通过“苯分子结构探索史”这一统一情境有机贯穿</w:t>
      </w:r>
      <w:r>
        <w:rPr>
          <w:rFonts w:hint="eastAsia" w:ascii="宋体" w:hAnsi="宋体" w:cs="宋体"/>
          <w:sz w:val="24"/>
          <w:szCs w:val="24"/>
          <w:lang w:eastAsia="zh-CN"/>
        </w:rPr>
        <w:t>：</w:t>
      </w:r>
      <w:r>
        <w:rPr>
          <w:rFonts w:ascii="宋体" w:hAnsi="宋体" w:eastAsia="宋体" w:cs="宋体"/>
          <w:sz w:val="24"/>
          <w:szCs w:val="24"/>
        </w:rPr>
        <w:t>科学知识本质观维度的目标构成认识转变的起点，科学探究本质观维度的目标构成认识转变的方法论支撑，科学事业本质观维度的目标则将认识转变延伸至科学与社会的现实关系之中。三者共同服务于学生对科学本质形成整体性、结构化的认识，也为第三节HPS教学资源的筛选与后续学习任务的设计，提供了明确、可对照检验的目标基准。</w:t>
      </w:r>
    </w:p>
    <w:p w14:paraId="47ED41D0">
      <w:pPr>
        <w:pStyle w:val="2"/>
        <w:keepNext/>
        <w:keepLines w:val="0"/>
        <w:pageBreakBefore w:val="0"/>
        <w:widowControl w:val="0"/>
        <w:numPr>
          <w:ilvl w:val="1"/>
          <w:numId w:val="25"/>
        </w:numPr>
        <w:kinsoku/>
        <w:wordWrap/>
        <w:overflowPunct/>
        <w:topLinePunct w:val="0"/>
        <w:autoSpaceDE/>
        <w:autoSpaceDN/>
        <w:bidi w:val="0"/>
        <w:adjustRightInd/>
        <w:snapToGrid/>
        <w:jc w:val="center"/>
        <w:textAlignment w:val="auto"/>
        <w:rPr>
          <w:rFonts w:hint="eastAsia"/>
        </w:rPr>
      </w:pPr>
      <w:r>
        <w:rPr>
          <w:rFonts w:hint="eastAsia"/>
        </w:rPr>
        <w:t>以化学史为主线的HPS教学资源筛选设计</w:t>
      </w:r>
    </w:p>
    <w:p w14:paraId="10936507">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第三章提出，选取HPS教学素材应当满足三条原则：史料本身要有明确的证据记载，可以查证，学生能够围绕证据展开讨论；史料要与所设定的科学本质观培养目标对应清楚，相应段落的历史情节能够对应到相应的目标上，而不是仅仅作为课堂点缀；史料涉及的化学知识要在学生能够理解的范围之内，不超出高中教学的要求。本节依据这三条原则，从苯的化学史中选取适合本节课使用的教学素材，先梳理苯分子结构探索的历史脉络，再说明这些史料在教学中如何选取和安排。</w:t>
      </w:r>
    </w:p>
    <w:p w14:paraId="390DFA17">
      <w:pPr>
        <w:pStyle w:val="5"/>
        <w:keepNext/>
        <w:keepLines/>
        <w:pageBreakBefore w:val="0"/>
        <w:widowControl w:val="0"/>
        <w:numPr>
          <w:ilvl w:val="1"/>
          <w:numId w:val="29"/>
        </w:numPr>
        <w:kinsoku/>
        <w:wordWrap/>
        <w:overflowPunct/>
        <w:topLinePunct w:val="0"/>
        <w:autoSpaceDE/>
        <w:autoSpaceDN/>
        <w:bidi w:val="0"/>
        <w:adjustRightInd/>
        <w:ind w:firstLine="0"/>
        <w:textAlignment w:val="auto"/>
        <w:rPr>
          <w:rFonts w:hint="eastAsia"/>
          <w:lang w:val="en-US" w:eastAsia="zh-CN"/>
        </w:rPr>
      </w:pPr>
      <w:r>
        <w:rPr>
          <w:rFonts w:hint="eastAsia"/>
          <w:lang w:val="en-US" w:eastAsia="zh-CN"/>
        </w:rPr>
        <w:t>苯分子结构探索的历史脉络</w:t>
      </w:r>
    </w:p>
    <w:p w14:paraId="01C982E9">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苯分子结构的确立经历了大约一个世纪的曲折过程，其中与本节课教学关系最为密切的，主要是以下四段史实。</w:t>
      </w:r>
    </w:p>
    <w:p w14:paraId="7AF8D472">
      <w:pPr>
        <w:keepNext w:val="0"/>
        <w:keepLines w:val="0"/>
        <w:pageBreakBefore w:val="0"/>
        <w:widowControl/>
        <w:numPr>
          <w:ilvl w:val="0"/>
          <w:numId w:val="30"/>
        </w:numPr>
        <w:kinsoku/>
        <w:wordWrap/>
        <w:overflowPunct/>
        <w:topLinePunct w:val="0"/>
        <w:autoSpaceDE/>
        <w:autoSpaceDN/>
        <w:bidi w:val="0"/>
        <w:adjustRightInd/>
        <w:snapToGrid/>
        <w:spacing w:after="120" w:line="400" w:lineRule="exact"/>
        <w:ind w:left="0" w:leftChars="0" w:firstLine="540" w:firstLineChars="200"/>
        <w:jc w:val="both"/>
        <w:textAlignment w:val="auto"/>
        <w:rPr>
          <w:rFonts w:hint="eastAsia" w:ascii="Times New Roman" w:hAnsi="Times New Roman" w:eastAsia="黑体" w:cs="Times New Roman"/>
          <w:spacing w:val="-5"/>
          <w:sz w:val="28"/>
          <w:lang w:val="en-US" w:eastAsia="zh-CN" w:bidi="ar-SA"/>
        </w:rPr>
      </w:pPr>
      <w:r>
        <w:rPr>
          <w:rFonts w:hint="eastAsia" w:ascii="Times New Roman" w:hAnsi="Times New Roman" w:eastAsia="黑体" w:cs="Times New Roman"/>
          <w:spacing w:val="-5"/>
          <w:sz w:val="28"/>
          <w:lang w:val="en-US" w:eastAsia="zh-CN" w:bidi="ar-SA"/>
        </w:rPr>
        <w:t>苯的发现与分子式之谜</w:t>
      </w:r>
    </w:p>
    <w:p w14:paraId="357BF2F3">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19世纪初，法拉第从照明气的残留液中分离得到一种新的碳氢化合物，后经其他化学家测定，确认其分子式为</w:t>
      </w:r>
      <w:r>
        <w:rPr>
          <w:rFonts w:hint="default" w:ascii="Times New Roman" w:hAnsi="Times New Roman" w:cs="Times New Roman"/>
          <w:sz w:val="24"/>
          <w:szCs w:val="24"/>
          <w:lang w:val="en-US" w:eastAsia="zh-CN"/>
        </w:rPr>
        <w:t>C</w:t>
      </w:r>
      <w:r>
        <w:rPr>
          <w:rFonts w:hint="default" w:ascii="Times New Roman" w:hAnsi="Times New Roman" w:cs="Times New Roman"/>
          <w:sz w:val="24"/>
          <w:szCs w:val="24"/>
          <w:vertAlign w:val="subscript"/>
          <w:lang w:val="en-US" w:eastAsia="zh-CN"/>
        </w:rPr>
        <w:t>6</w:t>
      </w:r>
      <w:r>
        <w:rPr>
          <w:rFonts w:hint="default" w:ascii="Times New Roman" w:hAnsi="Times New Roman" w:cs="Times New Roman"/>
          <w:sz w:val="24"/>
          <w:szCs w:val="24"/>
          <w:lang w:val="en-US" w:eastAsia="zh-CN"/>
        </w:rPr>
        <w:t>H</w:t>
      </w:r>
      <w:r>
        <w:rPr>
          <w:rFonts w:hint="default" w:ascii="Times New Roman" w:hAnsi="Times New Roman" w:cs="Times New Roman"/>
          <w:sz w:val="24"/>
          <w:szCs w:val="24"/>
          <w:vertAlign w:val="subscript"/>
          <w:lang w:val="en-US" w:eastAsia="zh-CN"/>
        </w:rPr>
        <w:t>6</w:t>
      </w:r>
      <w:r>
        <w:rPr>
          <w:rFonts w:hint="eastAsia" w:ascii="宋体" w:hAnsi="宋体" w:cs="宋体"/>
          <w:sz w:val="24"/>
          <w:szCs w:val="24"/>
          <w:lang w:val="en-US" w:eastAsia="zh-CN"/>
        </w:rPr>
        <w:t>。这个分子式给当时的化学界出了一道难题：按碳氢比推算，苯应当是高度不饱和的，性质理应活泼，但实际上苯却相当稳定。分子式与性质之间的这种矛盾，成为化学家们探索苯分子结构的起点，也是本节课引入问题情境的天然素材。</w:t>
      </w:r>
    </w:p>
    <w:p w14:paraId="25860311">
      <w:pPr>
        <w:keepNext w:val="0"/>
        <w:keepLines w:val="0"/>
        <w:pageBreakBefore w:val="0"/>
        <w:widowControl/>
        <w:numPr>
          <w:ilvl w:val="0"/>
          <w:numId w:val="30"/>
        </w:numPr>
        <w:kinsoku/>
        <w:wordWrap/>
        <w:overflowPunct/>
        <w:topLinePunct w:val="0"/>
        <w:autoSpaceDE/>
        <w:autoSpaceDN/>
        <w:bidi w:val="0"/>
        <w:adjustRightInd/>
        <w:snapToGrid/>
        <w:spacing w:after="120" w:line="400" w:lineRule="exact"/>
        <w:ind w:left="0" w:leftChars="0" w:firstLine="540" w:firstLineChars="200"/>
        <w:jc w:val="both"/>
        <w:textAlignment w:val="auto"/>
        <w:rPr>
          <w:rFonts w:hint="eastAsia" w:ascii="Times New Roman" w:hAnsi="Times New Roman" w:eastAsia="黑体" w:cs="Times New Roman"/>
          <w:spacing w:val="-5"/>
          <w:sz w:val="28"/>
          <w:lang w:val="en-US" w:eastAsia="zh-CN" w:bidi="ar-SA"/>
        </w:rPr>
      </w:pPr>
      <w:r>
        <w:rPr>
          <w:rFonts w:hint="eastAsia" w:ascii="Times New Roman" w:hAnsi="Times New Roman" w:eastAsia="黑体" w:cs="Times New Roman"/>
          <w:spacing w:val="-5"/>
          <w:sz w:val="28"/>
          <w:lang w:val="en-US" w:eastAsia="zh-CN" w:bidi="ar-SA"/>
        </w:rPr>
        <w:t>凯库勒环状结构假说的提出</w:t>
      </w:r>
    </w:p>
    <w:p w14:paraId="59746911">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19世纪60年代前后，德国化学家凯库勒在碳四价学说和碳链结构理论的基础上，提出苯分子是由六个碳原子首尾相连构成的六元环，环上碳碳单键与碳碳双键交替排列，这就是后来所称的凯库勒式。凯库勒式合理地解释了苯的分子式，在相当长的一段时间内为化学界普遍接受。</w:t>
      </w:r>
    </w:p>
    <w:p w14:paraId="5B1D7F56">
      <w:pPr>
        <w:keepNext w:val="0"/>
        <w:keepLines w:val="0"/>
        <w:pageBreakBefore w:val="0"/>
        <w:widowControl/>
        <w:numPr>
          <w:ilvl w:val="0"/>
          <w:numId w:val="31"/>
        </w:numPr>
        <w:kinsoku/>
        <w:wordWrap/>
        <w:overflowPunct/>
        <w:topLinePunct w:val="0"/>
        <w:autoSpaceDE/>
        <w:autoSpaceDN/>
        <w:bidi w:val="0"/>
        <w:adjustRightInd/>
        <w:snapToGrid/>
        <w:spacing w:after="120" w:line="400" w:lineRule="exact"/>
        <w:ind w:left="0" w:leftChars="0" w:firstLine="540" w:firstLineChars="200"/>
        <w:jc w:val="both"/>
        <w:textAlignment w:val="auto"/>
        <w:rPr>
          <w:rFonts w:hint="eastAsia" w:ascii="Times New Roman" w:hAnsi="Times New Roman" w:eastAsia="黑体" w:cs="Times New Roman"/>
          <w:spacing w:val="-5"/>
          <w:sz w:val="28"/>
          <w:lang w:val="en-US" w:eastAsia="zh-CN" w:bidi="ar-SA"/>
        </w:rPr>
      </w:pPr>
      <w:r>
        <w:rPr>
          <w:rFonts w:hint="eastAsia" w:ascii="Times New Roman" w:hAnsi="Times New Roman" w:eastAsia="黑体" w:cs="Times New Roman"/>
          <w:spacing w:val="-5"/>
          <w:sz w:val="28"/>
          <w:lang w:val="en-US" w:eastAsia="zh-CN" w:bidi="ar-SA"/>
        </w:rPr>
        <w:t>凯库勒式受到的质疑</w:t>
      </w:r>
    </w:p>
    <w:p w14:paraId="1207F269">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随着实验研究的深入，化学家们发现凯库勒式解释不了一些重要的实验事实。首先，如果苯环上真的存在单键与双键的交替，那么苯的邻位二元取代物应当有两种同分异构体（两个取代基之间隔着单键或隔着双键），但实验反复证明邻位二取代物只有一种。其次，实验测得苯的氢化热远低于按“三个孤立碳碳双键”推算出的数值，说明苯比设想中的环己三烯稳定得多。再次，苯既不能使溴水褪色，也不能使酸性高锰酸钾溶液褪色，表现不出典型碳碳双键应有的化学性质。这些事实使化学界意识到，凯库勒式并不能真实反映苯的结构，必须加以修正。</w:t>
      </w:r>
    </w:p>
    <w:p w14:paraId="227765DB">
      <w:pPr>
        <w:keepNext w:val="0"/>
        <w:keepLines w:val="0"/>
        <w:pageBreakBefore w:val="0"/>
        <w:widowControl/>
        <w:numPr>
          <w:ilvl w:val="0"/>
          <w:numId w:val="31"/>
        </w:numPr>
        <w:kinsoku/>
        <w:wordWrap/>
        <w:overflowPunct/>
        <w:topLinePunct w:val="0"/>
        <w:autoSpaceDE/>
        <w:autoSpaceDN/>
        <w:bidi w:val="0"/>
        <w:adjustRightInd/>
        <w:snapToGrid/>
        <w:spacing w:after="120" w:line="400" w:lineRule="exact"/>
        <w:ind w:left="0" w:leftChars="0" w:firstLine="540" w:firstLineChars="200"/>
        <w:jc w:val="both"/>
        <w:textAlignment w:val="auto"/>
        <w:rPr>
          <w:rFonts w:hint="eastAsia" w:ascii="Times New Roman" w:hAnsi="Times New Roman" w:eastAsia="黑体" w:cs="Times New Roman"/>
          <w:spacing w:val="-5"/>
          <w:sz w:val="28"/>
          <w:lang w:val="en-US" w:eastAsia="zh-CN" w:bidi="ar-SA"/>
        </w:rPr>
      </w:pPr>
      <w:r>
        <w:rPr>
          <w:rFonts w:hint="eastAsia" w:ascii="Times New Roman" w:hAnsi="Times New Roman" w:eastAsia="黑体" w:cs="Times New Roman"/>
          <w:spacing w:val="-5"/>
          <w:sz w:val="28"/>
          <w:lang w:val="en-US" w:eastAsia="zh-CN" w:bidi="ar-SA"/>
        </w:rPr>
        <w:t>现代苯环结构的确立</w:t>
      </w:r>
    </w:p>
    <w:p w14:paraId="3B9AA44B">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20世纪以来，化学家借助键长测定等手段发现，苯环上六个碳碳键的键长完全相等，约为</w:t>
      </w:r>
      <w:r>
        <w:rPr>
          <w:rFonts w:hint="eastAsia" w:ascii="Times New Roman" w:hAnsi="Times New Roman" w:cs="Times New Roman"/>
          <w:sz w:val="24"/>
          <w:szCs w:val="24"/>
          <w:lang w:val="en-US" w:eastAsia="zh-CN"/>
        </w:rPr>
        <w:t>1.40×10</w:t>
      </w:r>
      <w:r>
        <w:rPr>
          <w:rFonts w:hint="eastAsia" w:cs="Times New Roman"/>
          <w:sz w:val="24"/>
          <w:szCs w:val="24"/>
          <w:vertAlign w:val="superscript"/>
          <w:lang w:val="en-US" w:eastAsia="zh-CN"/>
        </w:rPr>
        <w:t>-10</w:t>
      </w:r>
      <w:r>
        <w:rPr>
          <w:rFonts w:hint="eastAsia" w:ascii="Times New Roman" w:hAnsi="Times New Roman" w:cs="Times New Roman"/>
          <w:sz w:val="24"/>
          <w:szCs w:val="24"/>
          <w:lang w:val="en-US" w:eastAsia="zh-CN"/>
        </w:rPr>
        <w:t>m</w:t>
      </w:r>
      <w:r>
        <w:rPr>
          <w:rFonts w:hint="eastAsia" w:ascii="宋体" w:hAnsi="宋体" w:cs="宋体"/>
          <w:sz w:val="24"/>
          <w:szCs w:val="24"/>
          <w:lang w:val="en-US" w:eastAsia="zh-CN"/>
        </w:rPr>
        <w:t>，介于碳碳单键（约</w:t>
      </w:r>
      <w:r>
        <w:rPr>
          <w:rFonts w:hint="default" w:ascii="Times New Roman" w:hAnsi="Times New Roman" w:cs="Times New Roman"/>
          <w:sz w:val="24"/>
          <w:szCs w:val="24"/>
          <w:lang w:val="en-US" w:eastAsia="zh-CN"/>
        </w:rPr>
        <w:t>1.54×10⁻</w:t>
      </w:r>
      <w:r>
        <w:rPr>
          <w:rFonts w:hint="eastAsia" w:cs="Times New Roman"/>
          <w:sz w:val="24"/>
          <w:szCs w:val="24"/>
          <w:vertAlign w:val="superscript"/>
          <w:lang w:val="en-US" w:eastAsia="zh-CN"/>
        </w:rPr>
        <w:t>10</w:t>
      </w:r>
      <w:r>
        <w:rPr>
          <w:rFonts w:hint="default" w:ascii="Times New Roman" w:hAnsi="Times New Roman" w:cs="Times New Roman"/>
          <w:sz w:val="24"/>
          <w:szCs w:val="24"/>
          <w:lang w:val="en-US" w:eastAsia="zh-CN"/>
        </w:rPr>
        <w:t>m</w:t>
      </w:r>
      <w:r>
        <w:rPr>
          <w:rFonts w:hint="eastAsia" w:ascii="宋体" w:hAnsi="宋体" w:cs="宋体"/>
          <w:sz w:val="24"/>
          <w:szCs w:val="24"/>
          <w:lang w:val="en-US" w:eastAsia="zh-CN"/>
        </w:rPr>
        <w:t>）与碳碳双键（约</w:t>
      </w:r>
      <w:r>
        <w:rPr>
          <w:rFonts w:hint="eastAsia" w:ascii="Times New Roman" w:hAnsi="Times New Roman" w:cs="Times New Roman"/>
          <w:sz w:val="24"/>
          <w:szCs w:val="24"/>
          <w:lang w:val="en-US" w:eastAsia="zh-CN"/>
        </w:rPr>
        <w:t>1.34×10</w:t>
      </w:r>
      <w:r>
        <w:rPr>
          <w:rFonts w:hint="eastAsia" w:cs="Times New Roman"/>
          <w:sz w:val="24"/>
          <w:szCs w:val="24"/>
          <w:vertAlign w:val="superscript"/>
          <w:lang w:val="en-US" w:eastAsia="zh-CN"/>
        </w:rPr>
        <w:t>-10</w:t>
      </w:r>
      <w:r>
        <w:rPr>
          <w:rFonts w:hint="eastAsia" w:ascii="Times New Roman" w:hAnsi="Times New Roman" w:cs="Times New Roman"/>
          <w:sz w:val="24"/>
          <w:szCs w:val="24"/>
          <w:lang w:val="en-US" w:eastAsia="zh-CN"/>
        </w:rPr>
        <w:t>m</w:t>
      </w:r>
      <w:r>
        <w:rPr>
          <w:rFonts w:hint="eastAsia" w:ascii="宋体" w:hAnsi="宋体" w:cs="宋体"/>
          <w:sz w:val="24"/>
          <w:szCs w:val="24"/>
          <w:lang w:val="en-US" w:eastAsia="zh-CN"/>
        </w:rPr>
        <w:t>）之间。在此基础上，现代价键理论给出了新的解释：苯分子中六个碳原子的p轨道相互重叠，形成一个离域的大</w:t>
      </w:r>
      <w:r>
        <w:rPr>
          <w:rFonts w:hint="eastAsia" w:ascii="Times New Roman" w:hAnsi="Times New Roman" w:cs="Times New Roman"/>
          <w:sz w:val="24"/>
          <w:szCs w:val="24"/>
          <w:lang w:val="en-US" w:eastAsia="zh-CN"/>
        </w:rPr>
        <w:t>π</w:t>
      </w:r>
      <w:r>
        <w:rPr>
          <w:rFonts w:hint="eastAsia" w:ascii="宋体" w:hAnsi="宋体" w:cs="宋体"/>
          <w:sz w:val="24"/>
          <w:szCs w:val="24"/>
          <w:lang w:val="en-US" w:eastAsia="zh-CN"/>
        </w:rPr>
        <w:t>键，六个碳碳键完全等同，环上并不存在单双键交替的结构。至此，苯分子结构的问题才得到了比较圆满的解答。</w:t>
      </w:r>
    </w:p>
    <w:p w14:paraId="38D14698">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不难看出，这段历史完整地经历了如图4-1所示</w:t>
      </w:r>
      <w:r>
        <w:rPr>
          <w:rFonts w:hint="eastAsia" w:ascii="宋体" w:hAnsi="宋体" w:cs="宋体"/>
          <w:sz w:val="24"/>
          <w:szCs w:val="24"/>
          <w:highlight w:val="none"/>
          <w:lang w:val="en-US" w:eastAsia="zh-CN"/>
        </w:rPr>
        <w:t>“发现问题—提出假说—假说受到质疑—修正认识”</w:t>
      </w:r>
      <w:r>
        <w:rPr>
          <w:rFonts w:hint="eastAsia" w:ascii="宋体" w:hAnsi="宋体" w:cs="宋体"/>
          <w:sz w:val="24"/>
          <w:szCs w:val="24"/>
          <w:lang w:val="en-US" w:eastAsia="zh-CN"/>
        </w:rPr>
        <w:t>的全过程，其中每一步都有明确的实验事实作为依据，这正是它适合用来开展科学本质观教学的根本原因。</w:t>
      </w:r>
    </w:p>
    <w:p w14:paraId="5C3DCF2E">
      <w:pPr>
        <w:keepNext w:val="0"/>
        <w:keepLines w:val="0"/>
        <w:pageBreakBefore w:val="0"/>
        <w:widowControl/>
        <w:kinsoku/>
        <w:wordWrap/>
        <w:overflowPunct/>
        <w:topLinePunct w:val="0"/>
        <w:autoSpaceDE/>
        <w:autoSpaceDN/>
        <w:bidi w:val="0"/>
        <w:adjustRightInd/>
        <w:snapToGrid/>
        <w:spacing w:after="120" w:line="240" w:lineRule="auto"/>
        <w:ind w:left="0" w:leftChars="0" w:firstLine="0" w:firstLineChars="0"/>
        <w:jc w:val="center"/>
        <w:textAlignment w:val="auto"/>
        <w:rPr>
          <w:rFonts w:hint="eastAsia" w:ascii="宋体" w:hAnsi="宋体" w:cs="宋体"/>
          <w:sz w:val="24"/>
          <w:szCs w:val="24"/>
          <w:lang w:val="en-US" w:eastAsia="zh-CN"/>
        </w:rPr>
      </w:pPr>
      <w:r>
        <w:rPr>
          <w:rFonts w:hint="eastAsia" w:ascii="宋体" w:hAnsi="宋体" w:cs="宋体"/>
          <w:sz w:val="24"/>
          <w:szCs w:val="24"/>
          <w:lang w:val="en-US" w:eastAsia="zh-CN"/>
        </w:rPr>
        <w:drawing>
          <wp:inline distT="0" distB="0" distL="114300" distR="114300">
            <wp:extent cx="6099175" cy="1282700"/>
            <wp:effectExtent l="0" t="0" r="6350" b="3175"/>
            <wp:docPr id="14" name="图片 14" descr="苯分子结构认识演变链路图（重制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苯分子结构认识演变链路图（重制版）"/>
                    <pic:cNvPicPr>
                      <a:picLocks noChangeAspect="1"/>
                    </pic:cNvPicPr>
                  </pic:nvPicPr>
                  <pic:blipFill>
                    <a:blip r:embed="rId20"/>
                    <a:stretch>
                      <a:fillRect/>
                    </a:stretch>
                  </pic:blipFill>
                  <pic:spPr>
                    <a:xfrm>
                      <a:off x="0" y="0"/>
                      <a:ext cx="6099175" cy="1282700"/>
                    </a:xfrm>
                    <a:prstGeom prst="rect">
                      <a:avLst/>
                    </a:prstGeom>
                  </pic:spPr>
                </pic:pic>
              </a:graphicData>
            </a:graphic>
          </wp:inline>
        </w:drawing>
      </w:r>
    </w:p>
    <w:p w14:paraId="1AB290D8">
      <w:pPr>
        <w:keepNext w:val="0"/>
        <w:keepLines w:val="0"/>
        <w:pageBreakBefore w:val="0"/>
        <w:widowControl/>
        <w:kinsoku/>
        <w:wordWrap/>
        <w:overflowPunct/>
        <w:topLinePunct w:val="0"/>
        <w:autoSpaceDE/>
        <w:autoSpaceDN/>
        <w:bidi w:val="0"/>
        <w:adjustRightInd/>
        <w:snapToGrid/>
        <w:spacing w:after="120" w:line="240" w:lineRule="auto"/>
        <w:ind w:left="0" w:leftChars="0" w:firstLine="0" w:firstLineChars="0"/>
        <w:jc w:val="center"/>
        <w:textAlignment w:val="auto"/>
        <w:rPr>
          <w:rFonts w:hint="eastAsia" w:ascii="宋体" w:hAnsi="宋体" w:cs="宋体"/>
          <w:sz w:val="24"/>
          <w:szCs w:val="24"/>
          <w:lang w:val="en-US" w:eastAsia="zh-CN"/>
        </w:rPr>
      </w:pPr>
      <w:r>
        <w:rPr>
          <w:rFonts w:hint="eastAsia" w:ascii="宋体" w:hAnsi="宋体" w:cs="宋体"/>
          <w:sz w:val="24"/>
          <w:szCs w:val="24"/>
          <w:lang w:val="en-US" w:eastAsia="zh-CN"/>
        </w:rPr>
        <w:t>图4-1 苯分子结构认识演变的认知链路</w:t>
      </w:r>
    </w:p>
    <w:p w14:paraId="36951806">
      <w:pPr>
        <w:keepNext w:val="0"/>
        <w:keepLines/>
        <w:pageBreakBefore w:val="0"/>
        <w:widowControl w:val="0"/>
        <w:kinsoku/>
        <w:wordWrap/>
        <w:overflowPunct/>
        <w:topLinePunct w:val="0"/>
        <w:autoSpaceDE/>
        <w:autoSpaceDN/>
        <w:bidi w:val="0"/>
        <w:adjustRightInd/>
        <w:spacing w:after="120"/>
        <w:ind w:firstLine="0" w:firstLineChars="0"/>
        <w:jc w:val="center"/>
        <w:textAlignment w:val="auto"/>
        <w:rPr>
          <w:rFonts w:hint="default" w:ascii="宋体" w:hAnsi="宋体" w:cs="宋体"/>
          <w:sz w:val="24"/>
          <w:szCs w:val="24"/>
          <w:lang w:val="en-US" w:eastAsia="zh-CN"/>
        </w:rPr>
      </w:pPr>
      <w:r>
        <w:rPr>
          <w:rFonts w:ascii="Times New Roman" w:hAnsi="Times New Roman" w:eastAsia="Times New Roman" w:cs="Times New Roman"/>
          <w:i/>
          <w:iCs/>
          <w:sz w:val="18"/>
          <w:szCs w:val="18"/>
        </w:rPr>
        <w:t>Fig. 4-1  Cognitive Pathway of the Evolving Understanding of the Molecular Structure of Benzene</w:t>
      </w:r>
      <w:bookmarkStart w:id="5" w:name="_GoBack"/>
      <w:bookmarkEnd w:id="5"/>
    </w:p>
    <w:p w14:paraId="4DE45B57">
      <w:pPr>
        <w:pStyle w:val="5"/>
        <w:keepNext/>
        <w:keepLines/>
        <w:pageBreakBefore w:val="0"/>
        <w:widowControl w:val="0"/>
        <w:numPr>
          <w:ilvl w:val="1"/>
          <w:numId w:val="29"/>
        </w:numPr>
        <w:kinsoku/>
        <w:wordWrap/>
        <w:overflowPunct/>
        <w:topLinePunct w:val="0"/>
        <w:autoSpaceDE/>
        <w:autoSpaceDN/>
        <w:bidi w:val="0"/>
        <w:adjustRightInd/>
        <w:snapToGrid/>
        <w:spacing w:line="400" w:lineRule="exact"/>
        <w:ind w:firstLine="0"/>
        <w:textAlignment w:val="auto"/>
        <w:rPr>
          <w:rFonts w:hint="eastAsia"/>
          <w:lang w:val="en-US" w:eastAsia="zh-CN"/>
        </w:rPr>
      </w:pPr>
      <w:r>
        <w:rPr>
          <w:rFonts w:hint="eastAsia"/>
          <w:lang w:val="en-US" w:eastAsia="zh-CN"/>
        </w:rPr>
        <w:t>教学素材的选取与安排</w:t>
      </w:r>
    </w:p>
    <w:p w14:paraId="2AC73BE7">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pPr>
      <w:r>
        <w:rPr>
          <w:rFonts w:ascii="宋体" w:hAnsi="宋体" w:eastAsia="宋体" w:cs="宋体"/>
          <w:sz w:val="24"/>
          <w:szCs w:val="24"/>
        </w:rPr>
        <w:t>上述历史脉络内容丰富，而课时容量有限，教学素材的选取必须有所取舍。依据前述三条筛选原则，并对照第二节所设定的培养目标，本设计从中选取三组素材，分别指向科学本质观的三个维度，现将各组素材的构成及其选取依据分述如下。</w:t>
      </w:r>
    </w:p>
    <w:p w14:paraId="4871CC95">
      <w:pPr>
        <w:keepNext w:val="0"/>
        <w:keepLines w:val="0"/>
        <w:pageBreakBefore w:val="0"/>
        <w:widowControl/>
        <w:numPr>
          <w:ilvl w:val="0"/>
          <w:numId w:val="32"/>
        </w:numPr>
        <w:kinsoku/>
        <w:wordWrap/>
        <w:overflowPunct/>
        <w:topLinePunct w:val="0"/>
        <w:autoSpaceDE/>
        <w:autoSpaceDN/>
        <w:bidi w:val="0"/>
        <w:adjustRightInd/>
        <w:snapToGrid/>
        <w:spacing w:after="120" w:line="400" w:lineRule="exact"/>
        <w:ind w:firstLine="482"/>
        <w:jc w:val="both"/>
        <w:textAlignment w:val="auto"/>
        <w:rPr>
          <w:rFonts w:ascii="宋体" w:hAnsi="宋体" w:eastAsia="宋体" w:cs="宋体"/>
          <w:b/>
          <w:bCs/>
          <w:sz w:val="24"/>
          <w:szCs w:val="24"/>
        </w:rPr>
      </w:pPr>
      <w:r>
        <w:rPr>
          <w:rFonts w:ascii="宋体" w:hAnsi="宋体" w:eastAsia="宋体" w:cs="宋体"/>
          <w:b/>
          <w:bCs/>
          <w:sz w:val="24"/>
          <w:szCs w:val="24"/>
        </w:rPr>
        <w:t>指向科学知识本质观的素材：凯库勒式的提出与修正</w:t>
      </w:r>
    </w:p>
    <w:p w14:paraId="3736D16D">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本组素材包括三部分内容：凯库勒提出环状结构假说的理论背景（碳四价学说与碳链结构理论）、假说的具体内容（六元环、单双键交替排列），以及促使该假说被修正的三项实验事实：苯的邻位二元取代物经实验反复证实只有一种，而非凯库勒式所预测的两种；苯的氢化热实测值远低于按三个孤立碳碳双键推算的理论值；苯不能使溴水与酸性高锰酸钾溶液褪色，不具备典型碳碳双键应有的化学性质。</w:t>
      </w:r>
    </w:p>
    <w:p w14:paraId="203FBE95">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选取本组素材的依据在于，凯库勒式由提出、盛行到被修正的完整历程，恰与科学知识本质观维度所指向的三个因素形成严格对应：假说的提出源于科学家在有限证据基础上的理论构想，可用以阐明科学知识的创造性；假说因新证据的出现而被检验与改写，可用以阐明科学知识的暂定性；对苯分子结构的认识在修正中不断深化而非推倒重来，可用以阐明科学知识的累积性。本组素材构成“科学理论危机与模型修正”学习任务的核心内容。</w:t>
      </w:r>
    </w:p>
    <w:p w14:paraId="157385CA">
      <w:pPr>
        <w:keepNext w:val="0"/>
        <w:keepLines w:val="0"/>
        <w:pageBreakBefore w:val="0"/>
        <w:widowControl/>
        <w:numPr>
          <w:ilvl w:val="0"/>
          <w:numId w:val="32"/>
        </w:numPr>
        <w:kinsoku/>
        <w:wordWrap/>
        <w:overflowPunct/>
        <w:topLinePunct w:val="0"/>
        <w:autoSpaceDE/>
        <w:autoSpaceDN/>
        <w:bidi w:val="0"/>
        <w:adjustRightInd/>
        <w:snapToGrid/>
        <w:spacing w:after="120" w:line="400" w:lineRule="exact"/>
        <w:ind w:left="0" w:leftChars="0" w:firstLine="482" w:firstLineChars="0"/>
        <w:jc w:val="both"/>
        <w:textAlignment w:val="auto"/>
        <w:rPr>
          <w:rFonts w:ascii="宋体" w:hAnsi="宋体" w:eastAsia="宋体" w:cs="宋体"/>
          <w:b/>
          <w:bCs/>
          <w:sz w:val="24"/>
          <w:szCs w:val="24"/>
        </w:rPr>
      </w:pPr>
      <w:r>
        <w:rPr>
          <w:rFonts w:ascii="宋体" w:hAnsi="宋体" w:eastAsia="宋体" w:cs="宋体"/>
          <w:b/>
          <w:bCs/>
          <w:sz w:val="24"/>
          <w:szCs w:val="24"/>
        </w:rPr>
        <w:t>指向科学探究本质观的素材：检验苯环结构的实验与数据</w:t>
      </w:r>
    </w:p>
    <w:p w14:paraId="5F995A01">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本组素材包括两类证据：一类是可在课堂上完成的定性实验，即苯与溴水、酸性高锰酸钾溶液作用的对比实验；另一类是史料中的定量数据，即苯环碳碳键的键长测定值与苯的氢化热实测值。</w:t>
      </w:r>
    </w:p>
    <w:p w14:paraId="5946ADCC">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选取本组素材的依据有二：其一，溴水与酸性高锰酸钾溶液的实验操作简便、现象明确，且学生在乙烯一节已完成过同类实验，具备将实验现象转化为结构证据的知识基础，符合学科契合性的要求；其二，定性实验与定量数据并置，能够使学生认识到科学结论的确立须经多种证据的相互印证，单一证据不足以支撑结论，这正是科学探究本质观维度中实证性与方法多样性两个因素的直接体现。本组素材构成“科学证据获取与探究过程”学习任务的核心内容。</w:t>
      </w:r>
    </w:p>
    <w:p w14:paraId="7431435E">
      <w:pPr>
        <w:keepNext w:val="0"/>
        <w:keepLines w:val="0"/>
        <w:pageBreakBefore w:val="0"/>
        <w:widowControl/>
        <w:numPr>
          <w:ilvl w:val="0"/>
          <w:numId w:val="30"/>
        </w:numPr>
        <w:kinsoku/>
        <w:wordWrap/>
        <w:overflowPunct/>
        <w:topLinePunct w:val="0"/>
        <w:autoSpaceDE/>
        <w:autoSpaceDN/>
        <w:bidi w:val="0"/>
        <w:adjustRightInd/>
        <w:snapToGrid/>
        <w:spacing w:after="120" w:line="400" w:lineRule="exact"/>
        <w:ind w:left="0" w:leftChars="0" w:firstLine="462" w:firstLineChars="200"/>
        <w:jc w:val="both"/>
        <w:textAlignment w:val="auto"/>
        <w:rPr>
          <w:rFonts w:ascii="宋体" w:hAnsi="宋体" w:eastAsia="宋体" w:cs="宋体"/>
          <w:b/>
          <w:bCs/>
          <w:sz w:val="24"/>
          <w:szCs w:val="24"/>
        </w:rPr>
      </w:pPr>
      <w:r>
        <w:rPr>
          <w:rFonts w:ascii="宋体" w:hAnsi="宋体" w:eastAsia="宋体" w:cs="宋体"/>
          <w:b/>
          <w:bCs/>
          <w:sz w:val="24"/>
          <w:szCs w:val="24"/>
        </w:rPr>
        <w:t>指向科学事业本质观的素材：苯的工业应用与职业危害</w:t>
      </w:r>
    </w:p>
    <w:p w14:paraId="1FCE48C1">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本组素材包括苯作为基础化工原料在生产苯乙烯、环己烷、硝基苯等产品中的用途，苯的毒性与致癌性，以及相应的职业防护与安全生产要求。</w:t>
      </w:r>
    </w:p>
    <w:p w14:paraId="560FFAD3">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本组素材虽不属于苯分子结构的探索史，但指向科学事业本质观维度的培养目标难以仅凭结构史素材达成，必须借助真实的社会性议题加以支撑。苯兼具重要工业价值与明确健康风险的双重属性，为组织学生开展价值权衡讨论提供了真实、可查证的现实材料。本组素材构成“科学技术社会价值权衡与决策”学习任务的核心内容。</w:t>
      </w:r>
    </w:p>
    <w:p w14:paraId="389B8325">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三组素材各有侧重，分别对应科学本质观三大维度，同时又统一于“苯”这一教学内容之中，保证了素材之间的内在关联。各组素材在课堂上的具体使用方式，将在下一节的学习任务设计中详细说明。</w:t>
      </w:r>
    </w:p>
    <w:p>
      <w:pPr>
        <w:pStyle w:val="2"/>
        <w:keepNext/>
        <w:keepLines w:val="0"/>
        <w:pageBreakBefore w:val="0"/>
        <w:widowControl w:val="0"/>
        <w:numPr>
          <w:ilvl w:val="1"/>
          <w:numId w:val="25"/>
        </w:numPr>
        <w:kinsoku/>
        <w:wordWrap/>
        <w:overflowPunct/>
        <w:topLinePunct w:val="0"/>
        <w:autoSpaceDE/>
        <w:autoSpaceDN/>
        <w:bidi w:val="0"/>
        <w:adjustRightInd/>
        <w:snapToGrid/>
        <w:jc w:val="center"/>
        <w:textAlignment w:val="auto"/>
        <w:rPr>
          <w:rFonts w:hint="eastAsia"/>
        </w:rPr>
      </w:pPr>
      <w:r>
        <w:rPr>
          <w:rFonts w:hint="eastAsia"/>
        </w:rPr>
        <w:t>基于HPS教学理念的学习任务设计</w:t>
      </w:r>
    </w:p>
    <w:p>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pPr>
      <w:r>
        <w:rPr>
          <w:rFonts w:hint="eastAsia"/>
        </w:rPr>
        <w:t>第三章第四节以“情境、角色、行为、知识、成果、育人价值”六要素模型为支架，构建了指向科学本质观三大维度的学习任务单框架（表3-2）。本节遵循这一框架，将前三节所形成的分析结论——课程标准分析确立的三条任务主线、表4-2设定的科学本质观培养目标以及第三节筛选的三组教学素材——统整转化为“苯”教学案例中可直接实施的三个学习任务，使科学本质观的培养由目标与素材层面真正进入任务与行为层面。</w:t>
      </w:r>
    </w:p>
    <w:p>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pPr>
      <w:r>
        <w:rPr>
          <w:rFonts w:hint="eastAsia"/>
        </w:rPr>
        <w:t>在整体设计上，本节课以“苯分子结构探索史”与“苯的社会应用”为统一情境链条，将核心驱动问题“分子式为</w:t>
      </w:r>
      <w:r>
        <w:rPr>
          <w:rFonts w:hint="eastAsia"/>
        </w:rPr>
        <w:t>C</w:t>
      </w:r>
      <w:r>
        <w:rPr>
          <w:rFonts w:hint="eastAsia"/>
          <w:vertAlign w:val="subscript"/>
        </w:rPr>
        <w:t>6</w:t>
      </w:r>
      <w:r>
        <w:rPr>
          <w:rFonts w:hint="eastAsia"/>
        </w:rPr>
        <w:t>H</w:t>
      </w:r>
      <w:r>
        <w:rPr>
          <w:rFonts w:hint="eastAsia"/>
          <w:vertAlign w:val="subscript"/>
        </w:rPr>
        <w:t>6</w:t>
      </w:r>
      <w:r>
        <w:rPr>
          <w:rFonts w:hint="eastAsia"/>
        </w:rPr>
        <w:t>的苯究竟具有怎样的结构？人类又应当如何与这种物质相处？”分解为三个层层递进的学习任务：任务一以凯库勒式遭遇反常证据的理论危机为核心，指向科学知识本质观；任务二围绕苯环结构证据的获取与论证展开，指向科学探究本质观；任务三延伸至苯的工业应用与职业危害的价值权衡，指向科学事业本质观。每一任务均按照六要素模型编制学习任务单，分述如下。</w:t>
      </w:r>
    </w:p>
    <w:p>
      <w:pPr>
        <w:keepNext w:val="0"/>
        <w:keepLines w:val="0"/>
        <w:pageBreakBefore w:val="0"/>
        <w:widowControl/>
        <w:numPr>
          <w:ilvl w:val="0"/>
          <w:numId w:val="33"/>
        </w:numPr>
        <w:kinsoku/>
        <w:wordWrap/>
        <w:overflowPunct/>
        <w:topLinePunct w:val="0"/>
        <w:autoSpaceDE/>
        <w:autoSpaceDN/>
        <w:bidi w:val="0"/>
        <w:adjustRightInd/>
        <w:snapToGrid/>
        <w:spacing w:after="120" w:line="400" w:lineRule="exact"/>
        <w:ind w:firstLine="482"/>
        <w:jc w:val="both"/>
        <w:textAlignment w:val="auto"/>
        <w:rPr>
          <w:rFonts w:ascii="宋体" w:hAnsi="宋体" w:eastAsia="宋体" w:cs="宋体"/>
          <w:b/>
          <w:bCs/>
          <w:sz w:val="24"/>
          <w:szCs w:val="24"/>
        </w:rPr>
      </w:pPr>
      <w:r>
        <w:rPr>
          <w:rFonts w:ascii="宋体" w:hAnsi="宋体" w:eastAsia="宋体" w:cs="宋体"/>
          <w:b/>
          <w:bCs/>
          <w:sz w:val="24"/>
          <w:szCs w:val="24"/>
        </w:rPr>
        <w:t>基于“科学理论危机与模型修正”问题解决的学习任务</w:t>
      </w:r>
    </w:p>
    <w:p>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pPr>
      <w:r>
        <w:rPr>
          <w:rFonts w:hint="eastAsia"/>
        </w:rPr>
        <w:t>本任务以苯分子结构探索史中“分子式与性质的矛盾”以及凯库勒式接连遭遇反常证据的历史危机为载体，引导学生亲历“遇到矛盾—分析缺陷—修正模型”的完整过程。学习任务单如表4-3所示。</w:t>
      </w:r>
    </w:p>
    <w:p>
      <w:pPr>
        <w:spacing w:before="200" w:after="40"/>
        <w:jc w:val="center"/>
        <w:rPr>
          <w:rFonts w:ascii="宋体" w:hAnsi="宋体" w:eastAsia="宋体" w:cs="宋体"/>
          <w:b/>
          <w:bCs/>
          <w:sz w:val="24"/>
          <w:szCs w:val="24"/>
        </w:rPr>
      </w:pPr>
      <w:r>
        <w:rPr>
          <w:rFonts w:ascii="宋体" w:hAnsi="宋体" w:eastAsia="宋体" w:cs="宋体"/>
          <w:b/>
          <w:bCs/>
          <w:sz w:val="24"/>
          <w:szCs w:val="24"/>
        </w:rPr>
        <w:t>表4-3 基于“科学理论危机与模型修正”问题解决的学习任务单</w:t>
      </w:r>
    </w:p>
    <w:p>
      <w:pPr>
        <w:spacing w:after="120"/>
        <w:jc w:val="center"/>
      </w:pPr>
      <w:r>
        <w:rPr>
          <w:rFonts w:ascii="Times New Roman" w:hAnsi="Times New Roman" w:eastAsia="Times New Roman" w:cs="Times New Roman"/>
          <w:i/>
          <w:iCs/>
          <w:sz w:val="18"/>
          <w:szCs w:val="18"/>
        </w:rPr>
        <w:t>Tab. 4.3  Learning Task on Problem Solving of "Scientific Theory Crisis and Model Revision"</w:t>
      </w:r>
    </w:p>
    <w:tbl>
      <w:tblPr>
        <w:tblW w:w="9638" w:type="dxa"/>
        <w:jc w:val="center"/>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Layout w:type="fixed"/>
        <w:tblCellMar>
          <w:top w:w="0" w:type="dxa"/>
          <w:left w:w="60" w:type="dxa"/>
          <w:bottom w:w="0" w:type="dxa"/>
          <w:right w:w="60" w:type="dxa"/>
        </w:tblCellMar>
      </w:tblPr>
      <w:tblGrid>
        <w:gridCol w:w="1500"/>
        <w:gridCol w:w="8138"/>
      </w:tblGrid>
      <w:tr>
        <w:trPr>
          <w:tblHeader/>
        </w:trPr>
        <w:tc>
          <w:tcPr>
            <w:tcW w:w="1500" w:type="dxa"/>
            <w:tcBorders>
              <w:left w:val="nil"/>
              <w:bottom w:val="single" w:color="000000" w:sz="6" w:space="0"/>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任务要素</w:t>
            </w:r>
          </w:p>
        </w:tc>
        <w:tc>
          <w:tcPr>
            <w:tcW w:w="8138" w:type="dxa"/>
            <w:tcBorders>
              <w:left w:val="nil"/>
              <w:bottom w:val="single" w:color="000000" w:sz="6" w:space="0"/>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具体设计</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驱动问题</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分子式为</w:t>
            </w:r>
            <w:r>
              <w:rPr>
                <w:rFonts w:ascii="Times New Roman" w:hAnsi="Times New Roman" w:eastAsia="宋体" w:cs="Times New Roman"/>
                <w:sz w:val="21"/>
                <w:szCs w:val="21"/>
              </w:rPr>
              <w:t>C</w:t>
            </w:r>
            <w:r>
              <w:rPr>
                <w:rFonts w:ascii="Times New Roman" w:hAnsi="Times New Roman" w:eastAsia="宋体" w:cs="Times New Roman"/>
                <w:sz w:val="21"/>
                <w:szCs w:val="21"/>
                <w:vertAlign w:val="subscript"/>
              </w:rPr>
              <w:t>6</w:t>
            </w:r>
            <w:r>
              <w:rPr>
                <w:rFonts w:ascii="Times New Roman" w:hAnsi="Times New Roman" w:eastAsia="宋体" w:cs="Times New Roman"/>
                <w:sz w:val="21"/>
                <w:szCs w:val="21"/>
              </w:rPr>
              <w:t>H</w:t>
            </w:r>
            <w:r>
              <w:rPr>
                <w:rFonts w:ascii="Times New Roman" w:hAnsi="Times New Roman" w:eastAsia="宋体" w:cs="Times New Roman"/>
                <w:sz w:val="21"/>
                <w:szCs w:val="21"/>
                <w:vertAlign w:val="subscript"/>
              </w:rPr>
              <w:t>6</w:t>
            </w:r>
            <w:r>
              <w:rPr>
                <w:rFonts w:ascii="Times New Roman" w:hAnsi="Times New Roman" w:eastAsia="宋体" w:cs="Times New Roman"/>
                <w:sz w:val="21"/>
                <w:szCs w:val="21"/>
              </w:rPr>
              <w:t>的苯“理应”高度不饱和、性质活泼，实际却相当稳定；曾被普遍接受的凯库勒式又接连遭遇反常证据——苯分子的结构模型究竟应当如何修正与重构？</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任务情境</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19世纪化学界围绕苯分子结构的“理论危机”：法拉第分离得到苯并确定分子式后，分子式与性质的矛盾令化学界困惑；凯库勒基于碳四价学说与碳链结构理论创造性地提出单双键交替的六元环假说，随后邻位二取代物只有一种、氢化热远低于理论值等实验事实相继出现，使凯库勒式面临被修正的境地。</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学生角色</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化学史料档案馆的“历史文献分析员”与“模型评估者”。</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实践行为</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以小组为单位研读教师提供的“证据卡片”（分子式测定记录、邻位二取代物种类实验、氢化热数据、苯与溴水及酸性高锰酸钾溶液作用的实验记录），梳理凯库勒式能够解释与无法解释的事实，剖析旧模型的理论缺陷，尝试对苯环结构模型作出修正，并绘制苯分子结构认识的演变脉络。</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涉及知识</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苯的分子式与凯库勒式、碳四价学说与碳链结构理论、“结构决定性质”的基本观念、现代苯环结构（六个碳碳键完全等同的离域大π键）。</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任务成果</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凯库勒式缺陷分析报告、苯分子结构认识演变脉络图。</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育人价值</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指向科学知识本质观维度：从凯库勒假说的提出体会科学知识的创造性，从反常证据引发的质疑体会科学知识的暂定性，从模型在修正中逐步逼近客观规律体会科学知识的累积性。</w:t>
            </w:r>
          </w:p>
        </w:tc>
      </w:tr>
    </w:tbl>
    <w:p>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pPr>
      <w:r>
        <w:rPr>
          <w:rFonts w:hint="eastAsia"/>
        </w:rPr>
        <w:t>本任务单直接承接表4-2中科学知识本质观维度的三条培养目标，选用第三节筛选的第一组素材。针对学情分析指出的学生对多重证据综合权衡能力不足的弱项，任务将史料拆解为若干张“证据卡片”，使凯库勒式的提出、质疑与修正转化为可逐步完成的子任务；任务结束后设置显性反思追问——“这一修正过程说明科学知识具有怎样的特征？”——引导学生将具体史实升华为对科学知识暂定性、创造性与累积性的抽象认识，避免学习停留在史实复述层面。</w:t>
      </w:r>
    </w:p>
    <w:p>
      <w:pPr>
        <w:keepNext w:val="0"/>
        <w:keepLines w:val="0"/>
        <w:pageBreakBefore w:val="0"/>
        <w:widowControl/>
        <w:numPr>
          <w:ilvl w:val="0"/>
          <w:numId w:val="33"/>
        </w:numPr>
        <w:kinsoku/>
        <w:wordWrap/>
        <w:overflowPunct/>
        <w:topLinePunct w:val="0"/>
        <w:autoSpaceDE/>
        <w:autoSpaceDN/>
        <w:bidi w:val="0"/>
        <w:adjustRightInd/>
        <w:snapToGrid/>
        <w:spacing w:after="120" w:line="400" w:lineRule="exact"/>
        <w:ind w:firstLine="482"/>
        <w:jc w:val="both"/>
        <w:textAlignment w:val="auto"/>
        <w:rPr>
          <w:rFonts w:ascii="宋体" w:hAnsi="宋体" w:eastAsia="宋体" w:cs="宋体"/>
          <w:b/>
          <w:bCs/>
          <w:sz w:val="24"/>
          <w:szCs w:val="24"/>
        </w:rPr>
      </w:pPr>
      <w:r>
        <w:rPr>
          <w:rFonts w:ascii="宋体" w:hAnsi="宋体" w:eastAsia="宋体" w:cs="宋体"/>
          <w:b/>
          <w:bCs/>
          <w:sz w:val="24"/>
          <w:szCs w:val="24"/>
        </w:rPr>
        <w:t>基于“科学证据获取与探究过程”问题解决的学习任务</w:t>
      </w:r>
    </w:p>
    <w:p>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pPr>
      <w:r>
        <w:rPr>
          <w:rFonts w:hint="eastAsia"/>
        </w:rPr>
        <w:t>本任务聚焦苯环结构真伪之争中的证据问题，要求学生像化学家一样通过实验与数据“用证据说话”。学习任务单如表4-4所示。</w:t>
      </w:r>
    </w:p>
    <w:p>
      <w:pPr>
        <w:spacing w:before="200" w:after="40"/>
        <w:jc w:val="center"/>
        <w:rPr>
          <w:rFonts w:ascii="宋体" w:hAnsi="宋体" w:eastAsia="宋体" w:cs="宋体"/>
          <w:b/>
          <w:bCs/>
          <w:sz w:val="24"/>
          <w:szCs w:val="24"/>
        </w:rPr>
      </w:pPr>
      <w:r>
        <w:rPr>
          <w:rFonts w:ascii="宋体" w:hAnsi="宋体" w:eastAsia="宋体" w:cs="宋体"/>
          <w:b/>
          <w:bCs/>
          <w:sz w:val="24"/>
          <w:szCs w:val="24"/>
        </w:rPr>
        <w:t>表4-4 基于“科学证据获取与探究过程”问题解决的学习任务单</w:t>
      </w:r>
    </w:p>
    <w:p>
      <w:pPr>
        <w:spacing w:after="120"/>
        <w:jc w:val="center"/>
      </w:pPr>
      <w:r>
        <w:rPr>
          <w:rFonts w:ascii="Times New Roman" w:hAnsi="Times New Roman" w:eastAsia="Times New Roman" w:cs="Times New Roman"/>
          <w:i/>
          <w:iCs/>
          <w:sz w:val="18"/>
          <w:szCs w:val="18"/>
        </w:rPr>
        <w:t>Tab. 4.4  Learning Task on Problem Solving of "Scientific Evidence Acquisition and Inquiry Process"</w:t>
      </w:r>
    </w:p>
    <w:tbl>
      <w:tblPr>
        <w:tblW w:w="9638" w:type="dxa"/>
        <w:jc w:val="center"/>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Layout w:type="fixed"/>
        <w:tblCellMar>
          <w:top w:w="0" w:type="dxa"/>
          <w:left w:w="60" w:type="dxa"/>
          <w:bottom w:w="0" w:type="dxa"/>
          <w:right w:w="60" w:type="dxa"/>
        </w:tblCellMar>
      </w:tblPr>
      <w:tblGrid>
        <w:gridCol w:w="1500"/>
        <w:gridCol w:w="8138"/>
      </w:tblGrid>
      <w:tr>
        <w:trPr>
          <w:tblHeader/>
        </w:trPr>
        <w:tc>
          <w:tcPr>
            <w:tcW w:w="1500" w:type="dxa"/>
            <w:tcBorders>
              <w:left w:val="nil"/>
              <w:bottom w:val="single" w:color="000000" w:sz="6" w:space="0"/>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任务要素</w:t>
            </w:r>
          </w:p>
        </w:tc>
        <w:tc>
          <w:tcPr>
            <w:tcW w:w="8138" w:type="dxa"/>
            <w:tcBorders>
              <w:left w:val="nil"/>
              <w:bottom w:val="single" w:color="000000" w:sz="6" w:space="0"/>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具体设计</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驱动问题</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苯环上到底有没有典型的碳碳双键？我们能够设计怎样的实验、获取怎样的证据来支持自己的判断？</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任务情境</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面对凯库勒式引发的争论，判断苯环结构不能依靠权威表态，只能依靠证据：课堂上可以重现苯与溴水、酸性高锰酸钾溶液作用的定性实验；史料中则保存着键长测定值、氢化热等定量数据——两类证据能否相互印证、共同指向同一结论？</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学生角色</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实验方案设计者与证据论证者。</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实践行为</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先依据乙烯的性质经验对苯环结构作出预测；随后设计并完成苯分别与溴水、酸性高锰酸钾溶液作用的对比实验，规范记录实验现象；研读苯环碳碳键键长完全相等、氢化热远低于“环己三烯”理论值等定量数据，整理“现象—证据—结论”的推理链条；最后在班级汇报中开展论证交流，回应其他小组的质疑。</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涉及知识</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乙烯等不饱和烃的典型性质、对比实验与变量控制方法、定性现象与定量数据的相互印证、“假设—演绎”式的科学论证结构。</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任务成果</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实验探究方案与现象记录表、“苯环结构证据链”论证报告。</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育人价值</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指向科学探究本质观维度：从“证据先于结论”的论证要求体会科学探究的实证性，从定性实验与定量数据的互证体会探究方法的多样性，从“假设—演绎”的推理过程体会科学探究的逻辑推理性。</w:t>
            </w:r>
          </w:p>
        </w:tc>
      </w:tr>
    </w:tbl>
    <w:p>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pPr>
      <w:r>
        <w:rPr>
          <w:rFonts w:hint="eastAsia"/>
        </w:rPr>
        <w:t>本任务单承接表4-2中科学探究本质观维度的三条培养目标，选用第三节筛选的第二组素材，并落实学情分析所确立的“预测—实验验证—讨论”活动流程：学生先依据已有认知作出预测，实验现象与预测的落差随即制造认知冲突，键长与氢化热数据则为冲突的解决提供定量支撑。教师提供反应现象记录表、键长数据对比表等结构化证据支架，帮助学生搭建从“现象”到“证据”再到“结论”的推理链条；论证环节设置反思追问——“科学结论的确立依赖什么？单一证据是否足以支撑结论？”——使学生在辩论中深化对科学探究本质的理解。</w:t>
      </w:r>
    </w:p>
    <w:p>
      <w:pPr>
        <w:keepNext w:val="0"/>
        <w:keepLines w:val="0"/>
        <w:pageBreakBefore w:val="0"/>
        <w:widowControl/>
        <w:numPr>
          <w:ilvl w:val="0"/>
          <w:numId w:val="33"/>
        </w:numPr>
        <w:kinsoku/>
        <w:wordWrap/>
        <w:overflowPunct/>
        <w:topLinePunct w:val="0"/>
        <w:autoSpaceDE/>
        <w:autoSpaceDN/>
        <w:bidi w:val="0"/>
        <w:adjustRightInd/>
        <w:snapToGrid/>
        <w:spacing w:after="120" w:line="400" w:lineRule="exact"/>
        <w:ind w:firstLine="482"/>
        <w:jc w:val="both"/>
        <w:textAlignment w:val="auto"/>
        <w:rPr>
          <w:rFonts w:ascii="宋体" w:hAnsi="宋体" w:eastAsia="宋体" w:cs="宋体"/>
          <w:b/>
          <w:bCs/>
          <w:sz w:val="24"/>
          <w:szCs w:val="24"/>
        </w:rPr>
      </w:pPr>
      <w:r>
        <w:rPr>
          <w:rFonts w:ascii="宋体" w:hAnsi="宋体" w:eastAsia="宋体" w:cs="宋体"/>
          <w:b/>
          <w:bCs/>
          <w:sz w:val="24"/>
          <w:szCs w:val="24"/>
        </w:rPr>
        <w:t>基于“科学技术社会价值权衡与决策”问题解决的学习任务</w:t>
      </w:r>
    </w:p>
    <w:p>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pPr>
      <w:r>
        <w:rPr>
          <w:rFonts w:hint="eastAsia"/>
        </w:rPr>
        <w:t>本任务将学习视野由苯的分子结构延伸至苯与社会的关系，围绕苯的工业价值与职业危害组织模拟听证会。学习任务单如表4-5所示。</w:t>
      </w:r>
    </w:p>
    <w:p>
      <w:pPr>
        <w:spacing w:before="200" w:after="40"/>
        <w:jc w:val="center"/>
        <w:rPr>
          <w:rFonts w:ascii="宋体" w:hAnsi="宋体" w:eastAsia="宋体" w:cs="宋体"/>
          <w:b/>
          <w:bCs/>
          <w:sz w:val="24"/>
          <w:szCs w:val="24"/>
        </w:rPr>
      </w:pPr>
      <w:r>
        <w:rPr>
          <w:rFonts w:ascii="宋体" w:hAnsi="宋体" w:eastAsia="宋体" w:cs="宋体"/>
          <w:b/>
          <w:bCs/>
          <w:sz w:val="24"/>
          <w:szCs w:val="24"/>
        </w:rPr>
        <w:t>表4-5 基于“科学技术社会价值权衡与决策”问题解决的学习任务单</w:t>
      </w:r>
    </w:p>
    <w:p>
      <w:pPr>
        <w:spacing w:after="120"/>
        <w:jc w:val="center"/>
      </w:pPr>
      <w:r>
        <w:rPr>
          <w:rFonts w:ascii="Times New Roman" w:hAnsi="Times New Roman" w:eastAsia="Times New Roman" w:cs="Times New Roman"/>
          <w:i/>
          <w:iCs/>
          <w:sz w:val="18"/>
          <w:szCs w:val="18"/>
        </w:rPr>
        <w:t>Tab. 4.5  Learning Task on Problem Solving of "Value Judgment and Decision-Making on Science, Technology and Society"</w:t>
      </w:r>
    </w:p>
    <w:tbl>
      <w:tblPr>
        <w:tblW w:w="9638" w:type="dxa"/>
        <w:jc w:val="center"/>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Layout w:type="fixed"/>
        <w:tblCellMar>
          <w:top w:w="0" w:type="dxa"/>
          <w:left w:w="60" w:type="dxa"/>
          <w:bottom w:w="0" w:type="dxa"/>
          <w:right w:w="60" w:type="dxa"/>
        </w:tblCellMar>
      </w:tblPr>
      <w:tblGrid>
        <w:gridCol w:w="1500"/>
        <w:gridCol w:w="8138"/>
      </w:tblGrid>
      <w:tr>
        <w:trPr>
          <w:tblHeader/>
        </w:trPr>
        <w:tc>
          <w:tcPr>
            <w:tcW w:w="1500" w:type="dxa"/>
            <w:tcBorders>
              <w:left w:val="nil"/>
              <w:bottom w:val="single" w:color="000000" w:sz="6" w:space="0"/>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任务要素</w:t>
            </w:r>
          </w:p>
        </w:tc>
        <w:tc>
          <w:tcPr>
            <w:tcW w:w="8138" w:type="dxa"/>
            <w:tcBorders>
              <w:left w:val="nil"/>
              <w:bottom w:val="single" w:color="000000" w:sz="6" w:space="0"/>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具体设计</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驱动问题</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苯兼具重要的工业价值与明确的毒性、致癌性——社会应当如何科学、理性地使用和管理这种“既离不开又必须防范”的物质？</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任务情境</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模拟“苯的使用与管理”听证会：苯是生产苯乙烯、环己烷、硝基苯等产品的基础化工原料，支撑着庞大的产业链；与此同时，苯的毒性与致癌性使接触苯的作业岗位面临明确的职业危害，需要严格的职业防护与安全生产要求。</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学生角色</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行业不同利益相关方代表：化工企业代表、职业卫生专家、环保部门工作人员、一线作业工人代表等。</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实践行为</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课前依据所承担的角色检索、整理相关资料；听证会上进行立场陈述，围绕经济效益、健康风险、环保要求与替代方案开展质询与协商；在权衡多方诉求的基础上形成小组决策建议，并对“科学技术的应用应当如何决策”进行反思讨论。</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涉及知识</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苯的主要工业用途及其化学原理、苯的毒性与职业防护常识、科学·技术·社会·环境（STSE）综合评估视角、辩证分析与决策方法。</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任务成果</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苯的社会应用建议书、模拟听证会多方观点摘要。</w:t>
            </w:r>
          </w:p>
        </w:tc>
      </w:tr>
      <w:tr>
        <w:tc>
          <w:tcPr>
            <w:tcW w:w="1500" w:type="dxa"/>
            <w:tcBorders>
              <w:left w:val="nil"/>
              <w:right w:val="nil"/>
            </w:tcBorders>
            <w:shd w:val="clear" w:color="auto" w:fill="auto"/>
            <w:tcMar>
              <w:top w:w="40" w:type="dxa"/>
              <w:left w:w="60" w:type="dxa"/>
              <w:bottom w:w="40" w:type="dxa"/>
              <w:right w:w="60" w:type="dxa"/>
            </w:tcMar>
            <w:vAlign w:val="center"/>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center"/>
              <w:rPr>
                <w:rFonts w:ascii="Times New Roman" w:hAnsi="Times New Roman" w:eastAsia="宋体" w:cs="Times New Roman"/>
                <w:b/>
                <w:sz w:val="21"/>
                <w:szCs w:val="21"/>
              </w:rPr>
            </w:pPr>
            <w:r>
              <w:rPr>
                <w:rFonts w:ascii="Times New Roman" w:hAnsi="Times New Roman" w:eastAsia="宋体" w:cs="Times New Roman"/>
                <w:b/>
                <w:sz w:val="21"/>
                <w:szCs w:val="21"/>
              </w:rPr>
              <w:t>育人价值</w:t>
            </w:r>
          </w:p>
        </w:tc>
        <w:tc>
          <w:tcPr>
            <w:tcW w:w="8138" w:type="dxa"/>
            <w:tcBorders>
              <w:left w:val="nil"/>
              <w:right w:val="nil"/>
            </w:tcBorders>
            <w:shd w:val="clear" w:color="auto" w:fill="auto"/>
            <w:tcMar>
              <w:top w:w="40" w:type="dxa"/>
              <w:left w:w="60" w:type="dxa"/>
              <w:bottom w:w="40" w:type="dxa"/>
              <w:right w:w="60" w:type="dxa"/>
            </w:tcMar>
            <w:vAlign w:val="top"/>
          </w:tcPr>
          <w:p>
            <w:pPr>
              <w:keepNext/>
              <w:keepLines/>
              <w:widowControl w:val="0"/>
              <w:kinsoku/>
              <w:wordWrap/>
              <w:overflowPunct/>
              <w:autoSpaceDE/>
              <w:autoSpaceDN/>
              <w:adjustRightInd/>
              <w:snapToGrid w:val="0"/>
              <w:spacing w:before="40" w:after="40" w:line="280" w:lineRule="exact"/>
              <w:ind w:left="0" w:leftChars="0" w:right="0" w:rightChars="0" w:firstLine="0" w:firstLineChars="0"/>
              <w:jc w:val="both"/>
              <w:rPr>
                <w:rFonts w:ascii="Times New Roman" w:hAnsi="Times New Roman" w:eastAsia="宋体" w:cs="Times New Roman"/>
                <w:sz w:val="21"/>
                <w:szCs w:val="21"/>
              </w:rPr>
            </w:pPr>
            <w:r>
              <w:rPr>
                <w:rFonts w:ascii="Times New Roman" w:hAnsi="Times New Roman" w:eastAsia="宋体" w:cs="Times New Roman"/>
                <w:sz w:val="21"/>
                <w:szCs w:val="21"/>
              </w:rPr>
              <w:t>指向科学事业本质观维度：从苯的工业价值与健康危害的并存体会科学与技术应用的两面性，从多方立场的权衡协商体会科学与社会的相互制约，从“凯库勒式由被接受到被修正”的回望体会科学共同体对知识的检验作用。</w:t>
            </w:r>
          </w:p>
        </w:tc>
      </w:tr>
    </w:tbl>
    <w:p>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pPr>
      <w:r>
        <w:rPr>
          <w:rFonts w:hint="eastAsia"/>
        </w:rPr>
        <w:t>本任务单承接表4-2中科学事业本质观维度的三条培养目标，选用第三节筛选的第三组素材。学情分析表明，学生在该维度的认识基础在三个维度中最为薄弱，面对社会性议题易作简单化处理，因此任务借助模拟听证会为学生提供具体的行业角色支架，使其在多方立场的冲突与协商中逐步形成辩证、全面的价值判断；成果设定为书面建议书与观点摘要，防止讨论停留于表层交锋。考虑到该维度认识转变周期较长，本任务的实施效果还将通过第六节的评价机制作持续追踪。</w:t>
      </w:r>
    </w:p>
    <w:p>
      <w:pPr>
        <w:keepNext w:val="0"/>
        <w:keepLines w:val="0"/>
        <w:pageBreakBefore w:val="0"/>
        <w:widowControl/>
        <w:kinsoku/>
        <w:wordWrap/>
        <w:overflowPunct/>
        <w:topLinePunct w:val="0"/>
        <w:autoSpaceDE/>
        <w:autoSpaceDN/>
        <w:bidi w:val="0"/>
        <w:adjustRightInd/>
        <w:snapToGrid/>
        <w:spacing w:after="120" w:line="400" w:lineRule="exact"/>
        <w:ind w:firstLine="482"/>
        <w:jc w:val="both"/>
        <w:textAlignment w:val="auto"/>
      </w:pPr>
      <w:r>
        <w:rPr>
          <w:rFonts w:hint="eastAsia"/>
        </w:rPr>
        <w:t>综上，三个学习任务共用“苯分子结构探索史—苯的社会应用”这一情境链条，任务之间呈现“理论危机—证据检验—价值决策”的递进结构；学生角色相应地由“历史文献分析员与模型评估者”经“实验方案设计者与证据论证者”走向“社会决策参与者”，科学知识、科学探究、科学事业三维度的培养目标在任务层面得到完整覆盖。三大学习任务在课堂中的具体落实方式，将在下一节的探究活动设计中展开。</w:t>
      </w:r>
    </w:p>
    <w:p w14:paraId="2895B924">
      <w:pPr>
        <w:keepNext w:val="0"/>
        <w:keepLines w:val="0"/>
        <w:pageBreakBefore w:val="0"/>
        <w:widowControl/>
        <w:kinsoku/>
        <w:wordWrap/>
        <w:overflowPunct/>
        <w:topLinePunct w:val="0"/>
        <w:autoSpaceDE/>
        <w:autoSpaceDN/>
        <w:bidi w:val="0"/>
        <w:adjustRightInd/>
        <w:snapToGrid/>
        <w:spacing w:after="120" w:line="400" w:lineRule="exact"/>
        <w:ind w:firstLine="480"/>
        <w:jc w:val="both"/>
        <w:textAlignment w:val="auto"/>
      </w:pPr>
    </w:p>
    <w:p w14:paraId="33F5382B">
      <w:pPr>
        <w:keepNext w:val="0"/>
        <w:keepLines w:val="0"/>
        <w:pageBreakBefore w:val="0"/>
        <w:widowControl/>
        <w:kinsoku/>
        <w:wordWrap/>
        <w:overflowPunct/>
        <w:topLinePunct w:val="0"/>
        <w:autoSpaceDE/>
        <w:autoSpaceDN/>
        <w:bidi w:val="0"/>
        <w:adjustRightInd/>
        <w:snapToGrid/>
        <w:spacing w:line="400" w:lineRule="exact"/>
        <w:textAlignment w:val="auto"/>
        <w:sectPr>
          <w:footnotePr>
            <w:numFmt w:val="decimal"/>
            <w:numRestart w:val="eachPage"/>
          </w:footnotePr>
          <w:type w:val="continuous"/>
          <w:pgSz w:w="11906" w:h="16838"/>
          <w:pgMar w:top="1134" w:right="1134" w:bottom="1134" w:left="1134" w:header="708" w:footer="708" w:gutter="0"/>
          <w:cols w:space="720" w:num="1"/>
          <w:docGrid w:linePitch="360" w:charSpace="0"/>
        </w:sectPr>
      </w:pPr>
    </w:p>
    <w:p w14:paraId="6F823F7F">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hint="eastAsia" w:ascii="宋体" w:hAnsi="宋体" w:cs="宋体"/>
          <w:sz w:val="24"/>
          <w:szCs w:val="24"/>
          <w:lang w:val="en-US" w:eastAsia="zh-CN"/>
        </w:rPr>
      </w:pPr>
    </w:p>
    <w:p w14:paraId="763EBD58">
      <w:pPr>
        <w:rPr>
          <w:rFonts w:hint="eastAsia"/>
        </w:rPr>
      </w:pPr>
    </w:p>
    <w:p w14:paraId="703BD67A">
      <w:pPr>
        <w:keepNext w:val="0"/>
        <w:keepLines w:val="0"/>
        <w:pageBreakBefore w:val="0"/>
        <w:widowControl/>
        <w:kinsoku/>
        <w:wordWrap/>
        <w:overflowPunct/>
        <w:topLinePunct w:val="0"/>
        <w:autoSpaceDE/>
        <w:autoSpaceDN/>
        <w:bidi w:val="0"/>
        <w:adjustRightInd/>
        <w:snapToGrid/>
        <w:spacing w:after="120" w:line="400" w:lineRule="exact"/>
        <w:ind w:left="0" w:leftChars="0" w:firstLine="460" w:firstLineChars="200"/>
        <w:jc w:val="both"/>
        <w:textAlignment w:val="auto"/>
        <w:rPr>
          <w:rFonts w:ascii="宋体" w:hAnsi="宋体" w:eastAsia="宋体" w:cs="宋体"/>
          <w:sz w:val="24"/>
          <w:szCs w:val="24"/>
        </w:rPr>
      </w:pPr>
    </w:p>
    <w:p w14:paraId="2308310A">
      <w:pPr>
        <w:spacing w:after="120" w:line="360" w:lineRule="auto"/>
        <w:ind w:firstLine="480"/>
        <w:jc w:val="both"/>
        <w:rPr>
          <w:rFonts w:ascii="宋体" w:hAnsi="宋体" w:eastAsia="宋体" w:cs="宋体"/>
          <w:sz w:val="24"/>
          <w:szCs w:val="24"/>
        </w:rPr>
      </w:pPr>
    </w:p>
    <w:p w14:paraId="5C362F04">
      <w:pPr>
        <w:keepNext/>
        <w:keepLines/>
        <w:pageBreakBefore w:val="0"/>
        <w:widowControl w:val="0"/>
        <w:kinsoku/>
        <w:wordWrap/>
        <w:overflowPunct/>
        <w:topLinePunct w:val="0"/>
        <w:autoSpaceDE/>
        <w:autoSpaceDN/>
        <w:bidi w:val="0"/>
        <w:adjustRightInd/>
        <w:snapToGrid/>
        <w:spacing w:line="400" w:lineRule="exact"/>
        <w:ind w:firstLine="476"/>
        <w:jc w:val="both"/>
        <w:textAlignment w:val="auto"/>
        <w:rPr>
          <w:rFonts w:hint="eastAsia"/>
        </w:rPr>
      </w:pPr>
    </w:p>
    <w:p w14:paraId="5CBC56A7">
      <w:pPr>
        <w:ind w:firstLine="460" w:firstLineChars="200"/>
        <w:jc w:val="both"/>
        <w:rPr>
          <w:rFonts w:hint="default" w:ascii="宋体" w:hAnsi="宋体" w:eastAsia="宋体" w:cs="宋体"/>
          <w:color w:val="000000"/>
          <w:kern w:val="2"/>
          <w:szCs w:val="24"/>
          <w:lang w:val="en-US" w:eastAsia="zh-CN"/>
        </w:rPr>
      </w:pPr>
    </w:p>
    <w:sectPr>
      <w:footnotePr>
        <w:numFmt w:val="decimal"/>
        <w:numRestart w:val="eachPage"/>
      </w:foot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6C7B40F-54D0-4187-9A52-F9E20767051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爱奇艺黑体">
    <w:panose1 w:val="00000000000000000000"/>
    <w:charset w:val="00"/>
    <w:family w:val="auto"/>
    <w:pitch w:val="default"/>
    <w:sig w:usb0="00000003" w:usb1="0000004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2">
    <w:p>
      <w:pPr>
        <w:spacing w:line="312" w:lineRule="auto"/>
      </w:pPr>
      <w:r>
        <w:separator/>
      </w:r>
    </w:p>
  </w:footnote>
  <w:footnote w:type="continuationSeparator" w:id="123">
    <w:p>
      <w:pPr>
        <w:spacing w:line="312" w:lineRule="auto"/>
      </w:pPr>
      <w:r>
        <w:continuationSeparator/>
      </w:r>
    </w:p>
  </w:footnote>
  <w:footnote w:id="0">
    <w:p w14:paraId="5819061A">
      <w:pPr>
        <w:pStyle w:val="16"/>
        <w:snapToGrid w:val="0"/>
      </w:pPr>
      <w:r>
        <w:rPr>
          <w:rStyle w:val="22"/>
        </w:rPr>
        <w:t>［</w:t>
      </w:r>
      <w:r>
        <w:rPr>
          <w:rStyle w:val="22"/>
        </w:rPr>
        <w:footnoteRef/>
      </w:r>
      <w:r>
        <w:rPr>
          <w:rStyle w:val="22"/>
        </w:rPr>
        <w:t>］</w:t>
      </w:r>
      <w:r>
        <w:t xml:space="preserve"> </w:t>
      </w:r>
      <w:r>
        <w:rPr>
          <w:rFonts w:hint="eastAsia"/>
        </w:rPr>
        <w:t>中华人民共和国教育部.普通高中化学课程标准年版(2017年版2020年修订)[S].北京:人民教育出版社,2020.</w:t>
      </w:r>
    </w:p>
  </w:footnote>
  <w:footnote w:id="1">
    <w:p w14:paraId="530BF42D">
      <w:pPr>
        <w:pStyle w:val="16"/>
        <w:snapToGrid w:val="0"/>
      </w:pPr>
      <w:r>
        <w:rPr>
          <w:rStyle w:val="22"/>
        </w:rPr>
        <w:t>［</w:t>
      </w:r>
      <w:r>
        <w:rPr>
          <w:rStyle w:val="22"/>
        </w:rPr>
        <w:footnoteRef/>
      </w:r>
      <w:r>
        <w:rPr>
          <w:rStyle w:val="22"/>
        </w:rPr>
        <w:t xml:space="preserve"> ］</w:t>
      </w:r>
      <w:r>
        <w:t xml:space="preserve"> </w:t>
      </w:r>
      <w:r>
        <w:rPr>
          <w:rFonts w:hint="eastAsia"/>
        </w:rPr>
        <w:t>毕华林,刘冰.基于科学本质教育的化学教科书设计——以元素周期律的发现和学习为例[J].化学教育,2007, (05):11-15.</w:t>
      </w:r>
    </w:p>
  </w:footnote>
  <w:footnote w:id="2">
    <w:p w14:paraId="0CA34F4C">
      <w:pPr>
        <w:pStyle w:val="16"/>
        <w:snapToGrid w:val="0"/>
        <w:jc w:val="both"/>
      </w:pPr>
      <w:r>
        <w:rPr>
          <w:rStyle w:val="22"/>
        </w:rPr>
        <w:t>［</w:t>
      </w:r>
      <w:r>
        <w:rPr>
          <w:rStyle w:val="22"/>
        </w:rPr>
        <w:footnoteRef/>
      </w:r>
      <w:r>
        <w:rPr>
          <w:rStyle w:val="22"/>
        </w:rPr>
        <w:t>］</w:t>
      </w:r>
      <w:r>
        <w:rPr>
          <w:rFonts w:hint="eastAsia"/>
        </w:rPr>
        <w:t>ABD-EL-KHALICK F, LEDERMAN N G. Improving science teachers</w:t>
      </w:r>
      <w:r>
        <w:t>’</w:t>
      </w:r>
      <w:r>
        <w:rPr>
          <w:rFonts w:hint="eastAsia"/>
        </w:rPr>
        <w:t xml:space="preserve"> conceptions of nature of science: A critical review of the literature[J]. International Journal of Science Education, 2000, 22(7): 665-701.</w:t>
      </w:r>
    </w:p>
  </w:footnote>
  <w:footnote w:id="3">
    <w:p w14:paraId="3837B4E5">
      <w:pPr>
        <w:pStyle w:val="16"/>
        <w:jc w:val="both"/>
        <w:rPr>
          <w:rFonts w:hint="eastAsia"/>
        </w:rPr>
      </w:pPr>
      <w:r>
        <w:rPr>
          <w:rStyle w:val="22"/>
        </w:rPr>
        <w:t>［</w:t>
      </w:r>
      <w:r>
        <w:rPr>
          <w:rStyle w:val="22"/>
        </w:rPr>
        <w:footnoteRef/>
      </w:r>
      <w:r>
        <w:rPr>
          <w:rStyle w:val="22"/>
        </w:rPr>
        <w:t xml:space="preserve"> ］</w:t>
      </w:r>
      <w:r>
        <w:t>SU R, JIANG Z, WEI B. Representations of Nature of Science in Science Textbooks: A Systematic Review[J]. Science &amp; Education, 2025, 34(3): 585-607.</w:t>
      </w:r>
    </w:p>
  </w:footnote>
  <w:footnote w:id="4">
    <w:p w14:paraId="7025CE21">
      <w:pPr>
        <w:pStyle w:val="16"/>
        <w:snapToGrid w:val="0"/>
        <w:ind w:left="0" w:leftChars="0" w:firstLine="0" w:firstLineChars="0"/>
        <w:jc w:val="both"/>
      </w:pPr>
    </w:p>
  </w:footnote>
  <w:footnote w:id="5">
    <w:p w14:paraId="7561B8AD">
      <w:pPr>
        <w:pStyle w:val="16"/>
        <w:snapToGrid w:val="0"/>
        <w:jc w:val="both"/>
      </w:pPr>
      <w:r>
        <w:rPr>
          <w:rStyle w:val="22"/>
        </w:rPr>
        <w:t>［</w:t>
      </w:r>
      <w:r>
        <w:rPr>
          <w:rStyle w:val="22"/>
        </w:rPr>
        <w:footnoteRef/>
      </w:r>
      <w:r>
        <w:rPr>
          <w:rStyle w:val="22"/>
        </w:rPr>
        <w:t>］</w:t>
      </w:r>
      <w:r>
        <w:t xml:space="preserve"> </w:t>
      </w:r>
      <w:r>
        <w:rPr>
          <w:rFonts w:hint="eastAsia"/>
        </w:rPr>
        <w:t>胡玉洁, 郝东艳, 龚伟, 徐思清. HPS教学模式在中学课堂教学中的应用——以有机化学为例[J]. 创新教育研究, 2024, 12(5): 659-668.</w:t>
      </w:r>
    </w:p>
  </w:footnote>
  <w:footnote w:id="6">
    <w:p w14:paraId="40F6CC3E">
      <w:pPr>
        <w:pStyle w:val="16"/>
        <w:snapToGrid w:val="0"/>
        <w:jc w:val="both"/>
      </w:pPr>
      <w:r>
        <w:rPr>
          <w:rStyle w:val="22"/>
        </w:rPr>
        <w:t>［</w:t>
      </w:r>
      <w:r>
        <w:rPr>
          <w:rStyle w:val="22"/>
        </w:rPr>
        <w:footnoteRef/>
      </w:r>
      <w:r>
        <w:rPr>
          <w:rStyle w:val="22"/>
        </w:rPr>
        <w:t>］</w:t>
      </w:r>
      <w:r>
        <w:t xml:space="preserve"> </w:t>
      </w:r>
      <w:r>
        <w:rPr>
          <w:rFonts w:hint="eastAsia"/>
        </w:rPr>
        <w:t>Monk M, Osborne J. Placing the history and philosophy of science on the curriculum: a model for the development of pedagogy[J].Science Education,1997, 81(4):405-424.</w:t>
      </w:r>
    </w:p>
  </w:footnote>
  <w:footnote w:id="7">
    <w:p w14:paraId="5706490E">
      <w:pPr>
        <w:pStyle w:val="16"/>
        <w:snapToGrid w:val="0"/>
        <w:jc w:val="both"/>
      </w:pPr>
      <w:r>
        <w:rPr>
          <w:rStyle w:val="22"/>
        </w:rPr>
        <w:t>［</w:t>
      </w:r>
      <w:r>
        <w:rPr>
          <w:rStyle w:val="22"/>
        </w:rPr>
        <w:footnoteRef/>
      </w:r>
      <w:r>
        <w:rPr>
          <w:rStyle w:val="22"/>
        </w:rPr>
        <w:t>］</w:t>
      </w:r>
      <w:r>
        <w:t xml:space="preserve"> </w:t>
      </w:r>
      <w:r>
        <w:rPr>
          <w:rFonts w:hint="eastAsia"/>
        </w:rPr>
        <w:t>Irwin A. R. (2000). Historical case studies: Teaching the nature of science in context. Science Education, 84(1), 5-26.</w:t>
      </w:r>
    </w:p>
  </w:footnote>
  <w:footnote w:id="8">
    <w:p w14:paraId="272D7275">
      <w:pPr>
        <w:pStyle w:val="16"/>
        <w:snapToGrid w:val="0"/>
        <w:jc w:val="both"/>
      </w:pPr>
      <w:r>
        <w:rPr>
          <w:rStyle w:val="22"/>
        </w:rPr>
        <w:t>［</w:t>
      </w:r>
      <w:r>
        <w:rPr>
          <w:rStyle w:val="22"/>
        </w:rPr>
        <w:footnoteRef/>
      </w:r>
      <w:r>
        <w:rPr>
          <w:rStyle w:val="22"/>
        </w:rPr>
        <w:t>］</w:t>
      </w:r>
      <w:r>
        <w:t xml:space="preserve"> </w:t>
      </w:r>
      <w:r>
        <w:rPr>
          <w:rFonts w:hint="eastAsia"/>
        </w:rPr>
        <w:t>Allchin D. Teaching the nature of science: perspectives &amp; resources[M]. Saint Paul, MN: SHiPS Education Press, 2013.</w:t>
      </w:r>
    </w:p>
  </w:footnote>
  <w:footnote w:id="9">
    <w:p w14:paraId="158CBA37">
      <w:pPr>
        <w:pStyle w:val="16"/>
        <w:snapToGrid w:val="0"/>
        <w:jc w:val="both"/>
      </w:pPr>
      <w:r>
        <w:rPr>
          <w:rStyle w:val="22"/>
        </w:rPr>
        <w:t>［</w:t>
      </w:r>
      <w:r>
        <w:rPr>
          <w:rStyle w:val="22"/>
        </w:rPr>
        <w:footnoteRef/>
      </w:r>
      <w:r>
        <w:rPr>
          <w:rStyle w:val="22"/>
        </w:rPr>
        <w:t>］</w:t>
      </w:r>
      <w:r>
        <w:t xml:space="preserve"> </w:t>
      </w:r>
      <w:r>
        <w:rPr>
          <w:rFonts w:hint="eastAsia"/>
        </w:rPr>
        <w:t>Höttecke D. HIPST—History and philosophy in science teaching: A European project[J]. Science &amp; Education, 2012, 21(9): 1229-1232.</w:t>
      </w:r>
    </w:p>
  </w:footnote>
  <w:footnote w:id="10">
    <w:p w14:paraId="52D07CF0">
      <w:pPr>
        <w:pStyle w:val="16"/>
        <w:snapToGrid w:val="0"/>
        <w:jc w:val="both"/>
      </w:pPr>
      <w:r>
        <w:rPr>
          <w:rStyle w:val="22"/>
        </w:rPr>
        <w:t>［</w:t>
      </w:r>
      <w:r>
        <w:rPr>
          <w:rStyle w:val="22"/>
        </w:rPr>
        <w:footnoteRef/>
      </w:r>
      <w:r>
        <w:rPr>
          <w:rStyle w:val="22"/>
        </w:rPr>
        <w:t>］</w:t>
      </w:r>
      <w:r>
        <w:rPr>
          <w:rFonts w:hint="eastAsia"/>
        </w:rPr>
        <w:t>张萍. HPS教学模式融入论证式教学的有关思考[J]. 教育进展, 2024, 14(4): 390-394.</w:t>
      </w:r>
    </w:p>
  </w:footnote>
  <w:footnote w:id="11">
    <w:p w14:paraId="2355DC6E">
      <w:pPr>
        <w:pStyle w:val="16"/>
        <w:snapToGrid w:val="0"/>
      </w:pPr>
      <w:r>
        <w:rPr>
          <w:rStyle w:val="22"/>
        </w:rPr>
        <w:t>［</w:t>
      </w:r>
      <w:r>
        <w:rPr>
          <w:rStyle w:val="22"/>
        </w:rPr>
        <w:footnoteRef/>
      </w:r>
      <w:r>
        <w:rPr>
          <w:rStyle w:val="22"/>
        </w:rPr>
        <w:t>］</w:t>
      </w:r>
      <w:r>
        <w:rPr>
          <w:rFonts w:hint="eastAsia"/>
        </w:rPr>
        <w:t>孙渝林, 张颖颖, 丁林杰. 核心素养背景下HPS教育理念融合于物理学中的教学策略——以必修三“电荷”为例[J]. 创新教育研究, 2024, 12(7): 269-275.</w:t>
      </w:r>
    </w:p>
  </w:footnote>
  <w:footnote w:id="12">
    <w:p w14:paraId="2FF62840">
      <w:pPr>
        <w:pStyle w:val="16"/>
        <w:snapToGrid w:val="0"/>
      </w:pPr>
      <w:r>
        <w:rPr>
          <w:rStyle w:val="22"/>
        </w:rPr>
        <w:t>［</w:t>
      </w:r>
      <w:r>
        <w:rPr>
          <w:rStyle w:val="22"/>
        </w:rPr>
        <w:footnoteRef/>
      </w:r>
      <w:r>
        <w:rPr>
          <w:rStyle w:val="22"/>
        </w:rPr>
        <w:t>］</w:t>
      </w:r>
      <w:r>
        <w:t xml:space="preserve"> </w:t>
      </w:r>
      <w:r>
        <w:rPr>
          <w:rFonts w:hint="eastAsia"/>
        </w:rPr>
        <w:t>马俊萍. 中学教师科学本质观现状及学生科学本质提高策略研究[D]. 陕西师范大学, 2011.</w:t>
      </w:r>
    </w:p>
  </w:footnote>
  <w:footnote w:id="13">
    <w:p w14:paraId="1172F33F">
      <w:pPr>
        <w:pStyle w:val="16"/>
        <w:snapToGrid w:val="0"/>
      </w:pPr>
      <w:r>
        <w:rPr>
          <w:rStyle w:val="22"/>
        </w:rPr>
        <w:t>［</w:t>
      </w:r>
      <w:r>
        <w:rPr>
          <w:rStyle w:val="22"/>
        </w:rPr>
        <w:footnoteRef/>
      </w:r>
      <w:r>
        <w:rPr>
          <w:rStyle w:val="22"/>
        </w:rPr>
        <w:t>］</w:t>
      </w:r>
      <w:r>
        <w:t xml:space="preserve"> </w:t>
      </w:r>
      <w:r>
        <w:rPr>
          <w:rFonts w:hint="eastAsia"/>
        </w:rPr>
        <w:t>沈银银. 基于HPS教学理念的初中科学教学设计实践研究[D]. 杭州师范大学, 2019.</w:t>
      </w:r>
    </w:p>
  </w:footnote>
  <w:footnote w:id="14">
    <w:p w14:paraId="01EA831E">
      <w:pPr>
        <w:pStyle w:val="16"/>
        <w:snapToGrid w:val="0"/>
      </w:pPr>
      <w:r>
        <w:rPr>
          <w:rStyle w:val="22"/>
        </w:rPr>
        <w:t>［</w:t>
      </w:r>
      <w:r>
        <w:rPr>
          <w:rStyle w:val="22"/>
        </w:rPr>
        <w:footnoteRef/>
      </w:r>
      <w:r>
        <w:rPr>
          <w:rStyle w:val="22"/>
        </w:rPr>
        <w:t>］</w:t>
      </w:r>
      <w:r>
        <w:t xml:space="preserve"> </w:t>
      </w:r>
      <w:r>
        <w:rPr>
          <w:rFonts w:hint="eastAsia"/>
        </w:rPr>
        <w:t>William F. McCOMAS, Hiya Almazroa, Michael P. Clough. The Nature of Science in Science Education: An Introduction[J]. Science Education, 1998, 7(6): 511-532.</w:t>
      </w:r>
    </w:p>
  </w:footnote>
  <w:footnote w:id="15">
    <w:p w14:paraId="1CB4D777">
      <w:pPr>
        <w:pStyle w:val="16"/>
        <w:snapToGrid w:val="0"/>
      </w:pPr>
      <w:r>
        <w:rPr>
          <w:rStyle w:val="22"/>
        </w:rPr>
        <w:t>［</w:t>
      </w:r>
      <w:r>
        <w:rPr>
          <w:rStyle w:val="22"/>
        </w:rPr>
        <w:footnoteRef/>
      </w:r>
      <w:r>
        <w:rPr>
          <w:rStyle w:val="22"/>
        </w:rPr>
        <w:t>］</w:t>
      </w:r>
      <w:r>
        <w:t xml:space="preserve"> </w:t>
      </w:r>
      <w:r>
        <w:rPr>
          <w:rFonts w:hint="eastAsia"/>
        </w:rPr>
        <w:t>SCHWARTZ R S,LEDERMAN N G,CRAWFORD B A.Developing views of nature of science in an authentic context: An explicit approach to bridging the gap between nature of science and scientific inquiry[J].Sci Educ,2004,88(4):610-645.</w:t>
      </w:r>
    </w:p>
  </w:footnote>
  <w:footnote w:id="16">
    <w:p w14:paraId="60BAA13C">
      <w:pPr>
        <w:pStyle w:val="16"/>
        <w:snapToGrid w:val="0"/>
      </w:pPr>
      <w:r>
        <w:rPr>
          <w:rStyle w:val="22"/>
        </w:rPr>
        <w:t>［</w:t>
      </w:r>
      <w:r>
        <w:rPr>
          <w:rStyle w:val="22"/>
        </w:rPr>
        <w:footnoteRef/>
      </w:r>
      <w:r>
        <w:rPr>
          <w:rStyle w:val="22"/>
        </w:rPr>
        <w:t>］</w:t>
      </w:r>
      <w:r>
        <w:t xml:space="preserve"> </w:t>
      </w:r>
      <w:r>
        <w:rPr>
          <w:rFonts w:hint="eastAsia"/>
        </w:rPr>
        <w:t>NGSS Lead States. Appendix H: The Nature of Science in the Next Generation Science Standards[S/OL]. Achieve, 2013.</w:t>
      </w:r>
    </w:p>
  </w:footnote>
  <w:footnote w:id="17">
    <w:p w14:paraId="72C863B2">
      <w:pPr>
        <w:pStyle w:val="16"/>
        <w:snapToGrid w:val="0"/>
      </w:pPr>
      <w:r>
        <w:rPr>
          <w:rStyle w:val="22"/>
        </w:rPr>
        <w:t>［</w:t>
      </w:r>
      <w:r>
        <w:rPr>
          <w:rStyle w:val="22"/>
        </w:rPr>
        <w:footnoteRef/>
      </w:r>
      <w:r>
        <w:rPr>
          <w:rStyle w:val="22"/>
        </w:rPr>
        <w:t>］</w:t>
      </w:r>
      <w:r>
        <w:t xml:space="preserve"> </w:t>
      </w:r>
      <w:r>
        <w:rPr>
          <w:rFonts w:hint="eastAsia"/>
        </w:rPr>
        <w:t>LEDERMAN N G, ABD-EL-KHALICK F, BELL R L, et al. Views of nature of science questionnaire: Toward valid and meaningful assessment of learners' conceptions of nature of science[J]. Journal of Research in Science Teaching, 2002, 39(6): 497-521.</w:t>
      </w:r>
    </w:p>
  </w:footnote>
  <w:footnote w:id="18">
    <w:p w14:paraId="0CA588E5">
      <w:pPr>
        <w:pStyle w:val="16"/>
        <w:snapToGrid w:val="0"/>
        <w:jc w:val="both"/>
      </w:pPr>
      <w:r>
        <w:rPr>
          <w:rStyle w:val="22"/>
        </w:rPr>
        <w:t>［</w:t>
      </w:r>
      <w:r>
        <w:rPr>
          <w:rStyle w:val="22"/>
        </w:rPr>
        <w:footnoteRef/>
      </w:r>
      <w:r>
        <w:rPr>
          <w:rStyle w:val="22"/>
        </w:rPr>
        <w:t>］</w:t>
      </w:r>
      <w:r>
        <w:t xml:space="preserve"> </w:t>
      </w:r>
      <w:r>
        <w:rPr>
          <w:rFonts w:hint="eastAsia"/>
        </w:rPr>
        <w:t>ABD-EL-KHALICK F, LEDERMAN N G. Improving science teachers' conceptions of nature of science: A critical review of the literature[J]. International Journal of Science Education, 2000, 22(7): 665-701.</w:t>
      </w:r>
    </w:p>
  </w:footnote>
  <w:footnote w:id="19">
    <w:p w14:paraId="45817BF4">
      <w:pPr>
        <w:pStyle w:val="16"/>
      </w:pPr>
      <w:r>
        <w:rPr>
          <w:rStyle w:val="22"/>
        </w:rPr>
        <w:t>［</w:t>
      </w:r>
      <w:r>
        <w:rPr>
          <w:rStyle w:val="22"/>
        </w:rPr>
        <w:footnoteRef/>
      </w:r>
      <w:r>
        <w:rPr>
          <w:rStyle w:val="22"/>
        </w:rPr>
        <w:t>］</w:t>
      </w:r>
      <w:r>
        <w:t xml:space="preserve"> </w:t>
      </w:r>
      <w:r>
        <w:rPr>
          <w:rFonts w:hint="eastAsia"/>
        </w:rPr>
        <w:t>中华人民共和国制定.全日制义务教育 7-9 年级课程标准(实验版)[S].北京:北京师范大学出版社,2001</w:t>
      </w:r>
    </w:p>
  </w:footnote>
  <w:footnote w:id="20">
    <w:p w14:paraId="137D136A">
      <w:pPr>
        <w:pStyle w:val="16"/>
        <w:snapToGrid w:val="0"/>
        <w:jc w:val="both"/>
      </w:pPr>
      <w:r>
        <w:rPr>
          <w:rStyle w:val="22"/>
        </w:rPr>
        <w:t>［</w:t>
      </w:r>
      <w:r>
        <w:rPr>
          <w:rStyle w:val="22"/>
        </w:rPr>
        <w:footnoteRef/>
      </w:r>
      <w:r>
        <w:rPr>
          <w:rStyle w:val="22"/>
        </w:rPr>
        <w:t>］</w:t>
      </w:r>
      <w:r>
        <w:t xml:space="preserve"> </w:t>
      </w:r>
      <w:r>
        <w:rPr>
          <w:rFonts w:hint="eastAsia"/>
        </w:rPr>
        <w:t>霍爱新, 靳莹, 李双.基于HPS和STS培养学生化学核心素养的教学设计——以“发展中的化学电源”为例[J]. 化学教学, 2018(05): 33-36.</w:t>
      </w:r>
    </w:p>
  </w:footnote>
  <w:footnote w:id="21">
    <w:p w14:paraId="405E7FD5">
      <w:pPr>
        <w:pStyle w:val="16"/>
        <w:snapToGrid w:val="0"/>
      </w:pPr>
      <w:r>
        <w:rPr>
          <w:rStyle w:val="22"/>
        </w:rPr>
        <w:t>［</w:t>
      </w:r>
      <w:r>
        <w:rPr>
          <w:rStyle w:val="22"/>
        </w:rPr>
        <w:footnoteRef/>
      </w:r>
      <w:r>
        <w:rPr>
          <w:rStyle w:val="22"/>
        </w:rPr>
        <w:t>］</w:t>
      </w:r>
      <w:r>
        <w:t xml:space="preserve"> </w:t>
      </w:r>
      <w:r>
        <w:rPr>
          <w:rFonts w:hint="eastAsia"/>
        </w:rPr>
        <w:t>刘健智.中学生科学本质观的测量指标研究[J].教育测量与评价(理论版),2009(07):30-33.</w:t>
      </w:r>
    </w:p>
  </w:footnote>
  <w:footnote w:id="22">
    <w:p w14:paraId="045ADC4F">
      <w:pPr>
        <w:pStyle w:val="16"/>
      </w:pPr>
      <w:r>
        <w:rPr>
          <w:rStyle w:val="22"/>
        </w:rPr>
        <w:t>［</w:t>
      </w:r>
      <w:r>
        <w:rPr>
          <w:rStyle w:val="22"/>
        </w:rPr>
        <w:footnoteRef/>
      </w:r>
      <w:r>
        <w:rPr>
          <w:rStyle w:val="22"/>
        </w:rPr>
        <w:t>］</w:t>
      </w:r>
      <w:r>
        <w:t xml:space="preserve"> </w:t>
      </w:r>
      <w:r>
        <w:rPr>
          <w:rFonts w:hint="eastAsia"/>
        </w:rPr>
        <w:t>梁永平,宁君迎.高中生微观认识学习中科学本质观的调查研究[J].化学教育,2007(01):35-37.</w:t>
      </w:r>
    </w:p>
  </w:footnote>
  <w:footnote w:id="23">
    <w:p w14:paraId="2CC27294">
      <w:pPr>
        <w:pStyle w:val="16"/>
        <w:snapToGrid w:val="0"/>
        <w:jc w:val="both"/>
        <w:rPr>
          <w:rFonts w:hint="eastAsia" w:eastAsia="宋体"/>
          <w:lang w:val="en-US" w:eastAsia="zh-CN"/>
        </w:rPr>
      </w:pPr>
      <w:r>
        <w:rPr>
          <w:rStyle w:val="22"/>
        </w:rPr>
        <w:t>［</w:t>
      </w:r>
      <w:r>
        <w:rPr>
          <w:rStyle w:val="22"/>
        </w:rPr>
        <w:footnoteRef/>
      </w:r>
      <w:r>
        <w:rPr>
          <w:rStyle w:val="22"/>
        </w:rPr>
        <w:t>］</w:t>
      </w:r>
      <w:r>
        <w:t xml:space="preserve"> </w:t>
      </w:r>
      <w:r>
        <w:rPr>
          <w:rFonts w:hint="eastAsia"/>
        </w:rPr>
        <w:t>GAO Xiu-Ye, DING Bang-Ping. Review and Implications: the Intellectual Heritage from Schwab’s Views about Inquiry Teaching[J]. Journal of Schooling Studies. 2014, 11(1): 14-20</w:t>
      </w:r>
      <w:r>
        <w:rPr>
          <w:rFonts w:hint="eastAsia"/>
          <w:lang w:val="en-US" w:eastAsia="zh-CN"/>
        </w:rPr>
        <w:t>.</w:t>
      </w:r>
    </w:p>
  </w:footnote>
  <w:footnote w:id="24">
    <w:p w14:paraId="3AB2743A">
      <w:pPr>
        <w:pStyle w:val="16"/>
        <w:snapToGrid w:val="0"/>
        <w:jc w:val="both"/>
      </w:pPr>
      <w:r>
        <w:rPr>
          <w:rStyle w:val="22"/>
        </w:rPr>
        <w:t>［</w:t>
      </w:r>
      <w:r>
        <w:rPr>
          <w:rStyle w:val="22"/>
        </w:rPr>
        <w:footnoteRef/>
      </w:r>
      <w:r>
        <w:rPr>
          <w:rStyle w:val="22"/>
        </w:rPr>
        <w:t>］</w:t>
      </w:r>
      <w:r>
        <w:t xml:space="preserve"> </w:t>
      </w:r>
      <w:r>
        <w:rPr>
          <w:rFonts w:hint="eastAsia"/>
        </w:rPr>
        <w:t>罗小凤,刘瑞,甘功露.职前化学教师科学本质教学的影响因素研究[J].化学教育(中英文),2020,41(10):61-66.</w:t>
      </w:r>
    </w:p>
  </w:footnote>
  <w:footnote w:id="25">
    <w:p w14:paraId="6B21B474">
      <w:pPr>
        <w:pStyle w:val="16"/>
        <w:snapToGrid w:val="0"/>
        <w:jc w:val="both"/>
      </w:pPr>
      <w:r>
        <w:rPr>
          <w:rStyle w:val="22"/>
        </w:rPr>
        <w:t>［</w:t>
      </w:r>
      <w:r>
        <w:rPr>
          <w:rStyle w:val="22"/>
        </w:rPr>
        <w:footnoteRef/>
      </w:r>
      <w:r>
        <w:rPr>
          <w:rStyle w:val="22"/>
        </w:rPr>
        <w:t>］</w:t>
      </w:r>
      <w:r>
        <w:t xml:space="preserve"> </w:t>
      </w:r>
      <w:r>
        <w:rPr>
          <w:rFonts w:hint="eastAsia"/>
        </w:rPr>
        <w:t>陈凯,林佳依,王坤.基于科学论证视角的职前科学教师培养研究述评[J].化学教育(中英文),2020,41(18):61-68.</w:t>
      </w:r>
    </w:p>
  </w:footnote>
  <w:footnote w:id="26">
    <w:p w14:paraId="0714A8C0">
      <w:pPr>
        <w:pStyle w:val="16"/>
        <w:snapToGrid w:val="0"/>
      </w:pPr>
      <w:r>
        <w:rPr>
          <w:rStyle w:val="22"/>
        </w:rPr>
        <w:t>［</w:t>
      </w:r>
      <w:r>
        <w:rPr>
          <w:rStyle w:val="22"/>
        </w:rPr>
        <w:footnoteRef/>
      </w:r>
      <w:r>
        <w:rPr>
          <w:rStyle w:val="22"/>
        </w:rPr>
        <w:t>］</w:t>
      </w:r>
      <w:r>
        <w:t xml:space="preserve"> </w:t>
      </w:r>
      <w:r>
        <w:rPr>
          <w:rFonts w:hint="eastAsia"/>
        </w:rPr>
        <w:t>邱洪枞.基于科学本质的科学教学[J].生物学通报,2023,58(1):14-20.</w:t>
      </w:r>
    </w:p>
  </w:footnote>
  <w:footnote w:id="27">
    <w:p w14:paraId="3E9A82BA">
      <w:pPr>
        <w:pStyle w:val="16"/>
        <w:snapToGrid w:val="0"/>
        <w:jc w:val="both"/>
      </w:pPr>
      <w:r>
        <w:rPr>
          <w:rStyle w:val="22"/>
        </w:rPr>
        <w:t>［</w:t>
      </w:r>
      <w:r>
        <w:rPr>
          <w:rStyle w:val="22"/>
        </w:rPr>
        <w:footnoteRef/>
      </w:r>
      <w:r>
        <w:rPr>
          <w:rStyle w:val="22"/>
        </w:rPr>
        <w:t>］</w:t>
      </w:r>
      <w:r>
        <w:rPr>
          <w:rFonts w:hint="eastAsia"/>
        </w:rPr>
        <w:t xml:space="preserve"> 崔博雅,袁振东.从氟元素发现史中挖掘科学本质观和人文素养[J].化学教育(中英文),2022,43(01):122-126.</w:t>
      </w:r>
    </w:p>
  </w:footnote>
  <w:footnote w:id="28">
    <w:p w14:paraId="4895DD28">
      <w:pPr>
        <w:pStyle w:val="16"/>
        <w:snapToGrid w:val="0"/>
      </w:pPr>
      <w:r>
        <w:rPr>
          <w:rStyle w:val="22"/>
        </w:rPr>
        <w:t>［</w:t>
      </w:r>
      <w:r>
        <w:rPr>
          <w:rStyle w:val="22"/>
        </w:rPr>
        <w:footnoteRef/>
      </w:r>
      <w:r>
        <w:rPr>
          <w:rStyle w:val="22"/>
        </w:rPr>
        <w:t>］</w:t>
      </w:r>
      <w:r>
        <w:t xml:space="preserve"> </w:t>
      </w:r>
      <w:r>
        <w:rPr>
          <w:rFonts w:hint="eastAsia"/>
        </w:rPr>
        <w:t>沈春花.基于科学本质观的初中化学教学活动设计的研究[D].上海:上海师范大学,2016.</w:t>
      </w:r>
    </w:p>
  </w:footnote>
  <w:footnote w:id="29">
    <w:p w14:paraId="38521B3A">
      <w:pPr>
        <w:pStyle w:val="16"/>
        <w:snapToGrid w:val="0"/>
      </w:pPr>
      <w:r>
        <w:rPr>
          <w:rStyle w:val="22"/>
        </w:rPr>
        <w:t>［</w:t>
      </w:r>
      <w:r>
        <w:rPr>
          <w:rStyle w:val="22"/>
        </w:rPr>
        <w:footnoteRef/>
      </w:r>
      <w:r>
        <w:rPr>
          <w:rStyle w:val="22"/>
        </w:rPr>
        <w:t>］</w:t>
      </w:r>
      <w:r>
        <w:t xml:space="preserve"> </w:t>
      </w:r>
      <w:r>
        <w:rPr>
          <w:rFonts w:hint="eastAsia"/>
        </w:rPr>
        <w:t>陈俏,耿雁冰,王心怡等.增进化学科学本质理解的教学设计——以“原子的结构”为例[J].化学教学,2023(4):58-63+73.</w:t>
      </w:r>
    </w:p>
  </w:footnote>
  <w:footnote w:id="30">
    <w:p w14:paraId="40EB55CA">
      <w:pPr>
        <w:pStyle w:val="16"/>
        <w:snapToGrid w:val="0"/>
      </w:pPr>
      <w:r>
        <w:rPr>
          <w:rStyle w:val="22"/>
        </w:rPr>
        <w:t>［</w:t>
      </w:r>
      <w:r>
        <w:rPr>
          <w:rStyle w:val="22"/>
        </w:rPr>
        <w:footnoteRef/>
      </w:r>
      <w:r>
        <w:rPr>
          <w:rStyle w:val="22"/>
        </w:rPr>
        <w:t>］</w:t>
      </w:r>
      <w:r>
        <w:t xml:space="preserve"> </w:t>
      </w:r>
      <w:r>
        <w:rPr>
          <w:rFonts w:hint="eastAsia"/>
        </w:rPr>
        <w:t>SPENCER H. What knowledge is of most worth?[J]. Popular Science Monthly, 1904, 64(1): 1-15.</w:t>
      </w:r>
    </w:p>
  </w:footnote>
  <w:footnote w:id="31">
    <w:p w14:paraId="1F46F86E">
      <w:pPr>
        <w:pStyle w:val="16"/>
        <w:snapToGrid w:val="0"/>
      </w:pPr>
      <w:r>
        <w:rPr>
          <w:rStyle w:val="22"/>
        </w:rPr>
        <w:t>［</w:t>
      </w:r>
      <w:r>
        <w:rPr>
          <w:rStyle w:val="22"/>
        </w:rPr>
        <w:footnoteRef/>
      </w:r>
      <w:r>
        <w:rPr>
          <w:rStyle w:val="22"/>
        </w:rPr>
        <w:t>］</w:t>
      </w:r>
      <w:r>
        <w:t xml:space="preserve"> </w:t>
      </w:r>
      <w:r>
        <w:rPr>
          <w:rFonts w:hint="eastAsia"/>
        </w:rPr>
        <w:t>邱龙虎.真实的“科学史之父”乔治·萨顿——读《乔治·萨顿的激情》[J].广西民族大学学报(自然科学版),2009,15(4):70-73.</w:t>
      </w:r>
    </w:p>
  </w:footnote>
  <w:footnote w:id="32">
    <w:p w14:paraId="00B569D5">
      <w:pPr>
        <w:pStyle w:val="16"/>
        <w:snapToGrid w:val="0"/>
      </w:pPr>
      <w:r>
        <w:rPr>
          <w:rStyle w:val="22"/>
        </w:rPr>
        <w:t>［</w:t>
      </w:r>
      <w:r>
        <w:rPr>
          <w:rStyle w:val="22"/>
        </w:rPr>
        <w:footnoteRef/>
      </w:r>
      <w:r>
        <w:rPr>
          <w:rStyle w:val="22"/>
        </w:rPr>
        <w:t>］</w:t>
      </w:r>
      <w:r>
        <w:t xml:space="preserve"> </w:t>
      </w:r>
      <w:r>
        <w:rPr>
          <w:rFonts w:hint="eastAsia"/>
        </w:rPr>
        <w:t>崔伟奇,程倩春.论托马斯·库恩科学哲学的创新意义——纪念《科学革命的结构》出版60周年[J].自然辩证法究,2022,38(10):10-16.</w:t>
      </w:r>
    </w:p>
  </w:footnote>
  <w:footnote w:id="33">
    <w:p w14:paraId="4AA9CA00">
      <w:pPr>
        <w:pStyle w:val="16"/>
        <w:snapToGrid w:val="0"/>
      </w:pPr>
      <w:r>
        <w:rPr>
          <w:rStyle w:val="22"/>
        </w:rPr>
        <w:t>［</w:t>
      </w:r>
      <w:r>
        <w:rPr>
          <w:rStyle w:val="22"/>
        </w:rPr>
        <w:footnoteRef/>
      </w:r>
      <w:r>
        <w:rPr>
          <w:rStyle w:val="22"/>
        </w:rPr>
        <w:t>］</w:t>
      </w:r>
      <w:r>
        <w:t xml:space="preserve"> </w:t>
      </w:r>
      <w:r>
        <w:rPr>
          <w:rFonts w:hint="eastAsia"/>
        </w:rPr>
        <w:t>潘晨晨.HPS教学模式在高中物理磁现象教学应用中的研究[D].烟台:鲁东大学,2023.</w:t>
      </w:r>
    </w:p>
  </w:footnote>
  <w:footnote w:id="34">
    <w:p w14:paraId="6EB72FA0">
      <w:pPr>
        <w:pStyle w:val="16"/>
        <w:snapToGrid w:val="0"/>
      </w:pPr>
      <w:r>
        <w:rPr>
          <w:rStyle w:val="22"/>
        </w:rPr>
        <w:t>［</w:t>
      </w:r>
      <w:r>
        <w:rPr>
          <w:rStyle w:val="22"/>
        </w:rPr>
        <w:footnoteRef/>
      </w:r>
      <w:r>
        <w:rPr>
          <w:rStyle w:val="22"/>
        </w:rPr>
        <w:t>］</w:t>
      </w:r>
      <w:r>
        <w:t xml:space="preserve"> </w:t>
      </w:r>
      <w:r>
        <w:rPr>
          <w:rFonts w:hint="eastAsia"/>
        </w:rPr>
        <w:t>韩艳琴.基于HPS教学模式发展高中生科学思维的实践研究[D].太原: 太原师范学院,2023.</w:t>
      </w:r>
    </w:p>
  </w:footnote>
  <w:footnote w:id="35">
    <w:p w14:paraId="04AAF953">
      <w:pPr>
        <w:pStyle w:val="16"/>
        <w:snapToGrid w:val="0"/>
      </w:pPr>
      <w:r>
        <w:rPr>
          <w:rStyle w:val="22"/>
        </w:rPr>
        <w:t>［</w:t>
      </w:r>
      <w:r>
        <w:rPr>
          <w:rStyle w:val="22"/>
        </w:rPr>
        <w:footnoteRef/>
      </w:r>
      <w:r>
        <w:rPr>
          <w:rStyle w:val="22"/>
        </w:rPr>
        <w:t>］</w:t>
      </w:r>
      <w:r>
        <w:t xml:space="preserve"> </w:t>
      </w:r>
      <w:r>
        <w:rPr>
          <w:rFonts w:hint="eastAsia"/>
        </w:rPr>
        <w:t>蔡群青. 基于科学素养的课程设计改革——以美国“2061 计划”为例[J]. 宁波大学学报(教育科学版), 2022, 44(2):38-47.</w:t>
      </w:r>
    </w:p>
  </w:footnote>
  <w:footnote w:id="36">
    <w:p w14:paraId="2E2BA3B8">
      <w:pPr>
        <w:pStyle w:val="16"/>
        <w:snapToGrid w:val="0"/>
      </w:pPr>
      <w:r>
        <w:rPr>
          <w:rStyle w:val="22"/>
        </w:rPr>
        <w:t>［</w:t>
      </w:r>
      <w:r>
        <w:rPr>
          <w:rStyle w:val="22"/>
        </w:rPr>
        <w:footnoteRef/>
      </w:r>
      <w:r>
        <w:rPr>
          <w:rStyle w:val="22"/>
        </w:rPr>
        <w:t>］</w:t>
      </w:r>
      <w:r>
        <w:t xml:space="preserve"> </w:t>
      </w:r>
      <w:r>
        <w:rPr>
          <w:rFonts w:hint="eastAsia"/>
        </w:rPr>
        <w:t>崔世峰, 王娟. 国内HPS教学融入中学化学教学的研究综述[J]. 化学教学, 2022(04):3-8.</w:t>
      </w:r>
    </w:p>
  </w:footnote>
  <w:footnote w:id="37">
    <w:p w14:paraId="5B349705">
      <w:pPr>
        <w:pStyle w:val="16"/>
        <w:snapToGrid w:val="0"/>
      </w:pPr>
      <w:r>
        <w:rPr>
          <w:rStyle w:val="22"/>
        </w:rPr>
        <w:t>［</w:t>
      </w:r>
      <w:r>
        <w:rPr>
          <w:rStyle w:val="22"/>
        </w:rPr>
        <w:footnoteRef/>
      </w:r>
      <w:r>
        <w:rPr>
          <w:rStyle w:val="22"/>
        </w:rPr>
        <w:t>］</w:t>
      </w:r>
      <w:r>
        <w:t xml:space="preserve"> </w:t>
      </w:r>
      <w:r>
        <w:rPr>
          <w:rFonts w:hint="eastAsia"/>
        </w:rPr>
        <w:t>Lusk G. Is HPS a valuable component of a STEM education? An empirical study of student interest in HPS courses within an undergraduate science curriculum [J]. European Journal for Philosophy of Science, 2022, 12(1):19.</w:t>
      </w:r>
    </w:p>
  </w:footnote>
  <w:footnote w:id="38">
    <w:p w14:paraId="0B92781B">
      <w:pPr>
        <w:pStyle w:val="16"/>
        <w:snapToGrid w:val="0"/>
      </w:pPr>
      <w:r>
        <w:rPr>
          <w:rStyle w:val="22"/>
        </w:rPr>
        <w:t>［</w:t>
      </w:r>
      <w:r>
        <w:rPr>
          <w:rStyle w:val="22"/>
        </w:rPr>
        <w:footnoteRef/>
      </w:r>
      <w:r>
        <w:rPr>
          <w:rStyle w:val="22"/>
        </w:rPr>
        <w:t>］</w:t>
      </w:r>
      <w:r>
        <w:t xml:space="preserve"> </w:t>
      </w:r>
      <w:r>
        <w:rPr>
          <w:rFonts w:hint="eastAsia"/>
        </w:rPr>
        <w:t>刘兵. 基础科学教育改革与科学史──从美国的《2061 计划》和《国家科学教育标准》谈起[J]. 哈尔滨师专学报(社会科学版), 1997, (4):7-12</w:t>
      </w:r>
    </w:p>
  </w:footnote>
  <w:footnote w:id="39">
    <w:p w14:paraId="0D165CC2">
      <w:pPr>
        <w:pStyle w:val="16"/>
        <w:snapToGrid w:val="0"/>
      </w:pPr>
      <w:r>
        <w:rPr>
          <w:rStyle w:val="22"/>
        </w:rPr>
        <w:t>［</w:t>
      </w:r>
      <w:r>
        <w:rPr>
          <w:rStyle w:val="22"/>
        </w:rPr>
        <w:footnoteRef/>
      </w:r>
      <w:r>
        <w:rPr>
          <w:rStyle w:val="22"/>
        </w:rPr>
        <w:t>］</w:t>
      </w:r>
      <w:r>
        <w:t xml:space="preserve"> </w:t>
      </w:r>
      <w:r>
        <w:rPr>
          <w:rFonts w:hint="eastAsia"/>
        </w:rPr>
        <w:t>魏冰.科学史、科学哲学和科学教学[J].比较教育研究,1999(3):52.</w:t>
      </w:r>
    </w:p>
  </w:footnote>
  <w:footnote w:id="40">
    <w:p w14:paraId="2DF133C1">
      <w:pPr>
        <w:pStyle w:val="16"/>
        <w:snapToGrid w:val="0"/>
      </w:pPr>
      <w:r>
        <w:rPr>
          <w:rStyle w:val="22"/>
        </w:rPr>
        <w:t>［</w:t>
      </w:r>
      <w:r>
        <w:rPr>
          <w:rStyle w:val="22"/>
        </w:rPr>
        <w:footnoteRef/>
      </w:r>
      <w:r>
        <w:rPr>
          <w:rStyle w:val="22"/>
        </w:rPr>
        <w:t>］</w:t>
      </w:r>
      <w:r>
        <w:t xml:space="preserve"> </w:t>
      </w:r>
      <w:r>
        <w:rPr>
          <w:rFonts w:hint="eastAsia"/>
        </w:rPr>
        <w:t>丁邦平.国际科学教育导论[M].太原:山西教育出版社,2002.</w:t>
      </w:r>
    </w:p>
  </w:footnote>
  <w:footnote w:id="41">
    <w:p w14:paraId="195B2C36">
      <w:pPr>
        <w:pStyle w:val="16"/>
        <w:snapToGrid w:val="0"/>
        <w:jc w:val="both"/>
      </w:pPr>
      <w:r>
        <w:rPr>
          <w:rStyle w:val="22"/>
        </w:rPr>
        <w:t>［</w:t>
      </w:r>
      <w:r>
        <w:rPr>
          <w:rStyle w:val="22"/>
        </w:rPr>
        <w:footnoteRef/>
      </w:r>
      <w:r>
        <w:rPr>
          <w:rStyle w:val="22"/>
        </w:rPr>
        <w:t>］</w:t>
      </w:r>
      <w:r>
        <w:t xml:space="preserve"> </w:t>
      </w:r>
      <w:r>
        <w:rPr>
          <w:rFonts w:hint="eastAsia"/>
        </w:rPr>
        <w:t>袁维新.HPS教学模式和光合作用发现过程的教学案例[J].生物学教学,2004(12):14-15.</w:t>
      </w:r>
    </w:p>
  </w:footnote>
  <w:footnote w:id="42">
    <w:p w14:paraId="59BBD6D4">
      <w:pPr>
        <w:pStyle w:val="16"/>
        <w:snapToGrid w:val="0"/>
      </w:pPr>
      <w:r>
        <w:rPr>
          <w:rStyle w:val="22"/>
        </w:rPr>
        <w:t>［</w:t>
      </w:r>
      <w:r>
        <w:rPr>
          <w:rStyle w:val="22"/>
        </w:rPr>
        <w:footnoteRef/>
      </w:r>
      <w:r>
        <w:rPr>
          <w:rStyle w:val="22"/>
        </w:rPr>
        <w:t>］</w:t>
      </w:r>
      <w:r>
        <w:t xml:space="preserve"> </w:t>
      </w:r>
      <w:r>
        <w:rPr>
          <w:rFonts w:hint="eastAsia"/>
        </w:rPr>
        <w:t>张勇.Webquest与HPS整合教学模式在中学化学史教学中应用的个案研究[D].东北师范大学,2007.</w:t>
      </w:r>
    </w:p>
  </w:footnote>
  <w:footnote w:id="43">
    <w:p w14:paraId="162D5A3C">
      <w:pPr>
        <w:pStyle w:val="16"/>
        <w:snapToGrid w:val="0"/>
      </w:pPr>
      <w:r>
        <w:rPr>
          <w:rStyle w:val="22"/>
        </w:rPr>
        <w:t>［</w:t>
      </w:r>
      <w:r>
        <w:rPr>
          <w:rStyle w:val="22"/>
        </w:rPr>
        <w:footnoteRef/>
      </w:r>
      <w:r>
        <w:rPr>
          <w:rStyle w:val="22"/>
        </w:rPr>
        <w:t>］</w:t>
      </w:r>
      <w:r>
        <w:t xml:space="preserve"> </w:t>
      </w:r>
      <w:r>
        <w:rPr>
          <w:rFonts w:hint="eastAsia"/>
        </w:rPr>
        <w:t>黄晓.体现科学本质的科学教学[D].上海:华东师范大学,2010.</w:t>
      </w:r>
    </w:p>
  </w:footnote>
  <w:footnote w:id="44">
    <w:p w14:paraId="64EB73C1">
      <w:pPr>
        <w:pStyle w:val="16"/>
        <w:snapToGrid w:val="0"/>
      </w:pPr>
      <w:r>
        <w:rPr>
          <w:rStyle w:val="22"/>
        </w:rPr>
        <w:t>［</w:t>
      </w:r>
      <w:r>
        <w:rPr>
          <w:rStyle w:val="22"/>
        </w:rPr>
        <w:footnoteRef/>
      </w:r>
      <w:r>
        <w:rPr>
          <w:rStyle w:val="22"/>
        </w:rPr>
        <w:t>］</w:t>
      </w:r>
      <w:r>
        <w:t xml:space="preserve"> </w:t>
      </w:r>
      <w:r>
        <w:rPr>
          <w:rFonts w:hint="eastAsia"/>
        </w:rPr>
        <w:t>皇甫倩,王后雄.HPS教学模型及其在中学化学教学中的运用[J].教育理论与实践,2015,35(02):58-59.</w:t>
      </w:r>
    </w:p>
  </w:footnote>
  <w:footnote w:id="45">
    <w:p w14:paraId="37C4A9A7">
      <w:pPr>
        <w:pStyle w:val="16"/>
        <w:snapToGrid w:val="0"/>
      </w:pPr>
      <w:r>
        <w:rPr>
          <w:rStyle w:val="22"/>
        </w:rPr>
        <w:t>［</w:t>
      </w:r>
      <w:r>
        <w:rPr>
          <w:rStyle w:val="22"/>
        </w:rPr>
        <w:footnoteRef/>
      </w:r>
      <w:r>
        <w:rPr>
          <w:rStyle w:val="22"/>
        </w:rPr>
        <w:t>］</w:t>
      </w:r>
      <w:r>
        <w:t xml:space="preserve"> </w:t>
      </w:r>
      <w:r>
        <w:rPr>
          <w:rFonts w:hint="eastAsia"/>
        </w:rPr>
        <w:t>白玉香.HPS和Webquest 整合教学模型的构建及应用[D].新乡: 河南师范大学硕士学位论文,2019.</w:t>
      </w:r>
    </w:p>
  </w:footnote>
  <w:footnote w:id="46">
    <w:p w14:paraId="0EAD2CC9">
      <w:pPr>
        <w:pStyle w:val="16"/>
        <w:snapToGrid w:val="0"/>
      </w:pPr>
      <w:r>
        <w:rPr>
          <w:rStyle w:val="22"/>
        </w:rPr>
        <w:t>［</w:t>
      </w:r>
      <w:r>
        <w:rPr>
          <w:rStyle w:val="22"/>
        </w:rPr>
        <w:footnoteRef/>
      </w:r>
      <w:r>
        <w:rPr>
          <w:rStyle w:val="22"/>
        </w:rPr>
        <w:t>］</w:t>
      </w:r>
      <w:r>
        <w:t xml:space="preserve"> </w:t>
      </w:r>
      <w:r>
        <w:rPr>
          <w:rFonts w:hint="eastAsia"/>
        </w:rPr>
        <w:t>曾琳.基于HPS教学的高中化学教学案例研究[D].南昌:江西师范大学,2020.</w:t>
      </w:r>
    </w:p>
  </w:footnote>
  <w:footnote w:id="47">
    <w:p w14:paraId="249BC894">
      <w:pPr>
        <w:pStyle w:val="16"/>
        <w:snapToGrid w:val="0"/>
      </w:pPr>
      <w:r>
        <w:rPr>
          <w:rStyle w:val="22"/>
        </w:rPr>
        <w:t>［</w:t>
      </w:r>
      <w:r>
        <w:rPr>
          <w:rStyle w:val="22"/>
        </w:rPr>
        <w:footnoteRef/>
      </w:r>
      <w:r>
        <w:rPr>
          <w:rStyle w:val="22"/>
        </w:rPr>
        <w:t>］</w:t>
      </w:r>
      <w:r>
        <w:t xml:space="preserve"> </w:t>
      </w:r>
      <w:r>
        <w:rPr>
          <w:rFonts w:hint="eastAsia"/>
        </w:rPr>
        <w:t>杨红红,申迎辉,徐青.核心素养导向下融合HPS和STSE教育的教学设计——以“无机非金属材料”为例[J].云南化工,2023,50(12):182-185.</w:t>
      </w:r>
    </w:p>
  </w:footnote>
  <w:footnote w:id="48">
    <w:p w14:paraId="076A9A07">
      <w:pPr>
        <w:pStyle w:val="16"/>
        <w:snapToGrid w:val="0"/>
      </w:pPr>
      <w:r>
        <w:rPr>
          <w:rStyle w:val="22"/>
        </w:rPr>
        <w:t>［</w:t>
      </w:r>
      <w:r>
        <w:rPr>
          <w:rStyle w:val="22"/>
        </w:rPr>
        <w:footnoteRef/>
      </w:r>
      <w:r>
        <w:rPr>
          <w:rStyle w:val="22"/>
        </w:rPr>
        <w:t>］</w:t>
      </w:r>
      <w:r>
        <w:t xml:space="preserve"> </w:t>
      </w:r>
      <w:r>
        <w:rPr>
          <w:rFonts w:hint="eastAsia"/>
        </w:rPr>
        <w:t>孙悦,杨天林.HPS教学理念渗透于支架式教学模式中的应用研究——以“化学能与电能”为例[J].化学教与学,2020,518(2):56-58.</w:t>
      </w:r>
    </w:p>
  </w:footnote>
  <w:footnote w:id="49">
    <w:p w14:paraId="1FA3C43B">
      <w:pPr>
        <w:pStyle w:val="16"/>
        <w:snapToGrid w:val="0"/>
      </w:pPr>
      <w:r>
        <w:rPr>
          <w:rStyle w:val="22"/>
        </w:rPr>
        <w:t>［</w:t>
      </w:r>
      <w:r>
        <w:rPr>
          <w:rStyle w:val="22"/>
        </w:rPr>
        <w:footnoteRef/>
      </w:r>
      <w:r>
        <w:rPr>
          <w:rStyle w:val="22"/>
        </w:rPr>
        <w:t>］</w:t>
      </w:r>
      <w:r>
        <w:t xml:space="preserve"> </w:t>
      </w:r>
      <w:r>
        <w:rPr>
          <w:rFonts w:hint="eastAsia"/>
        </w:rPr>
        <w:t>满艳艳. 基于HPS教学理念的 5E 教学模式在高中化学中的应用研究[D].银川:宁夏大学,2023.</w:t>
      </w:r>
    </w:p>
  </w:footnote>
  <w:footnote w:id="50">
    <w:p w14:paraId="68ABBC0F">
      <w:pPr>
        <w:pStyle w:val="16"/>
        <w:snapToGrid w:val="0"/>
      </w:pPr>
      <w:r>
        <w:rPr>
          <w:rStyle w:val="22"/>
        </w:rPr>
        <w:t>［</w:t>
      </w:r>
      <w:r>
        <w:rPr>
          <w:rStyle w:val="22"/>
        </w:rPr>
        <w:footnoteRef/>
      </w:r>
      <w:r>
        <w:rPr>
          <w:rStyle w:val="22"/>
        </w:rPr>
        <w:t>］</w:t>
      </w:r>
      <w:r>
        <w:t xml:space="preserve"> </w:t>
      </w:r>
      <w:r>
        <w:rPr>
          <w:rFonts w:hint="eastAsia"/>
        </w:rPr>
        <w:t>丁华.基于HPS教学模式的高中化学课堂教学[J].教学与管理,2020(31):53-55.</w:t>
      </w:r>
    </w:p>
  </w:footnote>
  <w:footnote w:id="51">
    <w:p w14:paraId="1F5A873C">
      <w:pPr>
        <w:pStyle w:val="16"/>
      </w:pPr>
      <w:r>
        <w:rPr>
          <w:rStyle w:val="22"/>
        </w:rPr>
        <w:t>［</w:t>
      </w:r>
      <w:r>
        <w:rPr>
          <w:rStyle w:val="22"/>
        </w:rPr>
        <w:footnoteRef/>
      </w:r>
      <w:r>
        <w:rPr>
          <w:rStyle w:val="22"/>
        </w:rPr>
        <w:t>］</w:t>
      </w:r>
      <w:r>
        <w:t xml:space="preserve"> </w:t>
      </w:r>
      <w:r>
        <w:rPr>
          <w:rFonts w:hint="eastAsia"/>
        </w:rPr>
        <w:t>张宗芳,董艳,杨洋.非传统科学课程教学模式对学生科学成绩的影响——近二十年实验研究的元分析[J].创新教育研究,2021,9(6):1860-1872.</w:t>
      </w:r>
    </w:p>
  </w:footnote>
  <w:footnote w:id="52">
    <w:p w14:paraId="6F02BEF8">
      <w:pPr>
        <w:pStyle w:val="16"/>
        <w:snapToGrid w:val="0"/>
      </w:pPr>
      <w:r>
        <w:rPr>
          <w:rStyle w:val="22"/>
        </w:rPr>
        <w:t>［</w:t>
      </w:r>
      <w:r>
        <w:rPr>
          <w:rStyle w:val="22"/>
        </w:rPr>
        <w:footnoteRef/>
      </w:r>
      <w:r>
        <w:rPr>
          <w:rStyle w:val="22"/>
        </w:rPr>
        <w:t>］</w:t>
      </w:r>
      <w:r>
        <w:t xml:space="preserve"> </w:t>
      </w:r>
      <w:r>
        <w:rPr>
          <w:rFonts w:hint="eastAsia"/>
        </w:rPr>
        <w:t xml:space="preserve">杨文军, 王建东. 立德树人视角下高校心理育人工作的创新实践——评《新时代高校心理育人价值实现研究》[J]. 中国学校卫生, 2026, 47(1): 157. </w:t>
      </w:r>
    </w:p>
  </w:footnote>
  <w:footnote w:id="53">
    <w:p w14:paraId="57651672">
      <w:pPr>
        <w:pStyle w:val="16"/>
        <w:snapToGrid w:val="0"/>
      </w:pPr>
      <w:r>
        <w:rPr>
          <w:rStyle w:val="22"/>
        </w:rPr>
        <w:t>［</w:t>
      </w:r>
      <w:r>
        <w:rPr>
          <w:rStyle w:val="22"/>
        </w:rPr>
        <w:footnoteRef/>
      </w:r>
      <w:r>
        <w:rPr>
          <w:rStyle w:val="22"/>
        </w:rPr>
        <w:t>］</w:t>
      </w:r>
      <w:r>
        <w:t xml:space="preserve"> </w:t>
      </w:r>
      <w:r>
        <w:rPr>
          <w:rFonts w:hint="eastAsia"/>
        </w:rPr>
        <w:t>[美]国家研究理事会，科学探究与国家科学教育标准[M]，罗星凯等译，北京，科学普及出版社，2004:6,28</w:t>
      </w:r>
    </w:p>
  </w:footnote>
  <w:footnote w:id="54">
    <w:p w14:paraId="5C1AF20C">
      <w:pPr>
        <w:pStyle w:val="16"/>
        <w:snapToGrid w:val="0"/>
      </w:pPr>
      <w:r>
        <w:rPr>
          <w:rStyle w:val="22"/>
        </w:rPr>
        <w:t>［</w:t>
      </w:r>
      <w:r>
        <w:rPr>
          <w:rStyle w:val="22"/>
        </w:rPr>
        <w:footnoteRef/>
      </w:r>
      <w:r>
        <w:rPr>
          <w:rStyle w:val="22"/>
        </w:rPr>
        <w:t>］</w:t>
      </w:r>
      <w:r>
        <w:t xml:space="preserve"> </w:t>
      </w:r>
      <w:r>
        <w:rPr>
          <w:rFonts w:hint="eastAsia"/>
        </w:rPr>
        <w:t>美国科学促进协会著.中国科学技术协会译.面向全体美国人的科学.北京:科学普及出版社,211,3-11.</w:t>
      </w:r>
    </w:p>
  </w:footnote>
  <w:footnote w:id="55">
    <w:p w14:paraId="10C4A003">
      <w:pPr>
        <w:pStyle w:val="16"/>
        <w:snapToGrid w:val="0"/>
      </w:pPr>
      <w:r>
        <w:rPr>
          <w:rStyle w:val="22"/>
        </w:rPr>
        <w:t>［</w:t>
      </w:r>
      <w:r>
        <w:rPr>
          <w:rStyle w:val="22"/>
        </w:rPr>
        <w:footnoteRef/>
      </w:r>
      <w:r>
        <w:rPr>
          <w:rStyle w:val="22"/>
        </w:rPr>
        <w:t>］</w:t>
      </w:r>
      <w:r>
        <w:t xml:space="preserve"> </w:t>
      </w:r>
      <w:r>
        <w:rPr>
          <w:rFonts w:hint="eastAsia"/>
        </w:rPr>
        <w:t>刘健智.论中学生科学本质观的内涵[J].物理教学探讨,2006,24(5):1-3</w:t>
      </w:r>
    </w:p>
  </w:footnote>
  <w:footnote w:id="56">
    <w:p w14:paraId="623B4AE9">
      <w:pPr>
        <w:pStyle w:val="16"/>
        <w:snapToGrid w:val="0"/>
      </w:pPr>
      <w:r>
        <w:rPr>
          <w:rStyle w:val="22"/>
        </w:rPr>
        <w:t>［</w:t>
      </w:r>
      <w:r>
        <w:rPr>
          <w:rStyle w:val="22"/>
        </w:rPr>
        <w:footnoteRef/>
      </w:r>
      <w:r>
        <w:rPr>
          <w:rStyle w:val="22"/>
        </w:rPr>
        <w:t>］</w:t>
      </w:r>
      <w:r>
        <w:t xml:space="preserve"> </w:t>
      </w:r>
      <w:r>
        <w:rPr>
          <w:rFonts w:hint="eastAsia"/>
        </w:rPr>
        <w:t>Lederman,N.G.(2007).Nature of science past, present, and future, Handbook of Research on science education[M](pp.831-880)</w:t>
      </w:r>
    </w:p>
    <w:p w14:paraId="17B5B2D9">
      <w:pPr>
        <w:pStyle w:val="16"/>
        <w:snapToGrid w:val="0"/>
      </w:pPr>
    </w:p>
  </w:footnote>
  <w:footnote w:id="57">
    <w:p w14:paraId="309AFF62">
      <w:pPr>
        <w:pStyle w:val="16"/>
        <w:snapToGrid w:val="0"/>
      </w:pPr>
      <w:r>
        <w:rPr>
          <w:rStyle w:val="22"/>
        </w:rPr>
        <w:t>［</w:t>
      </w:r>
      <w:r>
        <w:rPr>
          <w:rStyle w:val="22"/>
        </w:rPr>
        <w:footnoteRef/>
      </w:r>
      <w:r>
        <w:rPr>
          <w:rStyle w:val="22"/>
        </w:rPr>
        <w:t>］</w:t>
      </w:r>
      <w:r>
        <w:t xml:space="preserve"> </w:t>
      </w:r>
      <w:r>
        <w:rPr>
          <w:rFonts w:hint="eastAsia"/>
        </w:rPr>
        <w:t>中华人民共和国教育部.普通高中化学课程标准年版(2017年版2020年修订)[S].北京:人民教育出版社,2020.</w:t>
      </w:r>
    </w:p>
  </w:footnote>
  <w:footnote w:id="58">
    <w:p w14:paraId="3CC90972">
      <w:pPr>
        <w:pStyle w:val="16"/>
        <w:snapToGrid w:val="0"/>
      </w:pPr>
      <w:r>
        <w:rPr>
          <w:rStyle w:val="22"/>
        </w:rPr>
        <w:footnoteRef/>
      </w:r>
      <w:r>
        <w:t xml:space="preserve"> </w:t>
      </w:r>
      <w:r>
        <w:rPr>
          <w:rFonts w:hint="eastAsia"/>
        </w:rPr>
        <w:t>皇甫倩,王后雄.HPS教学模型及其在中学化学教学中的运用[J].教育理论与实践,2015,35(02):58-59.</w:t>
      </w:r>
    </w:p>
  </w:footnote>
  <w:footnote w:id="59">
    <w:p w14:paraId="1815F86D">
      <w:pPr>
        <w:pStyle w:val="16"/>
        <w:snapToGrid w:val="0"/>
      </w:pPr>
      <w:r>
        <w:rPr>
          <w:rStyle w:val="22"/>
        </w:rPr>
        <w:footnoteRef/>
      </w:r>
      <w:r>
        <w:t xml:space="preserve"> </w:t>
      </w:r>
      <w:r>
        <w:rPr>
          <w:rFonts w:hint="eastAsia"/>
        </w:rPr>
        <w:t>中华人民共和国教育部.普通高中化学课程标准年版(2017年版2020年修订)[S].北京:人民教育出版社,2020.</w:t>
      </w:r>
    </w:p>
  </w:footnote>
  <w:footnote w:id="60">
    <w:p w14:paraId="3671DBB4">
      <w:pPr>
        <w:pStyle w:val="16"/>
        <w:snapToGrid w:val="0"/>
        <w:jc w:val="both"/>
      </w:pPr>
      <w:r>
        <w:rPr>
          <w:rStyle w:val="22"/>
        </w:rPr>
        <w:footnoteRef/>
      </w:r>
      <w:r>
        <w:t xml:space="preserve"> </w:t>
      </w:r>
      <w:r>
        <w:rPr>
          <w:rFonts w:hint="eastAsia"/>
        </w:rPr>
        <w:t>刘健智.中学生科学本质观的测量指标研究[J].教育测量与评价(理论版),2009(07):30-33.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B73BB3"/>
    <w:multiLevelType w:val="multilevel"/>
    <w:tmpl w:val="99B73BB3"/>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AC84F4F0"/>
    <w:multiLevelType w:val="singleLevel"/>
    <w:tmpl w:val="AC84F4F0"/>
    <w:lvl w:ilvl="0" w:tentative="0">
      <w:start w:val="3"/>
      <w:numFmt w:val="chineseCounting"/>
      <w:suff w:val="nothing"/>
      <w:lvlText w:val="（%1）"/>
      <w:lvlJc w:val="left"/>
      <w:rPr>
        <w:rFonts w:hint="eastAsia"/>
      </w:rPr>
    </w:lvl>
  </w:abstractNum>
  <w:abstractNum w:abstractNumId="2">
    <w:nsid w:val="AF393F19"/>
    <w:multiLevelType w:val="singleLevel"/>
    <w:tmpl w:val="AF393F19"/>
    <w:lvl w:ilvl="0" w:tentative="0">
      <w:start w:val="1"/>
      <w:numFmt w:val="chineseCounting"/>
      <w:suff w:val="nothing"/>
      <w:lvlText w:val="（%1）"/>
      <w:lvlJc w:val="left"/>
      <w:rPr>
        <w:rFonts w:hint="eastAsia"/>
      </w:rPr>
    </w:lvl>
  </w:abstractNum>
  <w:abstractNum w:abstractNumId="3">
    <w:nsid w:val="B0E21B93"/>
    <w:multiLevelType w:val="multilevel"/>
    <w:tmpl w:val="B0E21B93"/>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4">
    <w:nsid w:val="C27D8196"/>
    <w:multiLevelType w:val="singleLevel"/>
    <w:tmpl w:val="C27D8196"/>
    <w:lvl w:ilvl="0" w:tentative="0">
      <w:start w:val="1"/>
      <w:numFmt w:val="decimal"/>
      <w:suff w:val="nothing"/>
      <w:lvlText w:val="（%1）"/>
      <w:lvlJc w:val="left"/>
    </w:lvl>
  </w:abstractNum>
  <w:abstractNum w:abstractNumId="5">
    <w:nsid w:val="C689C76D"/>
    <w:multiLevelType w:val="multilevel"/>
    <w:tmpl w:val="C689C76D"/>
    <w:lvl w:ilvl="0" w:tentative="0">
      <w:start w:val="3"/>
      <w:numFmt w:val="decimal"/>
      <w:suff w:val="space"/>
      <w:lvlText w:val="%1"/>
      <w:lvlJc w:val="left"/>
      <w:pPr>
        <w:ind w:left="0" w:firstLine="0"/>
      </w:pPr>
      <w:rPr>
        <w:rFonts w:hint="default" w:ascii="Times New Roman" w:hAnsi="Times New Roman" w:cs="Times New Roman"/>
        <w:b w:val="0"/>
        <w:i w:val="0"/>
      </w:rPr>
    </w:lvl>
    <w:lvl w:ilvl="1" w:tentative="0">
      <w:start w:val="1"/>
      <w:numFmt w:val="decimal"/>
      <w:suff w:val="space"/>
      <w:lvlText w:val="%1.%2"/>
      <w:lvlJc w:val="left"/>
      <w:pPr>
        <w:ind w:left="0" w:firstLine="0"/>
      </w:pPr>
      <w:rPr>
        <w:rFonts w:hint="default" w:ascii="Times New Roman" w:hAnsi="Times New Roman" w:cs="Times New Roman"/>
        <w:b w:val="0"/>
        <w:i w:val="0"/>
      </w:rPr>
    </w:lvl>
    <w:lvl w:ilvl="2" w:tentative="0">
      <w:start w:val="1"/>
      <w:numFmt w:val="decimal"/>
      <w:suff w:val="space"/>
      <w:lvlText w:val="%1.%2.%3"/>
      <w:lvlJc w:val="left"/>
      <w:pPr>
        <w:tabs>
          <w:tab w:val="left" w:pos="0"/>
        </w:tabs>
        <w:ind w:left="0" w:firstLine="0"/>
      </w:pPr>
      <w:rPr>
        <w:rFonts w:hint="default" w:ascii="Times New Roman" w:hAnsi="Times New Roman" w:cs="Times New Roman"/>
        <w:b w:val="0"/>
        <w:i w:val="0"/>
      </w:rPr>
    </w:lvl>
    <w:lvl w:ilvl="3" w:tentative="0">
      <w:start w:val="1"/>
      <w:numFmt w:val="decimal"/>
      <w:suff w:val="space"/>
      <w:lvlText w:val="%1.%2.%3.%4"/>
      <w:lvlJc w:val="left"/>
      <w:pPr>
        <w:tabs>
          <w:tab w:val="left" w:pos="0"/>
        </w:tabs>
        <w:ind w:left="0" w:firstLine="0"/>
      </w:pPr>
      <w:rPr>
        <w:rFonts w:hint="default" w:ascii="Times New Roman" w:hAnsi="Times New Roman" w:cs="Times New Roman"/>
        <w:b w:val="0"/>
        <w:i w:val="0"/>
      </w:rPr>
    </w:lvl>
    <w:lvl w:ilvl="4" w:tentative="0">
      <w:start w:val="1"/>
      <w:numFmt w:val="decimal"/>
      <w:suff w:val="space"/>
      <w:lvlText w:val="%1.%2.%3.%4.%5"/>
      <w:lvlJc w:val="left"/>
      <w:pPr>
        <w:ind w:left="0" w:firstLine="0"/>
      </w:pPr>
      <w:rPr>
        <w:rFonts w:hint="default" w:ascii="Times New Roman" w:hAnsi="Times New Roman" w:cs="Times New Roman"/>
        <w:b w:val="0"/>
        <w:i w:val="0"/>
      </w:rPr>
    </w:lvl>
    <w:lvl w:ilvl="5" w:tentative="0">
      <w:start w:val="1"/>
      <w:numFmt w:val="decimal"/>
      <w:suff w:val="space"/>
      <w:lvlText w:val="%1.%2.%3.%4.%5.%6"/>
      <w:lvlJc w:val="left"/>
      <w:pPr>
        <w:ind w:left="0" w:firstLine="0"/>
      </w:pPr>
      <w:rPr>
        <w:rFonts w:hint="default" w:ascii="Times New Roman" w:hAnsi="Times New Roman" w:cs="Times New Roman"/>
        <w:b w:val="0"/>
        <w:i w:val="0"/>
      </w:rPr>
    </w:lvl>
    <w:lvl w:ilvl="6" w:tentative="0">
      <w:start w:val="1"/>
      <w:numFmt w:val="decimal"/>
      <w:suff w:val="space"/>
      <w:lvlText w:val="%1.%2.%3.%4.%5.%6.%7"/>
      <w:lvlJc w:val="left"/>
      <w:pPr>
        <w:ind w:left="0" w:firstLine="0"/>
      </w:pPr>
      <w:rPr>
        <w:rFonts w:hint="default" w:ascii="Times New Roman" w:hAnsi="Times New Roman" w:cs="Times New Roman"/>
        <w:b w:val="0"/>
        <w:i w:val="0"/>
      </w:rPr>
    </w:lvl>
    <w:lvl w:ilvl="7" w:tentative="0">
      <w:start w:val="1"/>
      <w:numFmt w:val="decimal"/>
      <w:suff w:val="space"/>
      <w:lvlText w:val="%1.%2.%3.%4.%5.%6.%7.%8"/>
      <w:lvlJc w:val="left"/>
      <w:pPr>
        <w:ind w:left="0" w:firstLine="0"/>
      </w:pPr>
      <w:rPr>
        <w:rFonts w:hint="default" w:ascii="Times New Roman" w:hAnsi="Times New Roman" w:cs="Times New Roman"/>
        <w:b w:val="0"/>
        <w:i w:val="0"/>
      </w:rPr>
    </w:lvl>
    <w:lvl w:ilvl="8" w:tentative="0">
      <w:start w:val="1"/>
      <w:numFmt w:val="decimal"/>
      <w:suff w:val="space"/>
      <w:lvlText w:val="%1.%2.%3.%4.%5.%6.%7.%8.%9"/>
      <w:lvlJc w:val="left"/>
      <w:pPr>
        <w:ind w:left="0" w:firstLine="0"/>
      </w:pPr>
      <w:rPr>
        <w:rFonts w:hint="default" w:ascii="Times New Roman" w:hAnsi="Times New Roman" w:cs="Times New Roman"/>
        <w:b w:val="0"/>
        <w:i w:val="0"/>
      </w:rPr>
    </w:lvl>
  </w:abstractNum>
  <w:abstractNum w:abstractNumId="6">
    <w:nsid w:val="CC4A2008"/>
    <w:multiLevelType w:val="multilevel"/>
    <w:tmpl w:val="CC4A2008"/>
    <w:lvl w:ilvl="0" w:tentative="0">
      <w:start w:val="1"/>
      <w:numFmt w:val="chineseCounting"/>
      <w:pStyle w:val="2"/>
      <w:suff w:val="nothing"/>
      <w:lvlText w:val="%1、"/>
      <w:lvlJc w:val="left"/>
      <w:pPr>
        <w:ind w:left="0" w:firstLine="0"/>
      </w:pPr>
      <w:rPr>
        <w:rFonts w:hint="eastAsia"/>
      </w:rPr>
    </w:lvl>
    <w:lvl w:ilvl="1" w:tentative="0">
      <w:start w:val="1"/>
      <w:numFmt w:val="chineseCounting"/>
      <w:pStyle w:val="5"/>
      <w:suff w:val="nothing"/>
      <w:lvlText w:val="（%2）"/>
      <w:lvlJc w:val="left"/>
      <w:pPr>
        <w:ind w:left="0" w:firstLine="0"/>
      </w:pPr>
      <w:rPr>
        <w:rFonts w:hint="eastAsia"/>
      </w:rPr>
    </w:lvl>
    <w:lvl w:ilvl="2" w:tentative="0">
      <w:start w:val="1"/>
      <w:numFmt w:val="decimal"/>
      <w:pStyle w:val="6"/>
      <w:suff w:val="nothing"/>
      <w:lvlText w:val="%3．"/>
      <w:lvlJc w:val="left"/>
      <w:pPr>
        <w:ind w:left="0" w:firstLine="400"/>
      </w:pPr>
      <w:rPr>
        <w:rFonts w:hint="eastAsia"/>
      </w:rPr>
    </w:lvl>
    <w:lvl w:ilvl="3" w:tentative="0">
      <w:start w:val="1"/>
      <w:numFmt w:val="decimal"/>
      <w:pStyle w:val="7"/>
      <w:suff w:val="nothing"/>
      <w:lvlText w:val="（%4）"/>
      <w:lvlJc w:val="left"/>
      <w:pPr>
        <w:ind w:left="0" w:firstLine="402"/>
      </w:pPr>
      <w:rPr>
        <w:rFonts w:hint="eastAsia"/>
      </w:rPr>
    </w:lvl>
    <w:lvl w:ilvl="4" w:tentative="0">
      <w:start w:val="1"/>
      <w:numFmt w:val="decimalEnclosedCircleChinese"/>
      <w:pStyle w:val="8"/>
      <w:suff w:val="nothing"/>
      <w:lvlText w:val="%5"/>
      <w:lvlJc w:val="left"/>
      <w:pPr>
        <w:ind w:left="0" w:firstLine="402"/>
      </w:pPr>
      <w:rPr>
        <w:rFonts w:hint="eastAsia"/>
      </w:rPr>
    </w:lvl>
    <w:lvl w:ilvl="5" w:tentative="0">
      <w:start w:val="1"/>
      <w:numFmt w:val="decimal"/>
      <w:pStyle w:val="9"/>
      <w:suff w:val="nothing"/>
      <w:lvlText w:val="%6）"/>
      <w:lvlJc w:val="left"/>
      <w:pPr>
        <w:ind w:left="0" w:firstLine="402"/>
      </w:pPr>
      <w:rPr>
        <w:rFonts w:hint="eastAsia"/>
      </w:rPr>
    </w:lvl>
    <w:lvl w:ilvl="6" w:tentative="0">
      <w:start w:val="1"/>
      <w:numFmt w:val="lowerLetter"/>
      <w:pStyle w:val="10"/>
      <w:suff w:val="nothing"/>
      <w:lvlText w:val="%7．"/>
      <w:lvlJc w:val="left"/>
      <w:pPr>
        <w:ind w:left="0" w:firstLine="402"/>
      </w:pPr>
      <w:rPr>
        <w:rFonts w:hint="eastAsia"/>
      </w:rPr>
    </w:lvl>
    <w:lvl w:ilvl="7" w:tentative="0">
      <w:start w:val="1"/>
      <w:numFmt w:val="lowerLetter"/>
      <w:pStyle w:val="11"/>
      <w:suff w:val="nothing"/>
      <w:lvlText w:val="%8）"/>
      <w:lvlJc w:val="left"/>
      <w:pPr>
        <w:ind w:left="0" w:firstLine="402"/>
      </w:pPr>
      <w:rPr>
        <w:rFonts w:hint="eastAsia"/>
      </w:rPr>
    </w:lvl>
    <w:lvl w:ilvl="8" w:tentative="0">
      <w:start w:val="1"/>
      <w:numFmt w:val="lowerRoman"/>
      <w:pStyle w:val="12"/>
      <w:suff w:val="nothing"/>
      <w:lvlText w:val="%9 "/>
      <w:lvlJc w:val="left"/>
      <w:pPr>
        <w:ind w:left="0" w:firstLine="402"/>
      </w:pPr>
      <w:rPr>
        <w:rFonts w:hint="eastAsia"/>
      </w:rPr>
    </w:lvl>
  </w:abstractNum>
  <w:abstractNum w:abstractNumId="7">
    <w:nsid w:val="CEEA3057"/>
    <w:multiLevelType w:val="singleLevel"/>
    <w:tmpl w:val="CEEA3057"/>
    <w:lvl w:ilvl="0" w:tentative="0">
      <w:start w:val="1"/>
      <w:numFmt w:val="decimal"/>
      <w:lvlText w:val="(%1)"/>
      <w:lvlJc w:val="left"/>
      <w:pPr>
        <w:ind w:left="425" w:hanging="425"/>
      </w:pPr>
      <w:rPr>
        <w:rFonts w:hint="default"/>
      </w:rPr>
    </w:lvl>
  </w:abstractNum>
  <w:abstractNum w:abstractNumId="8">
    <w:nsid w:val="D8CEEB64"/>
    <w:multiLevelType w:val="singleLevel"/>
    <w:tmpl w:val="D8CEEB64"/>
    <w:lvl w:ilvl="0" w:tentative="0">
      <w:start w:val="1"/>
      <w:numFmt w:val="decimal"/>
      <w:lvlText w:val="(%1)"/>
      <w:lvlJc w:val="left"/>
      <w:pPr>
        <w:ind w:left="425" w:hanging="425"/>
      </w:pPr>
      <w:rPr>
        <w:rFonts w:hint="default"/>
      </w:rPr>
    </w:lvl>
  </w:abstractNum>
  <w:abstractNum w:abstractNumId="9">
    <w:nsid w:val="DC5CCA52"/>
    <w:multiLevelType w:val="multilevel"/>
    <w:tmpl w:val="DC5CCA52"/>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0">
    <w:nsid w:val="ED91BA9A"/>
    <w:multiLevelType w:val="multilevel"/>
    <w:tmpl w:val="ED91BA9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1">
    <w:nsid w:val="F98417A9"/>
    <w:multiLevelType w:val="multilevel"/>
    <w:tmpl w:val="F98417A9"/>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第%2节　"/>
      <w:lvlJc w:val="left"/>
      <w:pPr>
        <w:ind w:left="0" w:firstLine="402"/>
      </w:pPr>
      <w:rPr>
        <w:rFonts w:hint="eastAsia"/>
      </w:rPr>
    </w:lvl>
    <w:lvl w:ilvl="2" w:tentative="0">
      <w:start w:val="1"/>
      <w:numFmt w:val="chineseCounting"/>
      <w:suff w:val="nothing"/>
      <w:lvlText w:val="第%3条　"/>
      <w:lvlJc w:val="left"/>
      <w:pPr>
        <w:ind w:left="0" w:firstLine="402"/>
      </w:pPr>
      <w:rPr>
        <w:rFonts w:hint="eastAsia"/>
      </w:rPr>
    </w:lvl>
    <w:lvl w:ilvl="3" w:tentative="0">
      <w:start w:val="1"/>
      <w:numFmt w:val="chineseCounting"/>
      <w:suff w:val="nothing"/>
      <w:lvlText w:val="（%4）"/>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decimalEnclosedCircleChinese"/>
      <w:suff w:val="nothing"/>
      <w:lvlText w:val="%7 "/>
      <w:lvlJc w:val="left"/>
      <w:pPr>
        <w:ind w:left="0" w:firstLine="402"/>
      </w:pPr>
      <w:rPr>
        <w:rFonts w:hint="eastAsia"/>
      </w:rPr>
    </w:lvl>
    <w:lvl w:ilvl="7" w:tentative="0">
      <w:start w:val="1"/>
      <w:numFmt w:val="decimal"/>
      <w:suff w:val="nothing"/>
      <w:lvlText w:val="%8）"/>
      <w:lvlJc w:val="left"/>
      <w:pPr>
        <w:ind w:left="0" w:firstLine="402"/>
      </w:pPr>
      <w:rPr>
        <w:rFonts w:hint="eastAsia"/>
      </w:rPr>
    </w:lvl>
    <w:lvl w:ilvl="8" w:tentative="0">
      <w:start w:val="1"/>
      <w:numFmt w:val="lowerLetter"/>
      <w:suff w:val="nothing"/>
      <w:lvlText w:val="%9．"/>
      <w:lvlJc w:val="left"/>
      <w:pPr>
        <w:ind w:left="0" w:firstLine="402"/>
      </w:pPr>
      <w:rPr>
        <w:rFonts w:hint="eastAsia"/>
      </w:rPr>
    </w:lvl>
  </w:abstractNum>
  <w:abstractNum w:abstractNumId="12">
    <w:nsid w:val="0B1307DA"/>
    <w:multiLevelType w:val="singleLevel"/>
    <w:tmpl w:val="0B1307DA"/>
    <w:lvl w:ilvl="0" w:tentative="0">
      <w:start w:val="1"/>
      <w:numFmt w:val="decimal"/>
      <w:lvlText w:val="%1."/>
      <w:lvlJc w:val="left"/>
      <w:pPr>
        <w:tabs>
          <w:tab w:val="left" w:pos="312"/>
        </w:tabs>
      </w:pPr>
    </w:lvl>
  </w:abstractNum>
  <w:abstractNum w:abstractNumId="13">
    <w:nsid w:val="152E3FA8"/>
    <w:multiLevelType w:val="multilevel"/>
    <w:tmpl w:val="152E3FA8"/>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4">
    <w:nsid w:val="1F39EE53"/>
    <w:multiLevelType w:val="multilevel"/>
    <w:tmpl w:val="1F39EE53"/>
    <w:lvl w:ilvl="0" w:tentative="0">
      <w:start w:val="3"/>
      <w:numFmt w:val="chineseCounting"/>
      <w:suff w:val="nothing"/>
      <w:lvlText w:val="第%1章　"/>
      <w:lvlJc w:val="left"/>
      <w:pPr>
        <w:tabs>
          <w:tab w:val="left" w:pos="0"/>
        </w:tabs>
        <w:ind w:left="0" w:firstLine="402"/>
      </w:pPr>
      <w:rPr>
        <w:rFonts w:hint="eastAsia"/>
      </w:rPr>
    </w:lvl>
    <w:lvl w:ilvl="1" w:tentative="0">
      <w:start w:val="1"/>
      <w:numFmt w:val="chineseCounting"/>
      <w:suff w:val="nothing"/>
      <w:lvlText w:val="第%2节　"/>
      <w:lvlJc w:val="left"/>
      <w:pPr>
        <w:ind w:left="0" w:firstLine="402"/>
      </w:pPr>
      <w:rPr>
        <w:rFonts w:hint="eastAsia"/>
      </w:rPr>
    </w:lvl>
    <w:lvl w:ilvl="2" w:tentative="0">
      <w:start w:val="1"/>
      <w:numFmt w:val="chineseCounting"/>
      <w:suff w:val="nothing"/>
      <w:lvlText w:val="第%3条　"/>
      <w:lvlJc w:val="left"/>
      <w:pPr>
        <w:ind w:left="0" w:firstLine="402"/>
      </w:pPr>
      <w:rPr>
        <w:rFonts w:hint="eastAsia"/>
      </w:rPr>
    </w:lvl>
    <w:lvl w:ilvl="3" w:tentative="0">
      <w:start w:val="1"/>
      <w:numFmt w:val="chineseCounting"/>
      <w:suff w:val="nothing"/>
      <w:lvlText w:val="（%4）"/>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decimalEnclosedCircleChinese"/>
      <w:suff w:val="nothing"/>
      <w:lvlText w:val="%7 "/>
      <w:lvlJc w:val="left"/>
      <w:pPr>
        <w:ind w:left="0" w:firstLine="402"/>
      </w:pPr>
      <w:rPr>
        <w:rFonts w:hint="eastAsia"/>
      </w:rPr>
    </w:lvl>
    <w:lvl w:ilvl="7" w:tentative="0">
      <w:start w:val="1"/>
      <w:numFmt w:val="decimal"/>
      <w:suff w:val="nothing"/>
      <w:lvlText w:val="%8）"/>
      <w:lvlJc w:val="left"/>
      <w:pPr>
        <w:ind w:left="0" w:firstLine="402"/>
      </w:pPr>
      <w:rPr>
        <w:rFonts w:hint="eastAsia"/>
      </w:rPr>
    </w:lvl>
    <w:lvl w:ilvl="8" w:tentative="0">
      <w:start w:val="1"/>
      <w:numFmt w:val="lowerLetter"/>
      <w:suff w:val="nothing"/>
      <w:lvlText w:val="%9．"/>
      <w:lvlJc w:val="left"/>
      <w:pPr>
        <w:ind w:left="0" w:firstLine="402"/>
      </w:pPr>
      <w:rPr>
        <w:rFonts w:hint="eastAsia"/>
      </w:rPr>
    </w:lvl>
  </w:abstractNum>
  <w:abstractNum w:abstractNumId="15">
    <w:nsid w:val="221F3E44"/>
    <w:multiLevelType w:val="singleLevel"/>
    <w:tmpl w:val="221F3E44"/>
    <w:lvl w:ilvl="0" w:tentative="0">
      <w:start w:val="1"/>
      <w:numFmt w:val="chineseCounting"/>
      <w:suff w:val="nothing"/>
      <w:lvlText w:val="第%1，"/>
      <w:lvlJc w:val="left"/>
      <w:rPr>
        <w:rFonts w:hint="eastAsia"/>
      </w:rPr>
    </w:lvl>
  </w:abstractNum>
  <w:abstractNum w:abstractNumId="16">
    <w:nsid w:val="26B40C3B"/>
    <w:multiLevelType w:val="multilevel"/>
    <w:tmpl w:val="26B40C3B"/>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7">
    <w:nsid w:val="34E3785F"/>
    <w:multiLevelType w:val="singleLevel"/>
    <w:tmpl w:val="34E3785F"/>
    <w:lvl w:ilvl="0" w:tentative="0">
      <w:start w:val="1"/>
      <w:numFmt w:val="chineseCounting"/>
      <w:suff w:val="nothing"/>
      <w:lvlText w:val="第%1，"/>
      <w:lvlJc w:val="left"/>
      <w:rPr>
        <w:rFonts w:hint="eastAsia"/>
      </w:rPr>
    </w:lvl>
  </w:abstractNum>
  <w:abstractNum w:abstractNumId="18">
    <w:nsid w:val="37EA8CAE"/>
    <w:multiLevelType w:val="multilevel"/>
    <w:tmpl w:val="37EA8CAE"/>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9">
    <w:nsid w:val="3A33138E"/>
    <w:multiLevelType w:val="multilevel"/>
    <w:tmpl w:val="3A33138E"/>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第%2节　"/>
      <w:lvlJc w:val="left"/>
      <w:pPr>
        <w:ind w:left="0" w:firstLine="402"/>
      </w:pPr>
      <w:rPr>
        <w:rFonts w:hint="eastAsia"/>
      </w:rPr>
    </w:lvl>
    <w:lvl w:ilvl="2" w:tentative="0">
      <w:start w:val="1"/>
      <w:numFmt w:val="chineseCounting"/>
      <w:suff w:val="nothing"/>
      <w:lvlText w:val="第%3条　"/>
      <w:lvlJc w:val="left"/>
      <w:pPr>
        <w:ind w:left="0" w:firstLine="402"/>
      </w:pPr>
      <w:rPr>
        <w:rFonts w:hint="eastAsia"/>
      </w:rPr>
    </w:lvl>
    <w:lvl w:ilvl="3" w:tentative="0">
      <w:start w:val="1"/>
      <w:numFmt w:val="chineseCounting"/>
      <w:suff w:val="nothing"/>
      <w:lvlText w:val="（%4）"/>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decimalEnclosedCircleChinese"/>
      <w:suff w:val="nothing"/>
      <w:lvlText w:val="%7 "/>
      <w:lvlJc w:val="left"/>
      <w:pPr>
        <w:ind w:left="0" w:firstLine="402"/>
      </w:pPr>
      <w:rPr>
        <w:rFonts w:hint="eastAsia"/>
      </w:rPr>
    </w:lvl>
    <w:lvl w:ilvl="7" w:tentative="0">
      <w:start w:val="1"/>
      <w:numFmt w:val="decimal"/>
      <w:suff w:val="nothing"/>
      <w:lvlText w:val="%8）"/>
      <w:lvlJc w:val="left"/>
      <w:pPr>
        <w:ind w:left="0" w:firstLine="402"/>
      </w:pPr>
      <w:rPr>
        <w:rFonts w:hint="eastAsia"/>
      </w:rPr>
    </w:lvl>
    <w:lvl w:ilvl="8" w:tentative="0">
      <w:start w:val="1"/>
      <w:numFmt w:val="lowerLetter"/>
      <w:suff w:val="nothing"/>
      <w:lvlText w:val="%9．"/>
      <w:lvlJc w:val="left"/>
      <w:pPr>
        <w:ind w:left="0" w:firstLine="402"/>
      </w:pPr>
      <w:rPr>
        <w:rFonts w:hint="eastAsia"/>
      </w:rPr>
    </w:lvl>
  </w:abstractNum>
  <w:abstractNum w:abstractNumId="20">
    <w:nsid w:val="46C74E3D"/>
    <w:multiLevelType w:val="singleLevel"/>
    <w:tmpl w:val="46C74E3D"/>
    <w:lvl w:ilvl="0" w:tentative="0">
      <w:start w:val="1"/>
      <w:numFmt w:val="chineseCounting"/>
      <w:suff w:val="nothing"/>
      <w:lvlText w:val="（%1）"/>
      <w:lvlJc w:val="left"/>
      <w:rPr>
        <w:rFonts w:hint="eastAsia"/>
      </w:rPr>
    </w:lvl>
  </w:abstractNum>
  <w:abstractNum w:abstractNumId="21">
    <w:nsid w:val="52CB6702"/>
    <w:multiLevelType w:val="singleLevel"/>
    <w:tmpl w:val="52CB6702"/>
    <w:lvl w:ilvl="0" w:tentative="0">
      <w:start w:val="1"/>
      <w:numFmt w:val="decimal"/>
      <w:suff w:val="nothing"/>
      <w:lvlText w:val="（%1）"/>
      <w:lvlJc w:val="left"/>
    </w:lvl>
  </w:abstractNum>
  <w:abstractNum w:abstractNumId="22">
    <w:nsid w:val="5B6470E2"/>
    <w:multiLevelType w:val="singleLevel"/>
    <w:tmpl w:val="5B6470E2"/>
    <w:lvl w:ilvl="0" w:tentative="0">
      <w:start w:val="1"/>
      <w:numFmt w:val="decimal"/>
      <w:lvlText w:val="(%1)"/>
      <w:lvlJc w:val="left"/>
      <w:pPr>
        <w:ind w:left="425" w:hanging="425"/>
      </w:pPr>
      <w:rPr>
        <w:rFonts w:hint="default"/>
      </w:rPr>
    </w:lvl>
  </w:abstractNum>
  <w:abstractNum w:abstractNumId="23">
    <w:nsid w:val="5CD69D32"/>
    <w:multiLevelType w:val="multilevel"/>
    <w:tmpl w:val="5CD69D32"/>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4">
    <w:nsid w:val="72D283DC"/>
    <w:multiLevelType w:val="multilevel"/>
    <w:tmpl w:val="72D283DC"/>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5">
    <w:nsid w:val="7519C491"/>
    <w:multiLevelType w:val="multilevel"/>
    <w:tmpl w:val="7519C491"/>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第%2节　"/>
      <w:lvlJc w:val="left"/>
      <w:pPr>
        <w:ind w:left="0" w:firstLine="402"/>
      </w:pPr>
      <w:rPr>
        <w:rFonts w:hint="eastAsia"/>
      </w:rPr>
    </w:lvl>
    <w:lvl w:ilvl="2" w:tentative="0">
      <w:start w:val="1"/>
      <w:numFmt w:val="chineseCounting"/>
      <w:suff w:val="nothing"/>
      <w:lvlText w:val="第%3条　"/>
      <w:lvlJc w:val="left"/>
      <w:pPr>
        <w:ind w:left="0" w:firstLine="402"/>
      </w:pPr>
      <w:rPr>
        <w:rFonts w:hint="eastAsia"/>
      </w:rPr>
    </w:lvl>
    <w:lvl w:ilvl="3" w:tentative="0">
      <w:start w:val="1"/>
      <w:numFmt w:val="chineseCounting"/>
      <w:suff w:val="nothing"/>
      <w:lvlText w:val="（%4）"/>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decimalEnclosedCircleChinese"/>
      <w:suff w:val="nothing"/>
      <w:lvlText w:val="%7 "/>
      <w:lvlJc w:val="left"/>
      <w:pPr>
        <w:ind w:left="0" w:firstLine="402"/>
      </w:pPr>
      <w:rPr>
        <w:rFonts w:hint="eastAsia"/>
      </w:rPr>
    </w:lvl>
    <w:lvl w:ilvl="7" w:tentative="0">
      <w:start w:val="1"/>
      <w:numFmt w:val="decimal"/>
      <w:suff w:val="nothing"/>
      <w:lvlText w:val="%8）"/>
      <w:lvlJc w:val="left"/>
      <w:pPr>
        <w:ind w:left="0" w:firstLine="402"/>
      </w:pPr>
      <w:rPr>
        <w:rFonts w:hint="eastAsia"/>
      </w:rPr>
    </w:lvl>
    <w:lvl w:ilvl="8" w:tentative="0">
      <w:start w:val="1"/>
      <w:numFmt w:val="lowerLetter"/>
      <w:suff w:val="nothing"/>
      <w:lvlText w:val="%9．"/>
      <w:lvlJc w:val="left"/>
      <w:pPr>
        <w:ind w:left="0" w:firstLine="402"/>
      </w:pPr>
      <w:rPr>
        <w:rFonts w:hint="eastAsia"/>
      </w:rPr>
    </w:lvl>
  </w:abstractNum>
  <w:abstractNum w:abstractNumId="26">
    <w:nsid w:val="789E0C00"/>
    <w:multiLevelType w:val="singleLevel"/>
    <w:tmpl w:val="789E0C00"/>
    <w:lvl w:ilvl="0" w:tentative="0">
      <w:start w:val="1"/>
      <w:numFmt w:val="decimal"/>
      <w:lvlText w:val="(%1)"/>
      <w:lvlJc w:val="left"/>
      <w:pPr>
        <w:ind w:left="425" w:hanging="425"/>
      </w:pPr>
      <w:rPr>
        <w:rFonts w:hint="default"/>
      </w:rPr>
    </w:lvl>
  </w:abstractNum>
  <w:abstractNum w:abstractNumId="27">
    <w:nsid w:val="7D21ACEC"/>
    <w:multiLevelType w:val="singleLevel"/>
    <w:tmpl w:val="7D21ACEC"/>
    <w:lvl w:ilvl="0" w:tentative="0">
      <w:start w:val="1"/>
      <w:numFmt w:val="decimal"/>
      <w:lvlText w:val="(%1)"/>
      <w:lvlJc w:val="left"/>
      <w:pPr>
        <w:ind w:left="425" w:hanging="425"/>
      </w:pPr>
      <w:rPr>
        <w:rFonts w:hint="default"/>
      </w:rPr>
    </w:lvl>
  </w:abstractNum>
  <w:num w:numId="1">
    <w:abstractNumId w:val="6"/>
  </w:num>
  <w:num w:numId="2">
    <w:abstractNumId w:val="0"/>
  </w:num>
  <w:num w:numId="3">
    <w:abstractNumId w:val="25"/>
  </w:num>
  <w:num w:numId="4">
    <w:abstractNumId w:val="9"/>
  </w:num>
  <w:num w:numId="5">
    <w:abstractNumId w:val="8"/>
  </w:num>
  <w:num w:numId="6">
    <w:abstractNumId w:val="22"/>
  </w:num>
  <w:num w:numId="7">
    <w:abstractNumId w:val="27"/>
  </w:num>
  <w:num w:numId="8">
    <w:abstractNumId w:val="26"/>
  </w:num>
  <w:num w:numId="9">
    <w:abstractNumId w:val="7"/>
  </w:num>
  <w:num w:numId="10">
    <w:abstractNumId w:val="5"/>
  </w:num>
  <w:num w:numId="11">
    <w:abstractNumId w:val="18"/>
  </w:num>
  <w:num w:numId="12">
    <w:abstractNumId w:val="21"/>
  </w:num>
  <w:num w:numId="13">
    <w:abstractNumId w:val="16"/>
  </w:num>
  <w:num w:numId="14">
    <w:abstractNumId w:val="4"/>
  </w:num>
  <w:num w:numId="15">
    <w:abstractNumId w:val="24"/>
  </w:num>
  <w:num w:numId="16">
    <w:abstractNumId w:val="15"/>
  </w:num>
  <w:num w:numId="17">
    <w:abstractNumId w:val="14"/>
  </w:num>
  <w:num w:numId="18">
    <w:abstractNumId w:val="11"/>
  </w:num>
  <w:num w:numId="19">
    <w:abstractNumId w:val="3"/>
  </w:num>
  <w:num w:numId="20">
    <w:abstractNumId w:val="23"/>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17"/>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10"/>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num>
  <w:num w:numId="30">
    <w:abstractNumId w:val="2"/>
  </w:num>
  <w:num w:numId="31">
    <w:abstractNumId w:val="1"/>
  </w:num>
  <w:num w:numId="32">
    <w:abstractNumId w:val="20"/>
  </w:num>
  <w:num w:numId="33">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documentProtection w:enforcement="0"/>
  <w:defaultTabStop w:val="420"/>
  <w:drawingGridVerticalSpacing w:val="156"/>
  <w:noPunctuationKerning w:val="1"/>
  <w:characterSpacingControl w:val="compressPunctuation"/>
  <w:footnotePr>
    <w:numRestart w:val="eachPage"/>
    <w:footnote w:id="122"/>
    <w:footnote w:id="12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301"/>
    <w:rsid w:val="00057F45"/>
    <w:rsid w:val="00093C4D"/>
    <w:rsid w:val="000C706C"/>
    <w:rsid w:val="000D771C"/>
    <w:rsid w:val="00113080"/>
    <w:rsid w:val="001568BF"/>
    <w:rsid w:val="001A41BF"/>
    <w:rsid w:val="001B0FC7"/>
    <w:rsid w:val="00240585"/>
    <w:rsid w:val="0028280A"/>
    <w:rsid w:val="002A3FFA"/>
    <w:rsid w:val="00306080"/>
    <w:rsid w:val="00327CB1"/>
    <w:rsid w:val="0037059D"/>
    <w:rsid w:val="0038192A"/>
    <w:rsid w:val="00383566"/>
    <w:rsid w:val="00393A34"/>
    <w:rsid w:val="003C5BB8"/>
    <w:rsid w:val="00465301"/>
    <w:rsid w:val="00490D13"/>
    <w:rsid w:val="004A6ABA"/>
    <w:rsid w:val="00622BA8"/>
    <w:rsid w:val="00654295"/>
    <w:rsid w:val="006B23D8"/>
    <w:rsid w:val="006F1A16"/>
    <w:rsid w:val="00725125"/>
    <w:rsid w:val="007354F2"/>
    <w:rsid w:val="007E3B65"/>
    <w:rsid w:val="00882C94"/>
    <w:rsid w:val="008A66F4"/>
    <w:rsid w:val="008B5C79"/>
    <w:rsid w:val="00902018"/>
    <w:rsid w:val="00950ED6"/>
    <w:rsid w:val="00981E66"/>
    <w:rsid w:val="009846ED"/>
    <w:rsid w:val="009A2705"/>
    <w:rsid w:val="00B06646"/>
    <w:rsid w:val="00B4091F"/>
    <w:rsid w:val="00B508DF"/>
    <w:rsid w:val="00C25B6D"/>
    <w:rsid w:val="00CA38A5"/>
    <w:rsid w:val="00DC570F"/>
    <w:rsid w:val="00DE22E2"/>
    <w:rsid w:val="00E6161E"/>
    <w:rsid w:val="00EB64B1"/>
    <w:rsid w:val="00F62C9E"/>
    <w:rsid w:val="00FB63C4"/>
    <w:rsid w:val="00FC05BB"/>
    <w:rsid w:val="02B10876"/>
    <w:rsid w:val="03C243BB"/>
    <w:rsid w:val="03EC0380"/>
    <w:rsid w:val="0535370D"/>
    <w:rsid w:val="070C39CB"/>
    <w:rsid w:val="0BA06093"/>
    <w:rsid w:val="0C304315"/>
    <w:rsid w:val="0DB8556E"/>
    <w:rsid w:val="0FD16197"/>
    <w:rsid w:val="0FF31AEC"/>
    <w:rsid w:val="10B8607E"/>
    <w:rsid w:val="133D3E86"/>
    <w:rsid w:val="163158DA"/>
    <w:rsid w:val="16AF196C"/>
    <w:rsid w:val="183A374F"/>
    <w:rsid w:val="18A326E3"/>
    <w:rsid w:val="19A075E2"/>
    <w:rsid w:val="1B252FA8"/>
    <w:rsid w:val="1CA254CA"/>
    <w:rsid w:val="1FBD553C"/>
    <w:rsid w:val="1FDA3D75"/>
    <w:rsid w:val="26D0262D"/>
    <w:rsid w:val="297F0F9A"/>
    <w:rsid w:val="29863662"/>
    <w:rsid w:val="29972CF3"/>
    <w:rsid w:val="2A4749A7"/>
    <w:rsid w:val="2CE51A84"/>
    <w:rsid w:val="2D5067F1"/>
    <w:rsid w:val="307F1071"/>
    <w:rsid w:val="32011408"/>
    <w:rsid w:val="32D97970"/>
    <w:rsid w:val="37776080"/>
    <w:rsid w:val="389358A2"/>
    <w:rsid w:val="398E0DAD"/>
    <w:rsid w:val="39FE028D"/>
    <w:rsid w:val="3BF122BF"/>
    <w:rsid w:val="3DD0550A"/>
    <w:rsid w:val="3DD219AF"/>
    <w:rsid w:val="3E3705BE"/>
    <w:rsid w:val="3FEB416D"/>
    <w:rsid w:val="4083032B"/>
    <w:rsid w:val="44347B7C"/>
    <w:rsid w:val="48C91413"/>
    <w:rsid w:val="4C7D6D97"/>
    <w:rsid w:val="4CBA6AB7"/>
    <w:rsid w:val="4CDC2FFC"/>
    <w:rsid w:val="4E690F66"/>
    <w:rsid w:val="4EA0788A"/>
    <w:rsid w:val="51E25CE3"/>
    <w:rsid w:val="55630EE8"/>
    <w:rsid w:val="590F6A64"/>
    <w:rsid w:val="59B83AE4"/>
    <w:rsid w:val="662975C9"/>
    <w:rsid w:val="6E9B2AE6"/>
    <w:rsid w:val="70A538B1"/>
    <w:rsid w:val="71F941EE"/>
    <w:rsid w:val="752E10BB"/>
    <w:rsid w:val="77EA64B1"/>
    <w:rsid w:val="77F24D96"/>
    <w:rsid w:val="7B4C5D41"/>
    <w:rsid w:val="7C340846"/>
    <w:rsid w:val="7CE15474"/>
    <w:rsid w:val="7FD60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476"/>
    </w:pPr>
    <w:rPr>
      <w:rFonts w:ascii="Times New Roman" w:hAnsi="Times New Roman" w:eastAsia="宋体" w:cs="Times New Roman"/>
      <w:spacing w:val="-5"/>
      <w:sz w:val="24"/>
      <w:lang w:val="en-US" w:eastAsia="zh-CN" w:bidi="ar-SA"/>
    </w:rPr>
  </w:style>
  <w:style w:type="paragraph" w:styleId="2">
    <w:name w:val="heading 1"/>
    <w:basedOn w:val="3"/>
    <w:next w:val="1"/>
    <w:qFormat/>
    <w:uiPriority w:val="0"/>
    <w:pPr>
      <w:numPr>
        <w:ilvl w:val="0"/>
        <w:numId w:val="1"/>
      </w:numPr>
      <w:spacing w:after="220" w:line="360" w:lineRule="auto"/>
      <w:outlineLvl w:val="0"/>
    </w:pPr>
    <w:rPr>
      <w:rFonts w:ascii="Times New Roman" w:hAnsi="Times New Roman"/>
      <w:b/>
    </w:rPr>
  </w:style>
  <w:style w:type="paragraph" w:styleId="5">
    <w:name w:val="heading 2"/>
    <w:basedOn w:val="1"/>
    <w:next w:val="1"/>
    <w:link w:val="26"/>
    <w:qFormat/>
    <w:uiPriority w:val="0"/>
    <w:pPr>
      <w:numPr>
        <w:ilvl w:val="1"/>
        <w:numId w:val="1"/>
      </w:numPr>
      <w:tabs>
        <w:tab w:val="left" w:pos="0"/>
      </w:tabs>
      <w:spacing w:line="360" w:lineRule="auto"/>
      <w:outlineLvl w:val="1"/>
    </w:pPr>
    <w:rPr>
      <w:rFonts w:eastAsia="黑体"/>
      <w:sz w:val="28"/>
    </w:rPr>
  </w:style>
  <w:style w:type="paragraph" w:styleId="6">
    <w:name w:val="heading 3"/>
    <w:basedOn w:val="3"/>
    <w:next w:val="1"/>
    <w:link w:val="25"/>
    <w:unhideWhenUsed/>
    <w:qFormat/>
    <w:uiPriority w:val="0"/>
    <w:pPr>
      <w:numPr>
        <w:ilvl w:val="2"/>
        <w:numId w:val="1"/>
      </w:numPr>
      <w:spacing w:beforeAutospacing="1" w:afterAutospacing="1"/>
      <w:outlineLvl w:val="2"/>
    </w:pPr>
    <w:rPr>
      <w:rFonts w:hint="eastAsia" w:ascii="宋体" w:hAnsi="宋体"/>
      <w:b/>
      <w:bCs/>
      <w:kern w:val="0"/>
      <w:sz w:val="27"/>
      <w:szCs w:val="27"/>
    </w:rPr>
  </w:style>
  <w:style w:type="paragraph" w:styleId="7">
    <w:name w:val="heading 4"/>
    <w:basedOn w:val="1"/>
    <w:next w:val="1"/>
    <w:qFormat/>
    <w:uiPriority w:val="0"/>
    <w:pPr>
      <w:numPr>
        <w:ilvl w:val="3"/>
        <w:numId w:val="1"/>
      </w:numPr>
      <w:spacing w:line="360" w:lineRule="auto"/>
      <w:outlineLvl w:val="3"/>
    </w:pPr>
    <w:rPr>
      <w:rFonts w:eastAsia="黑体"/>
      <w:spacing w:val="-2"/>
    </w:rPr>
  </w:style>
  <w:style w:type="paragraph" w:styleId="8">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9">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rPr>
  </w:style>
  <w:style w:type="paragraph" w:styleId="10">
    <w:name w:val="heading 7"/>
    <w:basedOn w:val="1"/>
    <w:next w:val="1"/>
    <w:semiHidden/>
    <w:unhideWhenUsed/>
    <w:qFormat/>
    <w:uiPriority w:val="0"/>
    <w:pPr>
      <w:keepNext/>
      <w:keepLines/>
      <w:numPr>
        <w:ilvl w:val="6"/>
        <w:numId w:val="1"/>
      </w:numPr>
      <w:spacing w:before="240" w:after="64" w:line="317" w:lineRule="auto"/>
      <w:outlineLvl w:val="6"/>
    </w:pPr>
    <w:rPr>
      <w:b/>
    </w:rPr>
  </w:style>
  <w:style w:type="paragraph" w:styleId="11">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rPr>
  </w:style>
  <w:style w:type="paragraph" w:styleId="12">
    <w:name w:val="heading 9"/>
    <w:basedOn w:val="1"/>
    <w:next w:val="1"/>
    <w:semiHidden/>
    <w:unhideWhenUsed/>
    <w:qFormat/>
    <w:uiPriority w:val="0"/>
    <w:pPr>
      <w:keepNext/>
      <w:keepLines/>
      <w:numPr>
        <w:ilvl w:val="8"/>
        <w:numId w:val="1"/>
      </w:numPr>
      <w:spacing w:before="240" w:after="64" w:line="317" w:lineRule="auto"/>
      <w:outlineLvl w:val="8"/>
    </w:pPr>
    <w:rPr>
      <w:rFonts w:ascii="Arial" w:hAnsi="Arial" w:eastAsia="黑体"/>
      <w:sz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customStyle="1" w:styleId="3">
    <w:name w:val="基准标题"/>
    <w:basedOn w:val="4"/>
    <w:next w:val="4"/>
    <w:qFormat/>
    <w:uiPriority w:val="0"/>
    <w:pPr>
      <w:keepNext/>
      <w:keepLines/>
      <w:spacing w:after="0"/>
      <w:jc w:val="left"/>
    </w:pPr>
    <w:rPr>
      <w:rFonts w:ascii="Arial Black" w:hAnsi="Arial Black"/>
      <w:spacing w:val="-10"/>
      <w:kern w:val="28"/>
    </w:rPr>
  </w:style>
  <w:style w:type="paragraph" w:styleId="4">
    <w:name w:val="Body Text"/>
    <w:basedOn w:val="1"/>
    <w:qFormat/>
    <w:uiPriority w:val="0"/>
    <w:pPr>
      <w:spacing w:after="220" w:line="180" w:lineRule="atLeast"/>
      <w:jc w:val="center"/>
    </w:pPr>
    <w:rPr>
      <w:sz w:val="30"/>
    </w:rPr>
  </w:style>
  <w:style w:type="paragraph" w:styleId="13">
    <w:name w:val="caption"/>
    <w:basedOn w:val="1"/>
    <w:next w:val="1"/>
    <w:unhideWhenUsed/>
    <w:qFormat/>
    <w:uiPriority w:val="0"/>
    <w:rPr>
      <w:rFonts w:ascii="Arial" w:hAnsi="Arial" w:eastAsia="黑体"/>
      <w:sz w:val="20"/>
    </w:rPr>
  </w:style>
  <w:style w:type="paragraph" w:styleId="14">
    <w:name w:val="footer"/>
    <w:basedOn w:val="1"/>
    <w:link w:val="28"/>
    <w:qFormat/>
    <w:uiPriority w:val="0"/>
    <w:pPr>
      <w:tabs>
        <w:tab w:val="center" w:pos="4153"/>
        <w:tab w:val="right" w:pos="8306"/>
      </w:tabs>
      <w:snapToGrid w:val="0"/>
      <w:spacing w:line="240" w:lineRule="auto"/>
    </w:pPr>
    <w:rPr>
      <w:sz w:val="18"/>
      <w:szCs w:val="18"/>
    </w:rPr>
  </w:style>
  <w:style w:type="paragraph" w:styleId="15">
    <w:name w:val="header"/>
    <w:basedOn w:val="1"/>
    <w:link w:val="27"/>
    <w:qFormat/>
    <w:uiPriority w:val="0"/>
    <w:pPr>
      <w:tabs>
        <w:tab w:val="center" w:pos="4153"/>
        <w:tab w:val="right" w:pos="8306"/>
      </w:tabs>
      <w:snapToGrid w:val="0"/>
      <w:spacing w:line="240" w:lineRule="auto"/>
      <w:jc w:val="center"/>
    </w:pPr>
    <w:rPr>
      <w:sz w:val="18"/>
      <w:szCs w:val="18"/>
    </w:rPr>
  </w:style>
  <w:style w:type="paragraph" w:styleId="16">
    <w:name w:val="footnote text"/>
    <w:basedOn w:val="1"/>
    <w:semiHidden/>
    <w:qFormat/>
    <w:uiPriority w:val="0"/>
  </w:style>
  <w:style w:type="paragraph" w:styleId="17">
    <w:name w:val="Normal (Web)"/>
    <w:basedOn w:val="1"/>
    <w:qFormat/>
    <w:uiPriority w:val="0"/>
    <w:pPr>
      <w:spacing w:beforeAutospacing="1" w:afterAutospacing="1"/>
    </w:p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footnote reference"/>
    <w:basedOn w:val="20"/>
    <w:semiHidden/>
    <w:qFormat/>
    <w:uiPriority w:val="0"/>
    <w:rPr>
      <w:vertAlign w:val="superscript"/>
    </w:rPr>
  </w:style>
  <w:style w:type="paragraph" w:customStyle="1" w:styleId="23">
    <w:name w:val="毕业设计正文"/>
    <w:basedOn w:val="4"/>
    <w:qFormat/>
    <w:uiPriority w:val="0"/>
    <w:pPr>
      <w:spacing w:after="0" w:line="360" w:lineRule="auto"/>
      <w:ind w:firstLine="200" w:firstLineChars="200"/>
      <w:jc w:val="left"/>
    </w:pPr>
  </w:style>
  <w:style w:type="paragraph" w:styleId="24">
    <w:name w:val="List Paragraph"/>
    <w:basedOn w:val="1"/>
    <w:semiHidden/>
    <w:unhideWhenUsed/>
    <w:qFormat/>
    <w:uiPriority w:val="99"/>
    <w:pPr>
      <w:ind w:firstLine="420" w:firstLineChars="200"/>
    </w:pPr>
  </w:style>
  <w:style w:type="character" w:customStyle="1" w:styleId="25">
    <w:name w:val="标题 3 字符"/>
    <w:link w:val="6"/>
    <w:qFormat/>
    <w:uiPriority w:val="0"/>
    <w:rPr>
      <w:rFonts w:hint="eastAsia" w:ascii="宋体" w:hAnsi="宋体"/>
      <w:b/>
      <w:bCs/>
      <w:kern w:val="0"/>
      <w:sz w:val="27"/>
      <w:szCs w:val="27"/>
    </w:rPr>
  </w:style>
  <w:style w:type="character" w:customStyle="1" w:styleId="26">
    <w:name w:val="标题 2 字符"/>
    <w:basedOn w:val="20"/>
    <w:link w:val="5"/>
    <w:qFormat/>
    <w:uiPriority w:val="0"/>
    <w:rPr>
      <w:rFonts w:eastAsia="黑体"/>
      <w:spacing w:val="-5"/>
      <w:sz w:val="28"/>
    </w:rPr>
  </w:style>
  <w:style w:type="character" w:customStyle="1" w:styleId="27">
    <w:name w:val="页眉 字符"/>
    <w:basedOn w:val="20"/>
    <w:link w:val="15"/>
    <w:qFormat/>
    <w:uiPriority w:val="0"/>
    <w:rPr>
      <w:spacing w:val="-5"/>
      <w:sz w:val="18"/>
      <w:szCs w:val="18"/>
    </w:rPr>
  </w:style>
  <w:style w:type="character" w:customStyle="1" w:styleId="28">
    <w:name w:val="页脚 字符"/>
    <w:basedOn w:val="20"/>
    <w:link w:val="14"/>
    <w:qFormat/>
    <w:uiPriority w:val="0"/>
    <w:rPr>
      <w:spacing w:val="-5"/>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A0966-B92B-4A36-9B4D-3493F44A5A22}">
  <ds:schemaRefs/>
</ds:datastoreItem>
</file>

<file path=docProps/app.xml><?xml version="1.0" encoding="utf-8"?>
<Properties xmlns="http://schemas.openxmlformats.org/officeDocument/2006/extended-properties" xmlns:vt="http://schemas.openxmlformats.org/officeDocument/2006/docPropsVTypes">
  <Template>Normal</Template>
  <Pages>47</Pages>
  <Words>12394</Words>
  <Characters>12847</Characters>
  <Lines>591</Lines>
  <Paragraphs>295</Paragraphs>
  <TotalTime>3</TotalTime>
  <ScaleCrop>false</ScaleCrop>
  <LinksUpToDate>false</LinksUpToDate>
  <CharactersWithSpaces>12881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2026-04-15T15:50:00Z</dcterms:created>
  <dc:creator>15192</dc:creator>
  <cp:lastModifiedBy>世界和平</cp:lastModifiedBy>
  <dcterms:modified xsi:type="dcterms:W3CDTF">2026-08-02T08:36:57Z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eyJoZGlkIjoiOTNlZjViZTgyYzA2YjEyNTY5YWFlYTFhOTFiY2U4ZTciLCJ1c2VySWQiOiI2MzIxMjE1ODEifQ==</vt:lpwstr>
  </property>
  <property fmtid="{D5CDD505-2E9C-101B-9397-08002B2CF9AE}" pid="4" name="ICV">
    <vt:lpwstr>251A349ED8644C62A5D573ECA61EC4CD_13</vt:lpwstr>
  </property>
</Properties>
</file>