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4D43BB26">
      <w:pPr>
        <w:spacing w:before="120" w:after="0"/>
        <w:jc w:val="center"/>
      </w:pPr>
      <w:bookmarkStart w:id="0" w:name="_GoBack"/>
      <w:bookmarkEnd w:id="0"/>
      <w:r>
        <w:rPr>
          <w:rFonts w:ascii="Times New Roman" w:hAnsi="Times New Roman" w:eastAsia="黑体"/>
          <w:sz w:val="36"/>
          <w:szCs w:val="36"/>
        </w:rPr>
        <w:t>HPS理念下中学化学科学本质观教学研究</w:t>
      </w:r>
    </w:p>
    <w:p ns2:paraId="4ACACB94">
      <w:pPr>
        <w:spacing w:after="120"/>
        <w:jc w:val="center"/>
      </w:pPr>
      <w:r>
        <w:rPr>
          <w:rFonts w:ascii="Times New Roman" w:hAnsi="Times New Roman" w:eastAsia="黑体"/>
          <w:sz w:val="30"/>
          <w:szCs w:val="30"/>
        </w:rPr>
        <w:t>——基于CiteSpace的可视化分析</w:t>
      </w:r>
    </w:p>
    <w:p ns2:paraId="3F0933B7">
      <w:pPr>
        <w:spacing w:after="60"/>
        <w:jc w:val="center"/>
      </w:pPr>
      <w:r>
        <w:rPr>
          <w:rFonts w:ascii="Times New Roman" w:hAnsi="Times New Roman" w:eastAsia="仿宋"/>
          <w:sz w:val="24"/>
          <w:szCs w:val="24"/>
        </w:rPr>
        <w:t>李晓雨</w:t>
      </w:r>
    </w:p>
    <w:p ns2:paraId="59F518F0">
      <w:pPr>
        <w:spacing w:after="200"/>
        <w:jc w:val="center"/>
      </w:pPr>
      <w:r>
        <w:rPr>
          <w:rFonts w:ascii="Times New Roman" w:hAnsi="Times New Roman" w:eastAsia="宋体"/>
          <w:sz w:val="21"/>
          <w:szCs w:val="21"/>
        </w:rPr>
        <w:t>（宁波大学，浙江 宁波 315211）</w:t>
      </w:r>
    </w:p>
    <w:p ns2:paraId="2B841979">
      <w:pPr>
        <w:spacing w:line="400" w:lineRule="exact"/>
        <w:jc w:val="both"/>
      </w:pPr>
      <w:r>
        <w:rPr>
          <w:rFonts w:ascii="Times New Roman" w:hAnsi="Times New Roman" w:eastAsia="黑体"/>
          <w:b/>
          <w:bCs/>
          <w:sz w:val="21"/>
          <w:szCs w:val="21"/>
        </w:rPr>
        <w:t>摘　要：</w:t>
      </w:r>
      <w:r>
        <w:rPr>
          <w:rFonts w:ascii="Times New Roman" w:hAnsi="Times New Roman" w:eastAsia="宋体"/>
          <w:sz w:val="21"/>
          <w:szCs w:val="21"/>
        </w:rPr>
        <w:t>以中国知网收录的2008—2026年相关文献为研究对象，运用CiteSpace软件对国内中学化学HPS教学理念与科学本质观教学研究的发文趋势、研究力量分布及关键词图谱进行可视化分析。研究发现，该领域发文量受课程政策驱动持续增长，研究力量呈“高分散、弱连结”特征，研究热点集中于科学本质观内涵与测评、HPS教学模式与策略、化学史载体三个方面，并据此提出未来研究展望。</w:t>
      </w:r>
    </w:p>
    <w:p ns2:paraId="57EE259A">
      <w:pPr>
        <w:spacing w:after="200" w:line="400" w:lineRule="exact"/>
        <w:jc w:val="both"/>
      </w:pPr>
      <w:r>
        <w:rPr>
          <w:rFonts w:ascii="Times New Roman" w:hAnsi="Times New Roman" w:eastAsia="黑体"/>
          <w:b/>
          <w:bCs/>
          <w:sz w:val="21"/>
          <w:szCs w:val="21"/>
        </w:rPr>
        <w:t>关键词：</w:t>
      </w:r>
      <w:r>
        <w:rPr>
          <w:rFonts w:ascii="Times New Roman" w:hAnsi="Times New Roman" w:eastAsia="宋体"/>
          <w:sz w:val="21"/>
          <w:szCs w:val="21"/>
        </w:rPr>
        <w:t>中学化学；HPS教学理念；科学本质观；CiteSpace；可视化分析</w:t>
      </w:r>
    </w:p>
    <w:p ns2:paraId="2433DEB8">
      <w:pPr>
        <w:spacing w:before="240" w:after="120" w:line="400" w:lineRule="exact"/>
      </w:pPr>
      <w:r>
        <w:rPr>
          <w:rFonts w:ascii="Times New Roman" w:hAnsi="Times New Roman" w:eastAsia="黑体"/>
          <w:sz w:val="28"/>
          <w:szCs w:val="28"/>
        </w:rPr>
        <w:t>一、问题的提出</w:t>
      </w:r>
    </w:p>
    <w:p ns2:paraId="430FE2D8">
      <w:pPr>
        <w:spacing w:line="400" w:lineRule="exact"/>
        <w:ind w:firstLine="420"/>
        <w:jc w:val="both"/>
      </w:pPr>
      <w:r>
        <w:rPr>
          <w:rFonts w:ascii="Times New Roman" w:hAnsi="Times New Roman" w:eastAsia="宋体"/>
          <w:sz w:val="21"/>
          <w:szCs w:val="21"/>
        </w:rPr>
        <w:t>随着基础教育课程改革的全面深化，中学化学教学正经历从“双基”向“素养立意”的深刻转型。教育部颁布的《普通高中化学课程标准（2017年版2020年修订）》在目标表述与教学建议中明确指出：应借助化学史事实、科学模型演进与科学争论情境，引导学生认识化学理论的发展性与证据性，并在学习过程中体会科学认识的建构特征与科学精神内涵</w:t>
      </w:r>
      <w:r>
        <w:rPr>
          <w:rFonts w:ascii="Times New Roman" w:hAnsi="Times New Roman" w:eastAsia="宋体"/>
          <w:sz w:val="21"/>
          <w:szCs w:val="21"/>
          <w:vertAlign w:val="superscript"/>
        </w:rPr>
        <w:t>[1]</w:t>
      </w:r>
      <w:r>
        <w:rPr>
          <w:rFonts w:ascii="Times New Roman" w:hAnsi="Times New Roman" w:eastAsia="宋体"/>
          <w:sz w:val="21"/>
          <w:szCs w:val="21"/>
        </w:rPr>
        <w:t>。这标志着对学生科学本质观（Nature of Science, NOS）的培养，已由理念层面的倡议切实转化为高中化学课堂的实践指向。</w:t>
      </w:r>
    </w:p>
    <w:p ns2:paraId="49E4B86D">
      <w:pPr>
        <w:spacing w:line="400" w:lineRule="exact"/>
        <w:ind w:firstLine="420"/>
        <w:jc w:val="both"/>
      </w:pPr>
      <w:r>
        <w:rPr>
          <w:rFonts w:ascii="Times New Roman" w:hAnsi="Times New Roman" w:eastAsia="宋体"/>
          <w:sz w:val="21"/>
          <w:szCs w:val="21"/>
        </w:rPr>
        <w:t>为有效落实这一目标，HPS（科学史、科学哲学与科学社会学）教学理念提供了极具操作性的载体。HPS教学理念起源于西方科学教育领域，托马斯·库恩（Thomas Kuhn）等学者的主张为其奠定了深厚的哲学基础，其核心在于强调将科学知识置于动态的历史演进与真实的社会文化脉络中去理解</w:t>
      </w:r>
      <w:r>
        <w:rPr>
          <w:rFonts w:ascii="Times New Roman" w:hAnsi="Times New Roman" w:eastAsia="宋体"/>
          <w:sz w:val="21"/>
          <w:szCs w:val="21"/>
          <w:vertAlign w:val="superscript"/>
        </w:rPr>
        <w:t>[2]</w:t>
      </w:r>
      <w:r>
        <w:rPr>
          <w:rFonts w:ascii="Times New Roman" w:hAnsi="Times New Roman" w:eastAsia="宋体"/>
          <w:sz w:val="21"/>
          <w:szCs w:val="21"/>
        </w:rPr>
        <w:t>。然而，审视当前国内一线化学教学现实，科学史素材常被零散地处理为课堂的“趣味化背景”或纯粹的结论性讲述，哲学反思与社会维度往往缺位。这就导致科学本质观的培养在实践层面陷入了“高评价、低落实”的困境，难以在常规教学中形成可持续、可评价的逻辑链条。</w:t>
      </w:r>
    </w:p>
    <w:p ns2:paraId="3E47D025">
      <w:pPr>
        <w:spacing w:line="400" w:lineRule="exact"/>
        <w:ind w:firstLine="420"/>
        <w:jc w:val="both"/>
      </w:pPr>
      <w:r>
        <w:rPr>
          <w:rFonts w:ascii="Times New Roman" w:hAnsi="Times New Roman" w:eastAsia="宋体"/>
          <w:sz w:val="21"/>
          <w:szCs w:val="21"/>
        </w:rPr>
        <w:t>然而，目前关于HPS教学理念落实科学本质观的系统性回顾相对匮乏，且尚未出现相关的可视化文献综述研究。由于通过可视化分析可以直观地呈现特定研究领域的发展进程与知识结构关系，鉴于此，本研究采用文献计量分析方法，运用CiteSpace软件对中国知网（CNKI）收录的相关文献进行定量分析。通过梳理发文作者与机构的合作网络、凝练当前的研究热点与未来的演进趋势，并结合核心文献的定性分析来总结现有的教学实践模式，以此为中学化学教师及科研人员深化相关理论探讨与教学实践创新提供有益参考。</w:t>
      </w:r>
    </w:p>
    <w:p ns2:paraId="7FB8D254">
      <w:pPr>
        <w:spacing w:before="240" w:after="120" w:line="400" w:lineRule="exact"/>
      </w:pPr>
      <w:r>
        <w:rPr>
          <w:rFonts w:ascii="Times New Roman" w:hAnsi="Times New Roman" w:eastAsia="黑体"/>
          <w:sz w:val="28"/>
          <w:szCs w:val="28"/>
        </w:rPr>
        <w:t>二、数据来源与研究方法</w:t>
      </w:r>
    </w:p>
    <w:p ns2:paraId="35F0B474">
      <w:pPr>
        <w:spacing w:line="400" w:lineRule="exact"/>
        <w:ind w:firstLine="420"/>
        <w:jc w:val="both"/>
      </w:pPr>
      <w:r>
        <w:rPr>
          <w:rFonts w:ascii="Times New Roman" w:hAnsi="Times New Roman" w:eastAsia="宋体"/>
          <w:sz w:val="21"/>
          <w:szCs w:val="21"/>
        </w:rPr>
        <w:t>本研究采用的研究工具为CiteSpace 6.2R4软件。该软件是由美国德雷克塞尔大学陈超美教授基于Java语言开发的一款信息可视化应用，其核心立足于文献计量学与共引分析理论</w:t>
      </w:r>
      <w:r>
        <w:rPr>
          <w:rFonts w:ascii="Times New Roman" w:hAnsi="Times New Roman" w:eastAsia="宋体"/>
          <w:sz w:val="21"/>
          <w:szCs w:val="21"/>
          <w:vertAlign w:val="superscript"/>
        </w:rPr>
        <w:t>[3]</w:t>
      </w:r>
      <w:r>
        <w:rPr>
          <w:rFonts w:ascii="Times New Roman" w:hAnsi="Times New Roman" w:eastAsia="宋体"/>
          <w:sz w:val="21"/>
          <w:szCs w:val="21"/>
        </w:rPr>
        <w:t>。通过引入寻径网络等算法，CiteSpace能够对特定研究领域的文献集合进行深度挖掘与计量分析，以可视化图谱的形式直观呈现出作者、机构间的合作网络关系，并探寻学科领域演化的关键路径与知识拐点。鉴于其能提供准确且深入的图谱分析结果，本研究借助该软件对相关文献开展系统梳理，旨在宏观勾勒出该领域的发展进程与结构概况，定量凝练当前的核心热点，并科学预测其未来的演进态势。</w:t>
      </w:r>
    </w:p>
    <w:p ns2:paraId="7429CC93">
      <w:pPr>
        <w:spacing w:line="400" w:lineRule="exact"/>
        <w:ind w:firstLine="420"/>
        <w:jc w:val="both"/>
      </w:pPr>
      <w:r>
        <w:rPr>
          <w:rFonts w:ascii="Times New Roman" w:hAnsi="Times New Roman" w:eastAsia="宋体"/>
          <w:sz w:val="21"/>
          <w:szCs w:val="21"/>
        </w:rPr>
        <w:t>本研究以中国知网（CNKI）为数据来源，采用高级检索方式，分别以“HPS教学理念 AND 化学”“科学本质观 AND 化学”以及“HPS教学理念 AND 科学本质观 AND 化学”为检索式，检索时间范围为2008—2026年。经人工剔除会议简讯、报纸、通知类文本以及与研究主题关联度较弱的文献后，最终获得HPS教学理念相关有效文献126篇、科学本质观相关有效文献198篇，并进一步筛选出同时涉及HPS教学理念、化学教学与科学本质观培养的核心交集文献26篇。</w:t>
      </w:r>
    </w:p>
    <w:p ns2:paraId="3377DBAA">
      <w:pPr>
        <w:spacing w:line="400" w:lineRule="exact"/>
        <w:ind w:firstLine="420"/>
        <w:jc w:val="both"/>
      </w:pPr>
      <w:r>
        <w:rPr>
          <w:rFonts w:ascii="Times New Roman" w:hAnsi="Times New Roman" w:eastAsia="宋体"/>
          <w:sz w:val="21"/>
          <w:szCs w:val="21"/>
        </w:rPr>
        <w:t>为保证分析结果的规范性与可操作性，本文将检索结果以RefWorks格式导出，并导入CiteSpace软件进行格式转换、去重与可视化分析。具体分析过程中，分别以Author、Institution和Keyword为节点类型，生成作者合作网络、机构合作网络、关键词共现图谱、关键词突现图谱、关键词聚类图谱和关键词时间线图谱。通过频次、中心性、模块值Q、平均轮廓值S等指标，对该领域的研究主体、热点主题和演进趋势进行综合判断。</w:t>
      </w:r>
    </w:p>
    <w:p ns2:paraId="363E4AF5">
      <w:pPr>
        <w:spacing w:line="400" w:lineRule="exact"/>
        <w:ind w:firstLine="420"/>
        <w:jc w:val="both"/>
      </w:pPr>
      <w:r>
        <w:rPr>
          <w:rFonts w:ascii="Times New Roman" w:hAnsi="Times New Roman" w:eastAsia="宋体"/>
          <w:sz w:val="21"/>
          <w:szCs w:val="21"/>
        </w:rPr>
        <w:t>为更清晰地呈现本文的文献检索、筛选与分析过程，绘制文献检索与分析流程图，如图1所示。</w:t>
      </w:r>
    </w:p>
    <w:p ns2:paraId="0381EB60">
      <w:pPr>
        <w:keepNext/>
        <w:spacing w:before="120" w:after="60"/>
        <w:jc w:val="center"/>
      </w:pPr>
      <w:r>
        <w:drawing>
          <ns3:inline distT="0" distB="0" distL="0" distR="0">
            <ns3:extent cx="4286250" cy="2333625"/>
            <ns3:effectExtent l="0" t="0" r="0" b="0"/>
            <ns3:docPr id="1" name="图片 1"/>
            <ns3:cNvGraphicFramePr>
              <ns4:graphicFrameLocks noChangeAspect="1"/>
            </ns3:cNvGraphicFramePr>
            <ns4:graphic>
              <ns4:graphicData uri="http://schemas.openxmlformats.org/drawingml/2006/picture">
                <ns5:pic>
                  <ns5:nvPicPr>
                    <ns5:cNvPr id="1" name="图片 1"/>
                    <ns5:cNvPicPr>
                      <ns4:picLocks noChangeAspect="1" noChangeArrowheads="1"/>
                    </ns5:cNvPicPr>
                  </ns5:nvPicPr>
                  <ns5:blipFill>
                    <ns4:blip ns6:embed="rId4"/>
                    <ns4:srcRect/>
                    <ns4:stretch>
                      <ns4:fillRect/>
                    </ns4:stretch>
                  </ns5:blipFill>
                  <ns5:spPr>
                    <ns4:xfrm>
                      <ns4:off x="0" y="0"/>
                      <ns4:ext cx="4286250" cy="2333625"/>
                    </ns4:xfrm>
                    <ns4:prstGeom prst="rect">
                      <ns4:avLst/>
                    </ns4:prstGeom>
                  </ns5:spPr>
                </ns5:pic>
              </ns4:graphicData>
            </ns4:graphic>
          </ns3:inline>
        </w:drawing>
      </w:r>
    </w:p>
    <w:p ns2:paraId="68A8452B">
      <w:pPr>
        <w:keepNext w:val="0"/>
        <w:spacing w:before="60" w:after="120"/>
        <w:jc w:val="center"/>
      </w:pPr>
      <w:r>
        <w:rPr>
          <w:rFonts w:ascii="Times New Roman" w:hAnsi="Times New Roman" w:eastAsia="黑体"/>
          <w:sz w:val="18"/>
          <w:szCs w:val="18"/>
        </w:rPr>
        <w:t>图1 文献检索与分析流程图</w:t>
      </w:r>
    </w:p>
    <w:p ns2:paraId="4991CC07">
      <w:pPr>
        <w:spacing w:line="400" w:lineRule="exact"/>
        <w:ind w:firstLine="420"/>
        <w:jc w:val="both"/>
      </w:pPr>
      <w:r>
        <w:rPr>
          <w:rFonts w:ascii="Times New Roman" w:hAnsi="Times New Roman" w:eastAsia="宋体"/>
          <w:sz w:val="21"/>
          <w:szCs w:val="21"/>
        </w:rPr>
        <w:t>总体来看，本文的分析思路并非仅停留于关键词频次统计，而是按照“文献总体特征分析—关键词共现与突现分析—主题聚类分析—关键词重组—研究热点归纳”的逻辑展开。这样既能够保留CiteSpace图谱分析的客观依据，又能够通过对核心文献的再阅读和再归类，进一步解释HPS教学理念如何在中学化学科学本质观教学中发挥作用。</w:t>
      </w:r>
    </w:p>
    <w:p ns2:paraId="23EE2758">
      <w:pPr>
        <w:spacing w:before="240" w:after="120" w:line="400" w:lineRule="exact"/>
      </w:pPr>
      <w:r>
        <w:rPr>
          <w:rFonts w:ascii="Times New Roman" w:hAnsi="Times New Roman" w:eastAsia="黑体"/>
          <w:sz w:val="28"/>
          <w:szCs w:val="28"/>
        </w:rPr>
        <w:t>三、国内中学化学科学本质观教学研究文献统计与分析</w:t>
      </w:r>
    </w:p>
    <w:p ns2:paraId="45F67C2E">
      <w:pPr>
        <w:spacing w:before="180" w:after="60" w:line="400" w:lineRule="exact"/>
      </w:pPr>
      <w:r>
        <w:rPr>
          <w:rFonts w:ascii="Times New Roman" w:hAnsi="Times New Roman" w:eastAsia="黑体"/>
          <w:sz w:val="24"/>
          <w:szCs w:val="24"/>
        </w:rPr>
        <w:t>（一）年度发文量趋势对比分析</w:t>
      </w:r>
    </w:p>
    <w:p ns2:paraId="6BC981C9">
      <w:pPr>
        <w:spacing w:line="400" w:lineRule="exact"/>
        <w:ind w:firstLine="420"/>
        <w:jc w:val="both"/>
      </w:pPr>
      <w:r>
        <w:rPr>
          <w:rFonts w:ascii="Times New Roman" w:hAnsi="Times New Roman" w:eastAsia="宋体"/>
          <w:sz w:val="21"/>
          <w:szCs w:val="21"/>
        </w:rPr>
        <w:t>年度发文量能够反映某一研究领域的整体发展态势和学术关注度变化。为把握国内中学化学HPS教学理念与科学本质观研究的演进情况，本文分别对“HPS教学理念 AND 化学”和“科学本质观 AND 化学”两类文献的年度发文量进行统计，结果如图2所示。</w:t>
      </w:r>
    </w:p>
    <w:p ns2:paraId="2E2ADA86">
      <w:pPr>
        <w:keepNext/>
        <w:spacing w:before="120" w:after="60"/>
        <w:jc w:val="center"/>
      </w:pPr>
      <w:r>
        <w:drawing>
          <ns3:inline distT="0" distB="0" distL="0" distR="0">
            <ns3:extent cx="4572000" cy="2743200"/>
            <ns3:effectExtent l="0" t="0" r="0" b="0"/>
            <ns3:docPr id="2" name="图片 2"/>
            <ns3:cNvGraphicFramePr>
              <ns4:graphicFrameLocks noChangeAspect="1"/>
            </ns3:cNvGraphicFramePr>
            <ns4:graphic>
              <ns4:graphicData uri="http://schemas.openxmlformats.org/drawingml/2006/picture">
                <ns5:pic>
                  <ns5:nvPicPr>
                    <ns5:cNvPr id="2" name="图片 2"/>
                    <ns5:cNvPicPr>
                      <ns4:picLocks noChangeAspect="1" noChangeArrowheads="1"/>
                    </ns5:cNvPicPr>
                  </ns5:nvPicPr>
                  <ns5:blipFill>
                    <ns4:blip ns6:embed="rId5"/>
                    <ns4:srcRect/>
                    <ns4:stretch>
                      <ns4:fillRect/>
                    </ns4:stretch>
                  </ns5:blipFill>
                  <ns5:spPr>
                    <ns4:xfrm>
                      <ns4:off x="0" y="0"/>
                      <ns4:ext cx="4572000" cy="2743200"/>
                    </ns4:xfrm>
                    <ns4:prstGeom prst="rect">
                      <ns4:avLst/>
                    </ns4:prstGeom>
                  </ns5:spPr>
                </ns5:pic>
              </ns4:graphicData>
            </ns4:graphic>
          </ns3:inline>
        </w:drawing>
      </w:r>
    </w:p>
    <w:p ns2:paraId="7261C071">
      <w:pPr>
        <w:keepNext w:val="0"/>
        <w:spacing w:before="60" w:after="120"/>
        <w:jc w:val="center"/>
      </w:pPr>
      <w:r>
        <w:rPr>
          <w:rFonts w:ascii="Times New Roman" w:hAnsi="Times New Roman" w:eastAsia="黑体"/>
          <w:sz w:val="18"/>
          <w:szCs w:val="18"/>
        </w:rPr>
        <w:t>图2 年度发文量趋势对比图</w:t>
      </w:r>
    </w:p>
    <w:p ns2:paraId="68FC0584">
      <w:pPr>
        <w:spacing w:line="400" w:lineRule="exact"/>
        <w:ind w:firstLine="420"/>
        <w:jc w:val="both"/>
      </w:pPr>
      <w:r>
        <w:rPr>
          <w:rFonts w:ascii="Times New Roman" w:hAnsi="Times New Roman" w:eastAsia="宋体"/>
          <w:sz w:val="21"/>
          <w:szCs w:val="21"/>
        </w:rPr>
        <w:t>由图2可知，国内中学化学HPS教学理念与科学本质观相关研究在2017年以前总体处于缓慢积累阶段，发文数量较少，研究关注度相对有限。自2017年以后，两类文献均呈现出较为明显的增长趋势，并在2022—2025年间表现出较高的活跃度。其中，“科学本质观”相关文献增长更为迅速，说明科学本质观已经逐渐成为科学教育和化学教育研究中的重要议题。</w:t>
      </w:r>
    </w:p>
    <w:p ns2:paraId="0E5D9484">
      <w:pPr>
        <w:spacing w:line="400" w:lineRule="exact"/>
        <w:ind w:firstLine="420"/>
        <w:jc w:val="both"/>
      </w:pPr>
      <w:r>
        <w:rPr>
          <w:rFonts w:ascii="Times New Roman" w:hAnsi="Times New Roman" w:eastAsia="宋体"/>
          <w:sz w:val="21"/>
          <w:szCs w:val="21"/>
        </w:rPr>
        <w:t>这一趋势变化与我国基础教育课程改革的推进密切相关。2017年版《普通高中化学课程标准》的颁布，进一步明确了化学学科核心素养的育人导向，也强调了科学史实、科学探究、模型建构和证据推理在化学学习中的重要价值。随后，2022年版义务教育课程标准进一步强化了核心素养导向和实践育人要求，使科学本质观、科学探究、科学态度与社会责任等内容在中学化学教学中的地位不断提升。由此可见，该领域研究的增长并非单纯由学术兴趣自发推动，而是受到课程政策、课堂改革与教师专业发展需求的共同牵引。</w:t>
      </w:r>
    </w:p>
    <w:p ns2:paraId="12DDEFC6">
      <w:pPr>
        <w:spacing w:line="400" w:lineRule="exact"/>
        <w:ind w:firstLine="420"/>
        <w:jc w:val="both"/>
      </w:pPr>
      <w:r>
        <w:rPr>
          <w:rFonts w:ascii="Times New Roman" w:hAnsi="Times New Roman" w:eastAsia="宋体"/>
          <w:sz w:val="21"/>
          <w:szCs w:val="21"/>
        </w:rPr>
        <w:t>从整体发展阶段看，2008—2016年可视为初步探索期，相关研究多围绕HPS理念引介、化学史素材开发和科学探究意识培养展开；2017—2021年进入稳步发展期，研究逐渐与核心素养、教学设计和科学本质观培养相结合；2022年以来则进入快速拓展期，研究重点进一步转向高中化学课堂中的教学实践、课例开发和效果检验。需要说明的是，由于2026年文献尚未全年收录，图中2026年的发文量只能作为阶段性数据参考，不宜与完整年度数据直接比较。</w:t>
      </w:r>
    </w:p>
    <w:p ns2:paraId="33220699">
      <w:pPr>
        <w:spacing w:before="180" w:after="60" w:line="400" w:lineRule="exact"/>
      </w:pPr>
      <w:r>
        <w:rPr>
          <w:rFonts w:ascii="Times New Roman" w:hAnsi="Times New Roman" w:eastAsia="黑体"/>
          <w:sz w:val="24"/>
          <w:szCs w:val="24"/>
        </w:rPr>
        <w:t>（二）发文作者与机构分布特征</w:t>
      </w:r>
    </w:p>
    <w:p ns2:paraId="74C7FEB3">
      <w:pPr>
        <w:spacing w:line="400" w:lineRule="exact"/>
        <w:ind w:firstLine="420"/>
        <w:jc w:val="both"/>
      </w:pPr>
      <w:r>
        <w:rPr>
          <w:rFonts w:ascii="Times New Roman" w:hAnsi="Times New Roman" w:eastAsia="宋体"/>
          <w:sz w:val="21"/>
          <w:szCs w:val="21"/>
        </w:rPr>
        <w:t>发文作者与研究机构的合作网络图谱，能够直观反映出该领域核心研究群体的分布态势与合作广度。将筛选后的有效文献导入CiteSpace，分别以“Author（作者）”和“Institution（机构）”为节点运行，得到核心发文作者分布（见图3）与机构合作网络图谱（见图4）。</w:t>
      </w:r>
    </w:p>
    <w:p ns2:paraId="24D73693">
      <w:pPr>
        <w:keepNext/>
        <w:spacing w:before="120" w:after="60"/>
        <w:jc w:val="center"/>
      </w:pPr>
      <w:r>
        <w:drawing>
          <ns3:inline distT="0" distB="0" distL="0" distR="0">
            <ns3:extent cx="4381500" cy="2714625"/>
            <ns3:effectExtent l="0" t="0" r="0" b="0"/>
            <ns3:docPr id="3" name="图片 3"/>
            <ns3:cNvGraphicFramePr>
              <ns4:graphicFrameLocks noChangeAspect="1"/>
            </ns3:cNvGraphicFramePr>
            <ns4:graphic>
              <ns4:graphicData uri="http://schemas.openxmlformats.org/drawingml/2006/picture">
                <ns5:pic>
                  <ns5:nvPicPr>
                    <ns5:cNvPr id="3" name="图片 3"/>
                    <ns5:cNvPicPr>
                      <ns4:picLocks noChangeAspect="1" noChangeArrowheads="1"/>
                    </ns5:cNvPicPr>
                  </ns5:nvPicPr>
                  <ns5:blipFill>
                    <ns4:blip ns6:embed="rId6"/>
                    <ns4:srcRect/>
                    <ns4:stretch>
                      <ns4:fillRect/>
                    </ns4:stretch>
                  </ns5:blipFill>
                  <ns5:spPr>
                    <ns4:xfrm>
                      <ns4:off x="0" y="0"/>
                      <ns4:ext cx="4381500" cy="2714625"/>
                    </ns4:xfrm>
                    <ns4:prstGeom prst="rect">
                      <ns4:avLst/>
                    </ns4:prstGeom>
                  </ns5:spPr>
                </ns5:pic>
              </ns4:graphicData>
            </ns4:graphic>
          </ns3:inline>
        </w:drawing>
      </w:r>
    </w:p>
    <w:p ns2:paraId="0C72D127">
      <w:pPr>
        <w:keepNext w:val="0"/>
        <w:spacing w:before="60" w:after="120"/>
        <w:jc w:val="center"/>
      </w:pPr>
      <w:r>
        <w:rPr>
          <w:rFonts w:ascii="Times New Roman" w:hAnsi="Times New Roman" w:eastAsia="黑体"/>
          <w:sz w:val="18"/>
          <w:szCs w:val="18"/>
        </w:rPr>
        <w:t>图3 核心发文作者合作网络图谱</w:t>
      </w:r>
    </w:p>
    <w:p ns2:paraId="356EEB40">
      <w:pPr>
        <w:keepNext/>
        <w:spacing w:before="120" w:after="60"/>
        <w:jc w:val="center"/>
      </w:pPr>
      <w:r>
        <w:drawing>
          <ns3:inline distT="0" distB="0" distL="0" distR="0">
            <ns3:extent cx="4381500" cy="2714625"/>
            <ns3:effectExtent l="0" t="0" r="0" b="0"/>
            <ns3:docPr id="4" name="图片 4"/>
            <ns3:cNvGraphicFramePr>
              <ns4:graphicFrameLocks noChangeAspect="1"/>
            </ns3:cNvGraphicFramePr>
            <ns4:graphic>
              <ns4:graphicData uri="http://schemas.openxmlformats.org/drawingml/2006/picture">
                <ns5:pic>
                  <ns5:nvPicPr>
                    <ns5:cNvPr id="4" name="图片 4"/>
                    <ns5:cNvPicPr>
                      <ns4:picLocks noChangeAspect="1" noChangeArrowheads="1"/>
                    </ns5:cNvPicPr>
                  </ns5:nvPicPr>
                  <ns5:blipFill>
                    <ns4:blip ns6:embed="rId7"/>
                    <ns4:srcRect/>
                    <ns4:stretch>
                      <ns4:fillRect/>
                    </ns4:stretch>
                  </ns5:blipFill>
                  <ns5:spPr>
                    <ns4:xfrm>
                      <ns4:off x="0" y="0"/>
                      <ns4:ext cx="4381500" cy="2714625"/>
                    </ns4:xfrm>
                    <ns4:prstGeom prst="rect">
                      <ns4:avLst/>
                    </ns4:prstGeom>
                  </ns5:spPr>
                </ns5:pic>
              </ns4:graphicData>
            </ns4:graphic>
          </ns3:inline>
        </w:drawing>
      </w:r>
    </w:p>
    <w:p ns2:paraId="5CA01C51">
      <w:pPr>
        <w:keepNext w:val="0"/>
        <w:spacing w:before="60" w:after="120"/>
        <w:jc w:val="center"/>
      </w:pPr>
      <w:r>
        <w:rPr>
          <w:rFonts w:ascii="Times New Roman" w:hAnsi="Times New Roman" w:eastAsia="黑体"/>
          <w:sz w:val="18"/>
          <w:szCs w:val="18"/>
        </w:rPr>
        <w:t>图4 核心研究机构合作网络图谱</w:t>
      </w:r>
    </w:p>
    <w:p ns2:paraId="7CAB94B2">
      <w:pPr>
        <w:spacing w:line="400" w:lineRule="exact"/>
        <w:ind w:firstLine="420"/>
        <w:jc w:val="both"/>
      </w:pPr>
      <w:r>
        <w:rPr>
          <w:rFonts w:ascii="Times New Roman" w:hAnsi="Times New Roman" w:eastAsia="宋体"/>
          <w:sz w:val="21"/>
          <w:szCs w:val="21"/>
        </w:rPr>
        <w:t>图谱数据显示，作者合作网络节点数N=219，连线数E=95，网络密度仅为0.004；机构合作网络节点数N=141，连线数E=33，网络密度更是低至0.0033。一般而言，网络密度越高，说明研究主体之间的合作越紧密；网络密度较低，则意味着研究主体之间联系相对松散。由此可见，当前国内关于中学化学HPS教学理念与科学本质观的研究整体呈现出“高分散、弱连接”的特征。</w:t>
      </w:r>
    </w:p>
    <w:p ns2:paraId="1845C3D1">
      <w:pPr>
        <w:spacing w:line="400" w:lineRule="exact"/>
        <w:ind w:firstLine="420"/>
        <w:jc w:val="both"/>
      </w:pPr>
      <w:r>
        <w:rPr>
          <w:rFonts w:ascii="Times New Roman" w:hAnsi="Times New Roman" w:eastAsia="宋体"/>
          <w:sz w:val="21"/>
          <w:szCs w:val="21"/>
        </w:rPr>
        <w:t>为进一步识别该领域的核心研究者，本文导出核心作者发文量数据，结果如表1所示。</w:t>
      </w:r>
    </w:p>
    <w:p ns2:paraId="3D74457A">
      <w:pPr>
        <w:keepNext/>
        <w:spacing w:before="60" w:after="120"/>
        <w:jc w:val="center"/>
      </w:pPr>
      <w:r>
        <w:rPr>
          <w:rFonts w:ascii="Times New Roman" w:hAnsi="Times New Roman" w:eastAsia="黑体"/>
          <w:sz w:val="18"/>
          <w:szCs w:val="18"/>
        </w:rPr>
        <w:t>表1 核心作者发文量统计</w:t>
      </w:r>
    </w:p>
    <w:tbl>
      <w:tblPr>
        <w:tblStyle w:val="11"/>
        <w:tblW w:w="50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200"/>
        <w:gridCol w:w="2000"/>
        <w:gridCol w:w="1800"/>
      </w:tblGrid>
      <w:tr ns2:paraId="1CFC3F0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200" w:type="dxa"/>
            <w:tcBorders>
              <w:top w:val="single" w:color="000000" w:sz="12" w:space="0"/>
              <w:left w:val="nil"/>
              <w:bottom w:val="single" w:color="000000" w:sz="6" w:space="0"/>
              <w:right w:val="nil"/>
            </w:tcBorders>
            <w:vAlign w:val="center"/>
          </w:tcPr>
          <w:p ns2:paraId="417BC335">
            <w:pPr>
              <w:spacing w:before="30" w:after="30"/>
              <w:jc w:val="center"/>
            </w:pPr>
            <w:r>
              <w:rPr>
                <w:rFonts w:ascii="Times New Roman" w:hAnsi="Times New Roman" w:eastAsia="宋体"/>
                <w:b/>
                <w:bCs/>
                <w:sz w:val="18"/>
                <w:szCs w:val="18"/>
              </w:rPr>
              <w:t>序号</w:t>
            </w:r>
          </w:p>
        </w:tc>
        <w:tc>
          <w:tcPr>
            <w:tcW w:w="2000" w:type="dxa"/>
            <w:tcBorders>
              <w:top w:val="single" w:color="000000" w:sz="12" w:space="0"/>
              <w:left w:val="nil"/>
              <w:bottom w:val="single" w:color="000000" w:sz="6" w:space="0"/>
              <w:right w:val="nil"/>
            </w:tcBorders>
            <w:vAlign w:val="center"/>
          </w:tcPr>
          <w:p ns2:paraId="73EF90E7">
            <w:pPr>
              <w:spacing w:before="30" w:after="30"/>
              <w:jc w:val="center"/>
            </w:pPr>
            <w:r>
              <w:rPr>
                <w:rFonts w:ascii="Times New Roman" w:hAnsi="Times New Roman" w:eastAsia="宋体"/>
                <w:b/>
                <w:bCs/>
                <w:sz w:val="18"/>
                <w:szCs w:val="18"/>
              </w:rPr>
              <w:t>发文作者</w:t>
            </w:r>
          </w:p>
        </w:tc>
        <w:tc>
          <w:tcPr>
            <w:tcW w:w="1800" w:type="dxa"/>
            <w:tcBorders>
              <w:top w:val="single" w:color="000000" w:sz="12" w:space="0"/>
              <w:left w:val="nil"/>
              <w:bottom w:val="single" w:color="000000" w:sz="6" w:space="0"/>
              <w:right w:val="nil"/>
            </w:tcBorders>
            <w:vAlign w:val="center"/>
          </w:tcPr>
          <w:p ns2:paraId="640B4942">
            <w:pPr>
              <w:spacing w:before="30" w:after="30"/>
              <w:jc w:val="center"/>
            </w:pPr>
            <w:r>
              <w:rPr>
                <w:rFonts w:ascii="Times New Roman" w:hAnsi="Times New Roman" w:eastAsia="宋体"/>
                <w:b/>
                <w:bCs/>
                <w:sz w:val="18"/>
                <w:szCs w:val="18"/>
              </w:rPr>
              <w:t>发文量（篇）</w:t>
            </w:r>
          </w:p>
        </w:tc>
      </w:tr>
      <w:tr ns2:paraId="068D26A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200" w:type="dxa"/>
            <w:tcBorders>
              <w:top w:val="nil"/>
              <w:left w:val="nil"/>
              <w:bottom w:val="nil"/>
              <w:right w:val="nil"/>
            </w:tcBorders>
            <w:vAlign w:val="center"/>
          </w:tcPr>
          <w:p ns2:paraId="3C1D219C">
            <w:pPr>
              <w:spacing w:before="30" w:after="30"/>
              <w:jc w:val="center"/>
            </w:pPr>
            <w:r>
              <w:rPr>
                <w:rFonts w:ascii="Times New Roman" w:hAnsi="Times New Roman" w:eastAsia="宋体"/>
                <w:b w:val="0"/>
                <w:bCs w:val="0"/>
                <w:sz w:val="18"/>
                <w:szCs w:val="18"/>
              </w:rPr>
              <w:t>1</w:t>
            </w:r>
          </w:p>
        </w:tc>
        <w:tc>
          <w:tcPr>
            <w:tcW w:w="2000" w:type="dxa"/>
            <w:tcBorders>
              <w:top w:val="nil"/>
              <w:left w:val="nil"/>
              <w:bottom w:val="nil"/>
              <w:right w:val="nil"/>
            </w:tcBorders>
            <w:vAlign w:val="center"/>
          </w:tcPr>
          <w:p ns2:paraId="6330022F">
            <w:pPr>
              <w:spacing w:before="30" w:after="30"/>
              <w:jc w:val="center"/>
            </w:pPr>
            <w:r>
              <w:rPr>
                <w:rFonts w:ascii="Times New Roman" w:hAnsi="Times New Roman" w:eastAsia="宋体"/>
                <w:b w:val="0"/>
                <w:bCs w:val="0"/>
                <w:sz w:val="18"/>
                <w:szCs w:val="18"/>
              </w:rPr>
              <w:t>梁永平</w:t>
            </w:r>
          </w:p>
        </w:tc>
        <w:tc>
          <w:tcPr>
            <w:tcW w:w="1800" w:type="dxa"/>
            <w:tcBorders>
              <w:top w:val="nil"/>
              <w:left w:val="nil"/>
              <w:bottom w:val="nil"/>
              <w:right w:val="nil"/>
            </w:tcBorders>
            <w:vAlign w:val="center"/>
          </w:tcPr>
          <w:p ns2:paraId="4AEB7590">
            <w:pPr>
              <w:spacing w:before="30" w:after="30"/>
              <w:jc w:val="center"/>
            </w:pPr>
            <w:r>
              <w:rPr>
                <w:rFonts w:ascii="Times New Roman" w:hAnsi="Times New Roman" w:eastAsia="宋体"/>
                <w:b w:val="0"/>
                <w:bCs w:val="0"/>
                <w:sz w:val="18"/>
                <w:szCs w:val="18"/>
              </w:rPr>
              <w:t>3</w:t>
            </w:r>
          </w:p>
        </w:tc>
      </w:tr>
      <w:tr ns2:paraId="6CAC70E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200" w:type="dxa"/>
            <w:tcBorders>
              <w:top w:val="nil"/>
              <w:left w:val="nil"/>
              <w:bottom w:val="nil"/>
              <w:right w:val="nil"/>
            </w:tcBorders>
            <w:vAlign w:val="center"/>
          </w:tcPr>
          <w:p ns2:paraId="6FA79FCF">
            <w:pPr>
              <w:spacing w:before="30" w:after="30"/>
              <w:jc w:val="center"/>
            </w:pPr>
            <w:r>
              <w:rPr>
                <w:rFonts w:ascii="Times New Roman" w:hAnsi="Times New Roman" w:eastAsia="宋体"/>
                <w:b w:val="0"/>
                <w:bCs w:val="0"/>
                <w:sz w:val="18"/>
                <w:szCs w:val="18"/>
              </w:rPr>
              <w:t>2</w:t>
            </w:r>
          </w:p>
        </w:tc>
        <w:tc>
          <w:tcPr>
            <w:tcW w:w="2000" w:type="dxa"/>
            <w:tcBorders>
              <w:top w:val="nil"/>
              <w:left w:val="nil"/>
              <w:bottom w:val="nil"/>
              <w:right w:val="nil"/>
            </w:tcBorders>
            <w:vAlign w:val="center"/>
          </w:tcPr>
          <w:p ns2:paraId="6EA68829">
            <w:pPr>
              <w:spacing w:before="30" w:after="30"/>
              <w:jc w:val="center"/>
            </w:pPr>
            <w:r>
              <w:rPr>
                <w:rFonts w:ascii="Times New Roman" w:hAnsi="Times New Roman" w:eastAsia="宋体"/>
                <w:b w:val="0"/>
                <w:bCs w:val="0"/>
                <w:sz w:val="18"/>
                <w:szCs w:val="18"/>
              </w:rPr>
              <w:t>张贤金</w:t>
            </w:r>
          </w:p>
        </w:tc>
        <w:tc>
          <w:tcPr>
            <w:tcW w:w="1800" w:type="dxa"/>
            <w:tcBorders>
              <w:top w:val="nil"/>
              <w:left w:val="nil"/>
              <w:bottom w:val="nil"/>
              <w:right w:val="nil"/>
            </w:tcBorders>
            <w:vAlign w:val="center"/>
          </w:tcPr>
          <w:p ns2:paraId="0C2A9D33">
            <w:pPr>
              <w:spacing w:before="30" w:after="30"/>
              <w:jc w:val="center"/>
            </w:pPr>
            <w:r>
              <w:rPr>
                <w:rFonts w:ascii="Times New Roman" w:hAnsi="Times New Roman" w:eastAsia="宋体"/>
                <w:b w:val="0"/>
                <w:bCs w:val="0"/>
                <w:sz w:val="18"/>
                <w:szCs w:val="18"/>
              </w:rPr>
              <w:t>2</w:t>
            </w:r>
          </w:p>
        </w:tc>
      </w:tr>
      <w:tr ns2:paraId="4A6EC07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200" w:type="dxa"/>
            <w:tcBorders>
              <w:top w:val="nil"/>
              <w:left w:val="nil"/>
              <w:bottom w:val="nil"/>
              <w:right w:val="nil"/>
            </w:tcBorders>
            <w:vAlign w:val="center"/>
          </w:tcPr>
          <w:p ns2:paraId="10EE7DAB">
            <w:pPr>
              <w:spacing w:before="30" w:after="30"/>
              <w:jc w:val="center"/>
            </w:pPr>
            <w:r>
              <w:rPr>
                <w:rFonts w:ascii="Times New Roman" w:hAnsi="Times New Roman" w:eastAsia="宋体"/>
                <w:b w:val="0"/>
                <w:bCs w:val="0"/>
                <w:sz w:val="18"/>
                <w:szCs w:val="18"/>
              </w:rPr>
              <w:t>3</w:t>
            </w:r>
          </w:p>
        </w:tc>
        <w:tc>
          <w:tcPr>
            <w:tcW w:w="2000" w:type="dxa"/>
            <w:tcBorders>
              <w:top w:val="nil"/>
              <w:left w:val="nil"/>
              <w:bottom w:val="nil"/>
              <w:right w:val="nil"/>
            </w:tcBorders>
            <w:vAlign w:val="center"/>
          </w:tcPr>
          <w:p ns2:paraId="24AF25D3">
            <w:pPr>
              <w:spacing w:before="30" w:after="30"/>
              <w:jc w:val="center"/>
            </w:pPr>
            <w:r>
              <w:rPr>
                <w:rFonts w:ascii="Times New Roman" w:hAnsi="Times New Roman" w:eastAsia="宋体"/>
                <w:b w:val="0"/>
                <w:bCs w:val="0"/>
                <w:sz w:val="18"/>
                <w:szCs w:val="18"/>
              </w:rPr>
              <w:t>吴晗清</w:t>
            </w:r>
          </w:p>
        </w:tc>
        <w:tc>
          <w:tcPr>
            <w:tcW w:w="1800" w:type="dxa"/>
            <w:tcBorders>
              <w:top w:val="nil"/>
              <w:left w:val="nil"/>
              <w:bottom w:val="nil"/>
              <w:right w:val="nil"/>
            </w:tcBorders>
            <w:vAlign w:val="center"/>
          </w:tcPr>
          <w:p ns2:paraId="13E241BC">
            <w:pPr>
              <w:spacing w:before="30" w:after="30"/>
              <w:jc w:val="center"/>
            </w:pPr>
            <w:r>
              <w:rPr>
                <w:rFonts w:ascii="Times New Roman" w:hAnsi="Times New Roman" w:eastAsia="宋体"/>
                <w:b w:val="0"/>
                <w:bCs w:val="0"/>
                <w:sz w:val="18"/>
                <w:szCs w:val="18"/>
              </w:rPr>
              <w:t>2</w:t>
            </w:r>
          </w:p>
        </w:tc>
      </w:tr>
      <w:tr ns2:paraId="7EC58B0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200" w:type="dxa"/>
            <w:tcBorders>
              <w:top w:val="nil"/>
              <w:left w:val="nil"/>
              <w:bottom w:val="nil"/>
              <w:right w:val="nil"/>
            </w:tcBorders>
            <w:vAlign w:val="center"/>
          </w:tcPr>
          <w:p ns2:paraId="5F12DBD8">
            <w:pPr>
              <w:spacing w:before="30" w:after="30"/>
              <w:jc w:val="center"/>
            </w:pPr>
            <w:r>
              <w:rPr>
                <w:rFonts w:ascii="Times New Roman" w:hAnsi="Times New Roman" w:eastAsia="宋体"/>
                <w:b w:val="0"/>
                <w:bCs w:val="0"/>
                <w:sz w:val="18"/>
                <w:szCs w:val="18"/>
              </w:rPr>
              <w:t>4</w:t>
            </w:r>
          </w:p>
        </w:tc>
        <w:tc>
          <w:tcPr>
            <w:tcW w:w="2000" w:type="dxa"/>
            <w:tcBorders>
              <w:top w:val="nil"/>
              <w:left w:val="nil"/>
              <w:bottom w:val="nil"/>
              <w:right w:val="nil"/>
            </w:tcBorders>
            <w:vAlign w:val="center"/>
          </w:tcPr>
          <w:p ns2:paraId="2E5F07D3">
            <w:pPr>
              <w:spacing w:before="30" w:after="30"/>
              <w:jc w:val="center"/>
            </w:pPr>
            <w:r>
              <w:rPr>
                <w:rFonts w:ascii="Times New Roman" w:hAnsi="Times New Roman" w:eastAsia="宋体"/>
                <w:b w:val="0"/>
                <w:bCs w:val="0"/>
                <w:sz w:val="18"/>
                <w:szCs w:val="18"/>
              </w:rPr>
              <w:t>王振芳</w:t>
            </w:r>
          </w:p>
        </w:tc>
        <w:tc>
          <w:tcPr>
            <w:tcW w:w="1800" w:type="dxa"/>
            <w:tcBorders>
              <w:top w:val="nil"/>
              <w:left w:val="nil"/>
              <w:bottom w:val="nil"/>
              <w:right w:val="nil"/>
            </w:tcBorders>
            <w:vAlign w:val="center"/>
          </w:tcPr>
          <w:p ns2:paraId="5A4D81FD">
            <w:pPr>
              <w:spacing w:before="30" w:after="30"/>
              <w:jc w:val="center"/>
            </w:pPr>
            <w:r>
              <w:rPr>
                <w:rFonts w:ascii="Times New Roman" w:hAnsi="Times New Roman" w:eastAsia="宋体"/>
                <w:b w:val="0"/>
                <w:bCs w:val="0"/>
                <w:sz w:val="18"/>
                <w:szCs w:val="18"/>
              </w:rPr>
              <w:t>2</w:t>
            </w:r>
          </w:p>
        </w:tc>
      </w:tr>
      <w:tr ns2:paraId="385D7CD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200" w:type="dxa"/>
            <w:tcBorders>
              <w:top w:val="nil"/>
              <w:left w:val="nil"/>
              <w:bottom w:val="nil"/>
              <w:right w:val="nil"/>
            </w:tcBorders>
            <w:vAlign w:val="center"/>
          </w:tcPr>
          <w:p ns2:paraId="4E82C6BB">
            <w:pPr>
              <w:spacing w:before="30" w:after="30"/>
              <w:jc w:val="center"/>
            </w:pPr>
            <w:r>
              <w:rPr>
                <w:rFonts w:ascii="Times New Roman" w:hAnsi="Times New Roman" w:eastAsia="宋体"/>
                <w:b w:val="0"/>
                <w:bCs w:val="0"/>
                <w:sz w:val="18"/>
                <w:szCs w:val="18"/>
              </w:rPr>
              <w:t>5</w:t>
            </w:r>
          </w:p>
        </w:tc>
        <w:tc>
          <w:tcPr>
            <w:tcW w:w="2000" w:type="dxa"/>
            <w:tcBorders>
              <w:top w:val="nil"/>
              <w:left w:val="nil"/>
              <w:bottom w:val="nil"/>
              <w:right w:val="nil"/>
            </w:tcBorders>
            <w:vAlign w:val="center"/>
          </w:tcPr>
          <w:p ns2:paraId="240A0D20">
            <w:pPr>
              <w:spacing w:before="30" w:after="30"/>
              <w:jc w:val="center"/>
            </w:pPr>
            <w:r>
              <w:rPr>
                <w:rFonts w:ascii="Times New Roman" w:hAnsi="Times New Roman" w:eastAsia="宋体"/>
                <w:b w:val="0"/>
                <w:bCs w:val="0"/>
                <w:sz w:val="18"/>
                <w:szCs w:val="18"/>
              </w:rPr>
              <w:t>林萍</w:t>
            </w:r>
          </w:p>
        </w:tc>
        <w:tc>
          <w:tcPr>
            <w:tcW w:w="1800" w:type="dxa"/>
            <w:tcBorders>
              <w:top w:val="nil"/>
              <w:left w:val="nil"/>
              <w:bottom w:val="nil"/>
              <w:right w:val="nil"/>
            </w:tcBorders>
            <w:vAlign w:val="center"/>
          </w:tcPr>
          <w:p ns2:paraId="5D449BD9">
            <w:pPr>
              <w:spacing w:before="30" w:after="30"/>
              <w:jc w:val="center"/>
            </w:pPr>
            <w:r>
              <w:rPr>
                <w:rFonts w:ascii="Times New Roman" w:hAnsi="Times New Roman" w:eastAsia="宋体"/>
                <w:b w:val="0"/>
                <w:bCs w:val="0"/>
                <w:sz w:val="18"/>
                <w:szCs w:val="18"/>
              </w:rPr>
              <w:t>2</w:t>
            </w:r>
          </w:p>
        </w:tc>
      </w:tr>
      <w:tr ns2:paraId="66DD412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200" w:type="dxa"/>
            <w:tcBorders>
              <w:top w:val="nil"/>
              <w:left w:val="nil"/>
              <w:bottom w:val="nil"/>
              <w:right w:val="nil"/>
            </w:tcBorders>
            <w:vAlign w:val="center"/>
          </w:tcPr>
          <w:p ns2:paraId="7961054C">
            <w:pPr>
              <w:spacing w:before="30" w:after="30"/>
              <w:jc w:val="center"/>
            </w:pPr>
            <w:r>
              <w:rPr>
                <w:rFonts w:ascii="Times New Roman" w:hAnsi="Times New Roman" w:eastAsia="宋体"/>
                <w:b w:val="0"/>
                <w:bCs w:val="0"/>
                <w:sz w:val="18"/>
                <w:szCs w:val="18"/>
              </w:rPr>
              <w:t>6</w:t>
            </w:r>
          </w:p>
        </w:tc>
        <w:tc>
          <w:tcPr>
            <w:tcW w:w="2000" w:type="dxa"/>
            <w:tcBorders>
              <w:top w:val="nil"/>
              <w:left w:val="nil"/>
              <w:bottom w:val="nil"/>
              <w:right w:val="nil"/>
            </w:tcBorders>
            <w:vAlign w:val="center"/>
          </w:tcPr>
          <w:p ns2:paraId="6022818E">
            <w:pPr>
              <w:spacing w:before="30" w:after="30"/>
              <w:jc w:val="center"/>
            </w:pPr>
            <w:r>
              <w:rPr>
                <w:rFonts w:ascii="Times New Roman" w:hAnsi="Times New Roman" w:eastAsia="宋体"/>
                <w:b w:val="0"/>
                <w:bCs w:val="0"/>
                <w:sz w:val="18"/>
                <w:szCs w:val="18"/>
              </w:rPr>
              <w:t>刘逸豪</w:t>
            </w:r>
          </w:p>
        </w:tc>
        <w:tc>
          <w:tcPr>
            <w:tcW w:w="1800" w:type="dxa"/>
            <w:tcBorders>
              <w:top w:val="nil"/>
              <w:left w:val="nil"/>
              <w:bottom w:val="nil"/>
              <w:right w:val="nil"/>
            </w:tcBorders>
            <w:vAlign w:val="center"/>
          </w:tcPr>
          <w:p ns2:paraId="6CDE4055">
            <w:pPr>
              <w:spacing w:before="30" w:after="30"/>
              <w:jc w:val="center"/>
            </w:pPr>
            <w:r>
              <w:rPr>
                <w:rFonts w:ascii="Times New Roman" w:hAnsi="Times New Roman" w:eastAsia="宋体"/>
                <w:b w:val="0"/>
                <w:bCs w:val="0"/>
                <w:sz w:val="18"/>
                <w:szCs w:val="18"/>
              </w:rPr>
              <w:t>2</w:t>
            </w:r>
          </w:p>
        </w:tc>
      </w:tr>
      <w:tr ns2:paraId="2483865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200" w:type="dxa"/>
            <w:tcBorders>
              <w:top w:val="nil"/>
              <w:left w:val="nil"/>
              <w:bottom w:val="nil"/>
              <w:right w:val="nil"/>
            </w:tcBorders>
            <w:vAlign w:val="center"/>
          </w:tcPr>
          <w:p ns2:paraId="37FF25B1">
            <w:pPr>
              <w:spacing w:before="30" w:after="30"/>
              <w:jc w:val="center"/>
            </w:pPr>
            <w:r>
              <w:rPr>
                <w:rFonts w:ascii="Times New Roman" w:hAnsi="Times New Roman" w:eastAsia="宋体"/>
                <w:b w:val="0"/>
                <w:bCs w:val="0"/>
                <w:sz w:val="18"/>
                <w:szCs w:val="18"/>
              </w:rPr>
              <w:t>7</w:t>
            </w:r>
          </w:p>
        </w:tc>
        <w:tc>
          <w:tcPr>
            <w:tcW w:w="2000" w:type="dxa"/>
            <w:tcBorders>
              <w:top w:val="nil"/>
              <w:left w:val="nil"/>
              <w:bottom w:val="nil"/>
              <w:right w:val="nil"/>
            </w:tcBorders>
            <w:vAlign w:val="center"/>
          </w:tcPr>
          <w:p ns2:paraId="1ABDC818">
            <w:pPr>
              <w:spacing w:before="30" w:after="30"/>
              <w:jc w:val="center"/>
            </w:pPr>
            <w:r>
              <w:rPr>
                <w:rFonts w:ascii="Times New Roman" w:hAnsi="Times New Roman" w:eastAsia="宋体"/>
                <w:b w:val="0"/>
                <w:bCs w:val="0"/>
                <w:sz w:val="18"/>
                <w:szCs w:val="18"/>
              </w:rPr>
              <w:t>孙悦</w:t>
            </w:r>
          </w:p>
        </w:tc>
        <w:tc>
          <w:tcPr>
            <w:tcW w:w="1800" w:type="dxa"/>
            <w:tcBorders>
              <w:top w:val="nil"/>
              <w:left w:val="nil"/>
              <w:bottom w:val="nil"/>
              <w:right w:val="nil"/>
            </w:tcBorders>
            <w:vAlign w:val="center"/>
          </w:tcPr>
          <w:p ns2:paraId="3A7CF69E">
            <w:pPr>
              <w:spacing w:before="30" w:after="30"/>
              <w:jc w:val="center"/>
            </w:pPr>
            <w:r>
              <w:rPr>
                <w:rFonts w:ascii="Times New Roman" w:hAnsi="Times New Roman" w:eastAsia="宋体"/>
                <w:b w:val="0"/>
                <w:bCs w:val="0"/>
                <w:sz w:val="18"/>
                <w:szCs w:val="18"/>
              </w:rPr>
              <w:t>2</w:t>
            </w:r>
          </w:p>
        </w:tc>
      </w:tr>
      <w:tr ns2:paraId="0ADE243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200" w:type="dxa"/>
            <w:tcBorders>
              <w:top w:val="nil"/>
              <w:left w:val="nil"/>
              <w:bottom w:val="nil"/>
              <w:right w:val="nil"/>
            </w:tcBorders>
            <w:vAlign w:val="center"/>
          </w:tcPr>
          <w:p ns2:paraId="00D08144">
            <w:pPr>
              <w:spacing w:before="30" w:after="30"/>
              <w:jc w:val="center"/>
            </w:pPr>
            <w:r>
              <w:rPr>
                <w:rFonts w:ascii="Times New Roman" w:hAnsi="Times New Roman" w:eastAsia="宋体"/>
                <w:b w:val="0"/>
                <w:bCs w:val="0"/>
                <w:sz w:val="18"/>
                <w:szCs w:val="18"/>
              </w:rPr>
              <w:t>8</w:t>
            </w:r>
          </w:p>
        </w:tc>
        <w:tc>
          <w:tcPr>
            <w:tcW w:w="2000" w:type="dxa"/>
            <w:tcBorders>
              <w:top w:val="nil"/>
              <w:left w:val="nil"/>
              <w:bottom w:val="nil"/>
              <w:right w:val="nil"/>
            </w:tcBorders>
            <w:vAlign w:val="center"/>
          </w:tcPr>
          <w:p ns2:paraId="2C77AE85">
            <w:pPr>
              <w:spacing w:before="30" w:after="30"/>
              <w:jc w:val="center"/>
            </w:pPr>
            <w:r>
              <w:rPr>
                <w:rFonts w:ascii="Times New Roman" w:hAnsi="Times New Roman" w:eastAsia="宋体"/>
                <w:b w:val="0"/>
                <w:bCs w:val="0"/>
                <w:sz w:val="18"/>
                <w:szCs w:val="18"/>
              </w:rPr>
              <w:t>唐志林</w:t>
            </w:r>
          </w:p>
        </w:tc>
        <w:tc>
          <w:tcPr>
            <w:tcW w:w="1800" w:type="dxa"/>
            <w:tcBorders>
              <w:top w:val="nil"/>
              <w:left w:val="nil"/>
              <w:bottom w:val="nil"/>
              <w:right w:val="nil"/>
            </w:tcBorders>
            <w:vAlign w:val="center"/>
          </w:tcPr>
          <w:p ns2:paraId="00DA1091">
            <w:pPr>
              <w:spacing w:before="30" w:after="30"/>
              <w:jc w:val="center"/>
            </w:pPr>
            <w:r>
              <w:rPr>
                <w:rFonts w:ascii="Times New Roman" w:hAnsi="Times New Roman" w:eastAsia="宋体"/>
                <w:b w:val="0"/>
                <w:bCs w:val="0"/>
                <w:sz w:val="18"/>
                <w:szCs w:val="18"/>
              </w:rPr>
              <w:t>2</w:t>
            </w:r>
          </w:p>
        </w:tc>
      </w:tr>
      <w:tr ns2:paraId="32B5EE7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200" w:type="dxa"/>
            <w:tcBorders>
              <w:top w:val="nil"/>
              <w:left w:val="nil"/>
              <w:bottom w:val="nil"/>
              <w:right w:val="nil"/>
            </w:tcBorders>
            <w:vAlign w:val="center"/>
          </w:tcPr>
          <w:p ns2:paraId="745D5B12">
            <w:pPr>
              <w:spacing w:before="30" w:after="30"/>
              <w:jc w:val="center"/>
            </w:pPr>
            <w:r>
              <w:rPr>
                <w:rFonts w:ascii="Times New Roman" w:hAnsi="Times New Roman" w:eastAsia="宋体"/>
                <w:b w:val="0"/>
                <w:bCs w:val="0"/>
                <w:sz w:val="18"/>
                <w:szCs w:val="18"/>
              </w:rPr>
              <w:t>9</w:t>
            </w:r>
          </w:p>
        </w:tc>
        <w:tc>
          <w:tcPr>
            <w:tcW w:w="2000" w:type="dxa"/>
            <w:tcBorders>
              <w:top w:val="nil"/>
              <w:left w:val="nil"/>
              <w:bottom w:val="nil"/>
              <w:right w:val="nil"/>
            </w:tcBorders>
            <w:vAlign w:val="center"/>
          </w:tcPr>
          <w:p ns2:paraId="0BE5F653">
            <w:pPr>
              <w:spacing w:before="30" w:after="30"/>
              <w:jc w:val="center"/>
            </w:pPr>
            <w:r>
              <w:rPr>
                <w:rFonts w:ascii="Times New Roman" w:hAnsi="Times New Roman" w:eastAsia="宋体"/>
                <w:b w:val="0"/>
                <w:bCs w:val="0"/>
                <w:sz w:val="18"/>
                <w:szCs w:val="18"/>
              </w:rPr>
              <w:t>李镔石</w:t>
            </w:r>
          </w:p>
        </w:tc>
        <w:tc>
          <w:tcPr>
            <w:tcW w:w="1800" w:type="dxa"/>
            <w:tcBorders>
              <w:top w:val="nil"/>
              <w:left w:val="nil"/>
              <w:bottom w:val="nil"/>
              <w:right w:val="nil"/>
            </w:tcBorders>
            <w:vAlign w:val="center"/>
          </w:tcPr>
          <w:p ns2:paraId="65CDD40C">
            <w:pPr>
              <w:spacing w:before="30" w:after="30"/>
              <w:jc w:val="center"/>
            </w:pPr>
            <w:r>
              <w:rPr>
                <w:rFonts w:ascii="Times New Roman" w:hAnsi="Times New Roman" w:eastAsia="宋体"/>
                <w:b w:val="0"/>
                <w:bCs w:val="0"/>
                <w:sz w:val="18"/>
                <w:szCs w:val="18"/>
              </w:rPr>
              <w:t>2</w:t>
            </w:r>
          </w:p>
        </w:tc>
      </w:tr>
      <w:tr ns2:paraId="4CA88BC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200" w:type="dxa"/>
            <w:tcBorders>
              <w:top w:val="nil"/>
              <w:left w:val="nil"/>
              <w:bottom w:val="single" w:color="000000" w:sz="12" w:space="0"/>
              <w:right w:val="nil"/>
            </w:tcBorders>
            <w:vAlign w:val="center"/>
          </w:tcPr>
          <w:p ns2:paraId="062F8448">
            <w:pPr>
              <w:spacing w:before="30" w:after="30"/>
              <w:jc w:val="center"/>
            </w:pPr>
            <w:r>
              <w:rPr>
                <w:rFonts w:ascii="Times New Roman" w:hAnsi="Times New Roman" w:eastAsia="宋体"/>
                <w:b w:val="0"/>
                <w:bCs w:val="0"/>
                <w:sz w:val="18"/>
                <w:szCs w:val="18"/>
              </w:rPr>
              <w:t>10</w:t>
            </w:r>
          </w:p>
        </w:tc>
        <w:tc>
          <w:tcPr>
            <w:tcW w:w="2000" w:type="dxa"/>
            <w:tcBorders>
              <w:top w:val="nil"/>
              <w:left w:val="nil"/>
              <w:bottom w:val="single" w:color="000000" w:sz="12" w:space="0"/>
              <w:right w:val="nil"/>
            </w:tcBorders>
            <w:vAlign w:val="center"/>
          </w:tcPr>
          <w:p ns2:paraId="7024A3D3">
            <w:pPr>
              <w:spacing w:before="30" w:after="30"/>
              <w:jc w:val="center"/>
            </w:pPr>
            <w:r>
              <w:rPr>
                <w:rFonts w:ascii="Times New Roman" w:hAnsi="Times New Roman" w:eastAsia="宋体"/>
                <w:b w:val="0"/>
                <w:bCs w:val="0"/>
                <w:sz w:val="18"/>
                <w:szCs w:val="18"/>
              </w:rPr>
              <w:t>何晴</w:t>
            </w:r>
          </w:p>
        </w:tc>
        <w:tc>
          <w:tcPr>
            <w:tcW w:w="1800" w:type="dxa"/>
            <w:tcBorders>
              <w:top w:val="nil"/>
              <w:left w:val="nil"/>
              <w:bottom w:val="single" w:color="000000" w:sz="12" w:space="0"/>
              <w:right w:val="nil"/>
            </w:tcBorders>
            <w:vAlign w:val="center"/>
          </w:tcPr>
          <w:p ns2:paraId="433F29A2">
            <w:pPr>
              <w:spacing w:before="30" w:after="30"/>
              <w:jc w:val="center"/>
            </w:pPr>
            <w:r>
              <w:rPr>
                <w:rFonts w:ascii="Times New Roman" w:hAnsi="Times New Roman" w:eastAsia="宋体"/>
                <w:b w:val="0"/>
                <w:bCs w:val="0"/>
                <w:sz w:val="18"/>
                <w:szCs w:val="18"/>
              </w:rPr>
              <w:t>2</w:t>
            </w:r>
          </w:p>
        </w:tc>
      </w:tr>
    </w:tbl>
    <w:p ns2:paraId="62BC14DF">
      <w:pPr>
        <w:spacing w:after="60"/>
      </w:pPr>
    </w:p>
    <w:p ns2:paraId="0F28B61E">
      <w:pPr>
        <w:spacing w:line="400" w:lineRule="exact"/>
        <w:ind w:firstLine="420"/>
        <w:jc w:val="both"/>
      </w:pPr>
      <w:r>
        <w:rPr>
          <w:rFonts w:ascii="Times New Roman" w:hAnsi="Times New Roman" w:eastAsia="宋体"/>
          <w:sz w:val="21"/>
          <w:szCs w:val="21"/>
        </w:rPr>
        <w:t>由表1可知，梁永平、张贤金、吴晗清、李镔石等作者发文量相对靠前，说明该领域已经出现若干持续关注HPS教学理念、化学教学和科学本质观培养的研究者。但从整体合作网络来看，核心作者之间尚未形成稳定的大型跨区域合作共同体，多数研究仍以高校师门、小型课题组或区域教研群体为主。</w:t>
      </w:r>
    </w:p>
    <w:p ns2:paraId="590FA5B5">
      <w:pPr>
        <w:spacing w:line="400" w:lineRule="exact"/>
        <w:ind w:firstLine="420"/>
        <w:jc w:val="both"/>
      </w:pPr>
      <w:r>
        <w:rPr>
          <w:rFonts w:ascii="Times New Roman" w:hAnsi="Times New Roman" w:eastAsia="宋体"/>
          <w:sz w:val="21"/>
          <w:szCs w:val="21"/>
        </w:rPr>
        <w:t>这一研究力量结构意味着两方面问题。其一，虽然相关研究数量增长较快，但跨机构共享、跨区域借鉴和持续积累的程度仍然有限，容易出现不同地区开展相似研究而彼此之间引用、对话和合作不足的情况。其二，由于研究共同体尚未稳固，现有成果多集中于单篇课例设计、单一主题教学反思或局部经验总结，真正能够同时兼顾理论框架、课堂实践和评价证据的系统性研究相对不足。因此，后续研究不仅需要关注“哪些主题受到重视”，还需要进一步追问“这些研究主题之间是否形成稳定的研究链条”，以及“相关成果是否能够为一线课堂提供可迁移、可验证的实践路径”。</w:t>
      </w:r>
    </w:p>
    <w:p ns2:paraId="43C81D30">
      <w:pPr>
        <w:spacing w:before="240" w:after="120" w:line="400" w:lineRule="exact"/>
      </w:pPr>
      <w:r>
        <w:rPr>
          <w:rFonts w:ascii="Times New Roman" w:hAnsi="Times New Roman" w:eastAsia="黑体"/>
          <w:sz w:val="28"/>
          <w:szCs w:val="28"/>
        </w:rPr>
        <w:t>四、关键词共现与研究热点分析</w:t>
      </w:r>
    </w:p>
    <w:p ns2:paraId="356DF007">
      <w:pPr>
        <w:spacing w:line="400" w:lineRule="exact"/>
        <w:ind w:firstLine="420"/>
        <w:jc w:val="both"/>
      </w:pPr>
      <w:r>
        <w:rPr>
          <w:rFonts w:ascii="Times New Roman" w:hAnsi="Times New Roman" w:eastAsia="宋体"/>
          <w:sz w:val="21"/>
          <w:szCs w:val="21"/>
        </w:rPr>
        <w:t>学界常借助词汇共现网络来剖析特定领域的核心焦点及内在脉络。在此类可视化图谱中，特定的主题词由独立的圆圈（节点）指代。圆圈的横截面积直观映射了该词汇的出现频次及其在网络中的核心地位；其整体着色主要用于界定该主题初次涌现的年份区间；而外围色环的宽窄则刻画了特定时间段内的学术活跃度。此外，连接不同主题词的连线，通过其粗细与分布的密集状态，精准量化了各研究变量之间交集与关联的深度。</w:t>
      </w:r>
    </w:p>
    <w:p ns2:paraId="2E23D1B1">
      <w:pPr>
        <w:spacing w:before="180" w:after="60" w:line="400" w:lineRule="exact"/>
      </w:pPr>
      <w:r>
        <w:rPr>
          <w:rFonts w:ascii="Times New Roman" w:hAnsi="Times New Roman" w:eastAsia="黑体"/>
          <w:sz w:val="24"/>
          <w:szCs w:val="24"/>
        </w:rPr>
        <w:t>（一）关键词共现分析</w:t>
      </w:r>
    </w:p>
    <w:p ns2:paraId="18D3B102">
      <w:pPr>
        <w:spacing w:line="400" w:lineRule="exact"/>
        <w:ind w:firstLine="420"/>
        <w:jc w:val="both"/>
      </w:pPr>
      <w:r>
        <w:rPr>
          <w:rFonts w:ascii="Times New Roman" w:hAnsi="Times New Roman" w:eastAsia="宋体"/>
          <w:sz w:val="21"/>
          <w:szCs w:val="21"/>
        </w:rPr>
        <w:t>将经过筛选去重的有效文献导入CiteSpace，节点类型选择“Keyword”，运行生成关键词共现网络图谱（见图5）。</w:t>
      </w:r>
    </w:p>
    <w:p ns2:paraId="64EFC2A4">
      <w:pPr>
        <w:keepNext/>
        <w:spacing w:before="120" w:after="60"/>
        <w:jc w:val="center"/>
      </w:pPr>
      <w:r>
        <w:drawing>
          <ns3:inline distT="0" distB="0" distL="0" distR="0">
            <ns3:extent cx="4572000" cy="2828925"/>
            <ns3:effectExtent l="0" t="0" r="0" b="0"/>
            <ns3:docPr id="5" name="图片 5"/>
            <ns3:cNvGraphicFramePr>
              <ns4:graphicFrameLocks noChangeAspect="1"/>
            </ns3:cNvGraphicFramePr>
            <ns4:graphic>
              <ns4:graphicData uri="http://schemas.openxmlformats.org/drawingml/2006/picture">
                <ns5:pic>
                  <ns5:nvPicPr>
                    <ns5:cNvPr id="5" name="图片 5"/>
                    <ns5:cNvPicPr>
                      <ns4:picLocks noChangeAspect="1" noChangeArrowheads="1"/>
                    </ns5:cNvPicPr>
                  </ns5:nvPicPr>
                  <ns5:blipFill>
                    <ns4:blip ns6:embed="rId8"/>
                    <ns4:srcRect/>
                    <ns4:stretch>
                      <ns4:fillRect/>
                    </ns4:stretch>
                  </ns5:blipFill>
                  <ns5:spPr>
                    <ns4:xfrm>
                      <ns4:off x="0" y="0"/>
                      <ns4:ext cx="4572000" cy="2828925"/>
                    </ns4:xfrm>
                    <ns4:prstGeom prst="rect">
                      <ns4:avLst/>
                    </ns4:prstGeom>
                  </ns5:spPr>
                </ns5:pic>
              </ns4:graphicData>
            </ns4:graphic>
          </ns3:inline>
        </w:drawing>
      </w:r>
    </w:p>
    <w:p ns2:paraId="3DF9F37A">
      <w:pPr>
        <w:keepNext w:val="0"/>
        <w:spacing w:before="60" w:after="120"/>
        <w:jc w:val="center"/>
      </w:pPr>
      <w:r>
        <w:rPr>
          <w:rFonts w:ascii="Times New Roman" w:hAnsi="Times New Roman" w:eastAsia="黑体"/>
          <w:sz w:val="18"/>
          <w:szCs w:val="18"/>
        </w:rPr>
        <w:t>图5 HPS与科学本质观融合研究关键词共现图谱</w:t>
      </w:r>
    </w:p>
    <w:p ns2:paraId="5762D5C3">
      <w:pPr>
        <w:spacing w:line="400" w:lineRule="exact"/>
        <w:ind w:firstLine="420"/>
        <w:jc w:val="both"/>
      </w:pPr>
      <w:r>
        <w:rPr>
          <w:rFonts w:ascii="Times New Roman" w:hAnsi="Times New Roman" w:eastAsia="宋体"/>
          <w:sz w:val="21"/>
          <w:szCs w:val="21"/>
        </w:rPr>
        <w:t>根据CiteSpace运行得出的关键词共现数据，我们提取了频次排名前20的关键词。在设定最低出现频次为4次的基础上，综合考量频次与中心性两项核心指标进行排序，最终筛选出排名前12的高频关键词并汇总为表2。</w:t>
      </w:r>
    </w:p>
    <w:p ns2:paraId="68DE63FA">
      <w:pPr>
        <w:spacing w:line="400" w:lineRule="exact"/>
        <w:ind w:firstLine="420"/>
        <w:jc w:val="both"/>
      </w:pPr>
      <w:r>
        <w:rPr>
          <w:rFonts w:ascii="Times New Roman" w:hAnsi="Times New Roman" w:eastAsia="宋体"/>
          <w:sz w:val="21"/>
          <w:szCs w:val="21"/>
        </w:rPr>
        <w:t>由表2数据及图5的可视化呈现可知，“教学设计”（41次，0.23）、“核心素养”（26次，0.17）、“科学本质”（22次，0.31）等关键词不仅出现频次名列前茅，其中心性数值也均维持在较高水平。值得注意的是，“科学本质”这一节点的中心性高达0.31，在整个知识网络中起到了关键的桥梁作用。此外，“教学模式”（12次，0.11）与“教学策略”（10次，0.14）虽然出现频次适中，但也展现出较高的中心性。相对而言，“化学史”（15次，0.07）与“科学素养”（8次，0.08）的中心性偏低。这一数据特征表明，在当前的化学教学实践中，HPS教学理念及科学史素材的融入更多地是在探索具体的教学设计与策略，而如何将其深度转化为提升学生核心素养与科学本质观的内在机制，仍是该领域亟待深化探讨的焦点。</w:t>
      </w:r>
    </w:p>
    <w:p ns2:paraId="32A66C99">
      <w:pPr>
        <w:keepNext/>
        <w:spacing w:before="60" w:after="120"/>
        <w:jc w:val="center"/>
      </w:pPr>
      <w:r>
        <w:rPr>
          <w:rFonts w:ascii="Times New Roman" w:hAnsi="Times New Roman" w:eastAsia="黑体"/>
          <w:sz w:val="18"/>
          <w:szCs w:val="18"/>
        </w:rPr>
        <w:t>表2 关键词的频次及中心性统计表（Top 12）</w:t>
      </w:r>
    </w:p>
    <w:tbl>
      <w:tblPr>
        <w:tblStyle w:val="11"/>
        <w:tblW w:w="78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0"/>
        <w:gridCol w:w="1800"/>
        <w:gridCol w:w="1600"/>
        <w:gridCol w:w="2000"/>
        <w:gridCol w:w="1400"/>
      </w:tblGrid>
      <w:tr ns2:paraId="3FCDE7C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000" w:type="dxa"/>
            <w:tcBorders>
              <w:top w:val="single" w:color="000000" w:sz="12" w:space="0"/>
              <w:left w:val="nil"/>
              <w:bottom w:val="single" w:color="000000" w:sz="6" w:space="0"/>
              <w:right w:val="nil"/>
            </w:tcBorders>
            <w:vAlign w:val="center"/>
          </w:tcPr>
          <w:p ns2:paraId="687EEB88">
            <w:pPr>
              <w:spacing w:before="30" w:after="30"/>
              <w:jc w:val="center"/>
            </w:pPr>
            <w:r>
              <w:rPr>
                <w:rFonts w:ascii="Times New Roman" w:hAnsi="Times New Roman" w:eastAsia="宋体"/>
                <w:b/>
                <w:bCs/>
                <w:sz w:val="18"/>
                <w:szCs w:val="18"/>
              </w:rPr>
              <w:t>排序</w:t>
            </w:r>
          </w:p>
        </w:tc>
        <w:tc>
          <w:tcPr>
            <w:tcW w:w="1800" w:type="dxa"/>
            <w:tcBorders>
              <w:top w:val="single" w:color="000000" w:sz="12" w:space="0"/>
              <w:left w:val="nil"/>
              <w:bottom w:val="single" w:color="000000" w:sz="6" w:space="0"/>
              <w:right w:val="nil"/>
            </w:tcBorders>
            <w:vAlign w:val="center"/>
          </w:tcPr>
          <w:p ns2:paraId="7B0A7A1F">
            <w:pPr>
              <w:spacing w:before="30" w:after="30"/>
              <w:jc w:val="center"/>
            </w:pPr>
            <w:r>
              <w:rPr>
                <w:rFonts w:ascii="Times New Roman" w:hAnsi="Times New Roman" w:eastAsia="宋体"/>
                <w:b/>
                <w:bCs/>
                <w:sz w:val="18"/>
                <w:szCs w:val="18"/>
              </w:rPr>
              <w:t>关键词</w:t>
            </w:r>
          </w:p>
        </w:tc>
        <w:tc>
          <w:tcPr>
            <w:tcW w:w="1600" w:type="dxa"/>
            <w:tcBorders>
              <w:top w:val="single" w:color="000000" w:sz="12" w:space="0"/>
              <w:left w:val="nil"/>
              <w:bottom w:val="single" w:color="000000" w:sz="6" w:space="0"/>
              <w:right w:val="nil"/>
            </w:tcBorders>
            <w:vAlign w:val="center"/>
          </w:tcPr>
          <w:p ns2:paraId="170C241C">
            <w:pPr>
              <w:spacing w:before="30" w:after="30"/>
              <w:jc w:val="center"/>
            </w:pPr>
            <w:r>
              <w:rPr>
                <w:rFonts w:ascii="Times New Roman" w:hAnsi="Times New Roman" w:eastAsia="宋体"/>
                <w:b/>
                <w:bCs/>
                <w:sz w:val="18"/>
                <w:szCs w:val="18"/>
              </w:rPr>
              <w:t>频次(Freq)</w:t>
            </w:r>
          </w:p>
        </w:tc>
        <w:tc>
          <w:tcPr>
            <w:tcW w:w="2000" w:type="dxa"/>
            <w:tcBorders>
              <w:top w:val="single" w:color="000000" w:sz="12" w:space="0"/>
              <w:left w:val="nil"/>
              <w:bottom w:val="single" w:color="000000" w:sz="6" w:space="0"/>
              <w:right w:val="nil"/>
            </w:tcBorders>
            <w:vAlign w:val="center"/>
          </w:tcPr>
          <w:p ns2:paraId="5CA4EB73">
            <w:pPr>
              <w:spacing w:before="30" w:after="30"/>
              <w:jc w:val="center"/>
            </w:pPr>
            <w:r>
              <w:rPr>
                <w:rFonts w:ascii="Times New Roman" w:hAnsi="Times New Roman" w:eastAsia="宋体"/>
                <w:b/>
                <w:bCs/>
                <w:sz w:val="18"/>
                <w:szCs w:val="18"/>
              </w:rPr>
              <w:t>中心性(Centrality)</w:t>
            </w:r>
          </w:p>
        </w:tc>
        <w:tc>
          <w:tcPr>
            <w:tcW w:w="1400" w:type="dxa"/>
            <w:tcBorders>
              <w:top w:val="single" w:color="000000" w:sz="12" w:space="0"/>
              <w:left w:val="nil"/>
              <w:bottom w:val="single" w:color="000000" w:sz="6" w:space="0"/>
              <w:right w:val="nil"/>
            </w:tcBorders>
            <w:vAlign w:val="center"/>
          </w:tcPr>
          <w:p ns2:paraId="3A0C0754">
            <w:pPr>
              <w:spacing w:before="30" w:after="30"/>
              <w:jc w:val="center"/>
            </w:pPr>
            <w:r>
              <w:rPr>
                <w:rFonts w:ascii="Times New Roman" w:hAnsi="Times New Roman" w:eastAsia="宋体"/>
                <w:b/>
                <w:bCs/>
                <w:sz w:val="18"/>
                <w:szCs w:val="18"/>
              </w:rPr>
              <w:t>年份(Year)</w:t>
            </w:r>
          </w:p>
        </w:tc>
      </w:tr>
      <w:tr ns2:paraId="122CC34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nil"/>
              <w:right w:val="nil"/>
            </w:tcBorders>
            <w:vAlign w:val="center"/>
          </w:tcPr>
          <w:p ns2:paraId="50393747">
            <w:pPr>
              <w:spacing w:before="30" w:after="30"/>
              <w:jc w:val="center"/>
            </w:pPr>
            <w:r>
              <w:rPr>
                <w:rFonts w:ascii="Times New Roman" w:hAnsi="Times New Roman" w:eastAsia="宋体"/>
                <w:b w:val="0"/>
                <w:bCs w:val="0"/>
                <w:sz w:val="18"/>
                <w:szCs w:val="18"/>
              </w:rPr>
              <w:t>1</w:t>
            </w:r>
          </w:p>
        </w:tc>
        <w:tc>
          <w:tcPr>
            <w:tcW w:w="1800" w:type="dxa"/>
            <w:tcBorders>
              <w:top w:val="nil"/>
              <w:left w:val="nil"/>
              <w:bottom w:val="nil"/>
              <w:right w:val="nil"/>
            </w:tcBorders>
            <w:vAlign w:val="center"/>
          </w:tcPr>
          <w:p ns2:paraId="7602CB78">
            <w:pPr>
              <w:spacing w:before="30" w:after="30"/>
              <w:jc w:val="center"/>
            </w:pPr>
            <w:r>
              <w:rPr>
                <w:rFonts w:ascii="Times New Roman" w:hAnsi="Times New Roman" w:eastAsia="宋体"/>
                <w:b w:val="0"/>
                <w:bCs w:val="0"/>
                <w:sz w:val="18"/>
                <w:szCs w:val="18"/>
              </w:rPr>
              <w:t>教学设计</w:t>
            </w:r>
          </w:p>
        </w:tc>
        <w:tc>
          <w:tcPr>
            <w:tcW w:w="1600" w:type="dxa"/>
            <w:tcBorders>
              <w:top w:val="nil"/>
              <w:left w:val="nil"/>
              <w:bottom w:val="nil"/>
              <w:right w:val="nil"/>
            </w:tcBorders>
            <w:vAlign w:val="center"/>
          </w:tcPr>
          <w:p ns2:paraId="2444C4E1">
            <w:pPr>
              <w:spacing w:before="30" w:after="30"/>
              <w:jc w:val="center"/>
            </w:pPr>
            <w:r>
              <w:rPr>
                <w:rFonts w:ascii="Times New Roman" w:hAnsi="Times New Roman" w:eastAsia="宋体"/>
                <w:b w:val="0"/>
                <w:bCs w:val="0"/>
                <w:sz w:val="18"/>
                <w:szCs w:val="18"/>
              </w:rPr>
              <w:t>41</w:t>
            </w:r>
          </w:p>
        </w:tc>
        <w:tc>
          <w:tcPr>
            <w:tcW w:w="2000" w:type="dxa"/>
            <w:tcBorders>
              <w:top w:val="nil"/>
              <w:left w:val="nil"/>
              <w:bottom w:val="nil"/>
              <w:right w:val="nil"/>
            </w:tcBorders>
            <w:vAlign w:val="center"/>
          </w:tcPr>
          <w:p ns2:paraId="5A2533AF">
            <w:pPr>
              <w:spacing w:before="30" w:after="30"/>
              <w:jc w:val="center"/>
            </w:pPr>
            <w:r>
              <w:rPr>
                <w:rFonts w:ascii="Times New Roman" w:hAnsi="Times New Roman" w:eastAsia="宋体"/>
                <w:b w:val="0"/>
                <w:bCs w:val="0"/>
                <w:sz w:val="18"/>
                <w:szCs w:val="18"/>
              </w:rPr>
              <w:t>0.23</w:t>
            </w:r>
          </w:p>
        </w:tc>
        <w:tc>
          <w:tcPr>
            <w:tcW w:w="1400" w:type="dxa"/>
            <w:tcBorders>
              <w:top w:val="nil"/>
              <w:left w:val="nil"/>
              <w:bottom w:val="nil"/>
              <w:right w:val="nil"/>
            </w:tcBorders>
            <w:vAlign w:val="center"/>
          </w:tcPr>
          <w:p ns2:paraId="150AEFE0">
            <w:pPr>
              <w:spacing w:before="30" w:after="30"/>
              <w:jc w:val="center"/>
            </w:pPr>
            <w:r>
              <w:rPr>
                <w:rFonts w:ascii="Times New Roman" w:hAnsi="Times New Roman" w:eastAsia="宋体"/>
                <w:b w:val="0"/>
                <w:bCs w:val="0"/>
                <w:sz w:val="18"/>
                <w:szCs w:val="18"/>
              </w:rPr>
              <w:t>2008</w:t>
            </w:r>
          </w:p>
        </w:tc>
      </w:tr>
      <w:tr ns2:paraId="0D77F9A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nil"/>
              <w:right w:val="nil"/>
            </w:tcBorders>
            <w:vAlign w:val="center"/>
          </w:tcPr>
          <w:p ns2:paraId="27C28FB7">
            <w:pPr>
              <w:spacing w:before="30" w:after="30"/>
              <w:jc w:val="center"/>
            </w:pPr>
            <w:r>
              <w:rPr>
                <w:rFonts w:ascii="Times New Roman" w:hAnsi="Times New Roman" w:eastAsia="宋体"/>
                <w:b w:val="0"/>
                <w:bCs w:val="0"/>
                <w:sz w:val="18"/>
                <w:szCs w:val="18"/>
              </w:rPr>
              <w:t>2</w:t>
            </w:r>
          </w:p>
        </w:tc>
        <w:tc>
          <w:tcPr>
            <w:tcW w:w="1800" w:type="dxa"/>
            <w:tcBorders>
              <w:top w:val="nil"/>
              <w:left w:val="nil"/>
              <w:bottom w:val="nil"/>
              <w:right w:val="nil"/>
            </w:tcBorders>
            <w:vAlign w:val="center"/>
          </w:tcPr>
          <w:p ns2:paraId="4FABFFD9">
            <w:pPr>
              <w:spacing w:before="30" w:after="30"/>
              <w:jc w:val="center"/>
            </w:pPr>
            <w:r>
              <w:rPr>
                <w:rFonts w:ascii="Times New Roman" w:hAnsi="Times New Roman" w:eastAsia="宋体"/>
                <w:b w:val="0"/>
                <w:bCs w:val="0"/>
                <w:sz w:val="18"/>
                <w:szCs w:val="18"/>
              </w:rPr>
              <w:t>核心素养</w:t>
            </w:r>
          </w:p>
        </w:tc>
        <w:tc>
          <w:tcPr>
            <w:tcW w:w="1600" w:type="dxa"/>
            <w:tcBorders>
              <w:top w:val="nil"/>
              <w:left w:val="nil"/>
              <w:bottom w:val="nil"/>
              <w:right w:val="nil"/>
            </w:tcBorders>
            <w:vAlign w:val="center"/>
          </w:tcPr>
          <w:p ns2:paraId="54288A65">
            <w:pPr>
              <w:spacing w:before="30" w:after="30"/>
              <w:jc w:val="center"/>
            </w:pPr>
            <w:r>
              <w:rPr>
                <w:rFonts w:ascii="Times New Roman" w:hAnsi="Times New Roman" w:eastAsia="宋体"/>
                <w:b w:val="0"/>
                <w:bCs w:val="0"/>
                <w:sz w:val="18"/>
                <w:szCs w:val="18"/>
              </w:rPr>
              <w:t>26</w:t>
            </w:r>
          </w:p>
        </w:tc>
        <w:tc>
          <w:tcPr>
            <w:tcW w:w="2000" w:type="dxa"/>
            <w:tcBorders>
              <w:top w:val="nil"/>
              <w:left w:val="nil"/>
              <w:bottom w:val="nil"/>
              <w:right w:val="nil"/>
            </w:tcBorders>
            <w:vAlign w:val="center"/>
          </w:tcPr>
          <w:p ns2:paraId="2B3254DC">
            <w:pPr>
              <w:spacing w:before="30" w:after="30"/>
              <w:jc w:val="center"/>
            </w:pPr>
            <w:r>
              <w:rPr>
                <w:rFonts w:ascii="Times New Roman" w:hAnsi="Times New Roman" w:eastAsia="宋体"/>
                <w:b w:val="0"/>
                <w:bCs w:val="0"/>
                <w:sz w:val="18"/>
                <w:szCs w:val="18"/>
              </w:rPr>
              <w:t>0.17</w:t>
            </w:r>
          </w:p>
        </w:tc>
        <w:tc>
          <w:tcPr>
            <w:tcW w:w="1400" w:type="dxa"/>
            <w:tcBorders>
              <w:top w:val="nil"/>
              <w:left w:val="nil"/>
              <w:bottom w:val="nil"/>
              <w:right w:val="nil"/>
            </w:tcBorders>
            <w:vAlign w:val="center"/>
          </w:tcPr>
          <w:p ns2:paraId="4B111D16">
            <w:pPr>
              <w:spacing w:before="30" w:after="30"/>
              <w:jc w:val="center"/>
            </w:pPr>
            <w:r>
              <w:rPr>
                <w:rFonts w:ascii="Times New Roman" w:hAnsi="Times New Roman" w:eastAsia="宋体"/>
                <w:b w:val="0"/>
                <w:bCs w:val="0"/>
                <w:sz w:val="18"/>
                <w:szCs w:val="18"/>
              </w:rPr>
              <w:t>2008</w:t>
            </w:r>
          </w:p>
        </w:tc>
      </w:tr>
      <w:tr ns2:paraId="262FC22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nil"/>
              <w:right w:val="nil"/>
            </w:tcBorders>
            <w:vAlign w:val="center"/>
          </w:tcPr>
          <w:p ns2:paraId="2874FE76">
            <w:pPr>
              <w:spacing w:before="30" w:after="30"/>
              <w:jc w:val="center"/>
            </w:pPr>
            <w:r>
              <w:rPr>
                <w:rFonts w:ascii="Times New Roman" w:hAnsi="Times New Roman" w:eastAsia="宋体"/>
                <w:b w:val="0"/>
                <w:bCs w:val="0"/>
                <w:sz w:val="18"/>
                <w:szCs w:val="18"/>
              </w:rPr>
              <w:t>3</w:t>
            </w:r>
          </w:p>
        </w:tc>
        <w:tc>
          <w:tcPr>
            <w:tcW w:w="1800" w:type="dxa"/>
            <w:tcBorders>
              <w:top w:val="nil"/>
              <w:left w:val="nil"/>
              <w:bottom w:val="nil"/>
              <w:right w:val="nil"/>
            </w:tcBorders>
            <w:vAlign w:val="center"/>
          </w:tcPr>
          <w:p ns2:paraId="2EAD1F01">
            <w:pPr>
              <w:spacing w:before="30" w:after="30"/>
              <w:jc w:val="center"/>
            </w:pPr>
            <w:r>
              <w:rPr>
                <w:rFonts w:ascii="Times New Roman" w:hAnsi="Times New Roman" w:eastAsia="宋体"/>
                <w:b w:val="0"/>
                <w:bCs w:val="0"/>
                <w:sz w:val="18"/>
                <w:szCs w:val="18"/>
              </w:rPr>
              <w:t>科学本质</w:t>
            </w:r>
          </w:p>
        </w:tc>
        <w:tc>
          <w:tcPr>
            <w:tcW w:w="1600" w:type="dxa"/>
            <w:tcBorders>
              <w:top w:val="nil"/>
              <w:left w:val="nil"/>
              <w:bottom w:val="nil"/>
              <w:right w:val="nil"/>
            </w:tcBorders>
            <w:vAlign w:val="center"/>
          </w:tcPr>
          <w:p ns2:paraId="202C9E68">
            <w:pPr>
              <w:spacing w:before="30" w:after="30"/>
              <w:jc w:val="center"/>
            </w:pPr>
            <w:r>
              <w:rPr>
                <w:rFonts w:ascii="Times New Roman" w:hAnsi="Times New Roman" w:eastAsia="宋体"/>
                <w:b w:val="0"/>
                <w:bCs w:val="0"/>
                <w:sz w:val="18"/>
                <w:szCs w:val="18"/>
              </w:rPr>
              <w:t>22</w:t>
            </w:r>
          </w:p>
        </w:tc>
        <w:tc>
          <w:tcPr>
            <w:tcW w:w="2000" w:type="dxa"/>
            <w:tcBorders>
              <w:top w:val="nil"/>
              <w:left w:val="nil"/>
              <w:bottom w:val="nil"/>
              <w:right w:val="nil"/>
            </w:tcBorders>
            <w:vAlign w:val="center"/>
          </w:tcPr>
          <w:p ns2:paraId="7E787738">
            <w:pPr>
              <w:spacing w:before="30" w:after="30"/>
              <w:jc w:val="center"/>
            </w:pPr>
            <w:r>
              <w:rPr>
                <w:rFonts w:ascii="Times New Roman" w:hAnsi="Times New Roman" w:eastAsia="宋体"/>
                <w:b w:val="0"/>
                <w:bCs w:val="0"/>
                <w:sz w:val="18"/>
                <w:szCs w:val="18"/>
              </w:rPr>
              <w:t>0.31</w:t>
            </w:r>
          </w:p>
        </w:tc>
        <w:tc>
          <w:tcPr>
            <w:tcW w:w="1400" w:type="dxa"/>
            <w:tcBorders>
              <w:top w:val="nil"/>
              <w:left w:val="nil"/>
              <w:bottom w:val="nil"/>
              <w:right w:val="nil"/>
            </w:tcBorders>
            <w:vAlign w:val="center"/>
          </w:tcPr>
          <w:p ns2:paraId="20735EF5">
            <w:pPr>
              <w:spacing w:before="30" w:after="30"/>
              <w:jc w:val="center"/>
            </w:pPr>
            <w:r>
              <w:rPr>
                <w:rFonts w:ascii="Times New Roman" w:hAnsi="Times New Roman" w:eastAsia="宋体"/>
                <w:b w:val="0"/>
                <w:bCs w:val="0"/>
                <w:sz w:val="18"/>
                <w:szCs w:val="18"/>
              </w:rPr>
              <w:t>2018</w:t>
            </w:r>
          </w:p>
        </w:tc>
      </w:tr>
      <w:tr ns2:paraId="0A2DCF6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nil"/>
              <w:right w:val="nil"/>
            </w:tcBorders>
            <w:vAlign w:val="center"/>
          </w:tcPr>
          <w:p ns2:paraId="0B6BE752">
            <w:pPr>
              <w:spacing w:before="30" w:after="30"/>
              <w:jc w:val="center"/>
            </w:pPr>
            <w:r>
              <w:rPr>
                <w:rFonts w:ascii="Times New Roman" w:hAnsi="Times New Roman" w:eastAsia="宋体"/>
                <w:b w:val="0"/>
                <w:bCs w:val="0"/>
                <w:sz w:val="18"/>
                <w:szCs w:val="18"/>
              </w:rPr>
              <w:t>4</w:t>
            </w:r>
          </w:p>
        </w:tc>
        <w:tc>
          <w:tcPr>
            <w:tcW w:w="1800" w:type="dxa"/>
            <w:tcBorders>
              <w:top w:val="nil"/>
              <w:left w:val="nil"/>
              <w:bottom w:val="nil"/>
              <w:right w:val="nil"/>
            </w:tcBorders>
            <w:vAlign w:val="center"/>
          </w:tcPr>
          <w:p ns2:paraId="6A2E70CC">
            <w:pPr>
              <w:spacing w:before="30" w:after="30"/>
              <w:jc w:val="center"/>
            </w:pPr>
            <w:r>
              <w:rPr>
                <w:rFonts w:ascii="Times New Roman" w:hAnsi="Times New Roman" w:eastAsia="宋体"/>
                <w:b w:val="0"/>
                <w:bCs w:val="0"/>
                <w:sz w:val="18"/>
                <w:szCs w:val="18"/>
              </w:rPr>
              <w:t>教学实践</w:t>
            </w:r>
          </w:p>
        </w:tc>
        <w:tc>
          <w:tcPr>
            <w:tcW w:w="1600" w:type="dxa"/>
            <w:tcBorders>
              <w:top w:val="nil"/>
              <w:left w:val="nil"/>
              <w:bottom w:val="nil"/>
              <w:right w:val="nil"/>
            </w:tcBorders>
            <w:vAlign w:val="center"/>
          </w:tcPr>
          <w:p ns2:paraId="5FAFD150">
            <w:pPr>
              <w:spacing w:before="30" w:after="30"/>
              <w:jc w:val="center"/>
            </w:pPr>
            <w:r>
              <w:rPr>
                <w:rFonts w:ascii="Times New Roman" w:hAnsi="Times New Roman" w:eastAsia="宋体"/>
                <w:b w:val="0"/>
                <w:bCs w:val="0"/>
                <w:sz w:val="18"/>
                <w:szCs w:val="18"/>
              </w:rPr>
              <w:t>19</w:t>
            </w:r>
          </w:p>
        </w:tc>
        <w:tc>
          <w:tcPr>
            <w:tcW w:w="2000" w:type="dxa"/>
            <w:tcBorders>
              <w:top w:val="nil"/>
              <w:left w:val="nil"/>
              <w:bottom w:val="nil"/>
              <w:right w:val="nil"/>
            </w:tcBorders>
            <w:vAlign w:val="center"/>
          </w:tcPr>
          <w:p ns2:paraId="763C03D3">
            <w:pPr>
              <w:spacing w:before="30" w:after="30"/>
              <w:jc w:val="center"/>
            </w:pPr>
            <w:r>
              <w:rPr>
                <w:rFonts w:ascii="Times New Roman" w:hAnsi="Times New Roman" w:eastAsia="宋体"/>
                <w:b w:val="0"/>
                <w:bCs w:val="0"/>
                <w:sz w:val="18"/>
                <w:szCs w:val="18"/>
              </w:rPr>
              <w:t>0.13</w:t>
            </w:r>
          </w:p>
        </w:tc>
        <w:tc>
          <w:tcPr>
            <w:tcW w:w="1400" w:type="dxa"/>
            <w:tcBorders>
              <w:top w:val="nil"/>
              <w:left w:val="nil"/>
              <w:bottom w:val="nil"/>
              <w:right w:val="nil"/>
            </w:tcBorders>
            <w:vAlign w:val="center"/>
          </w:tcPr>
          <w:p ns2:paraId="0AE540B0">
            <w:pPr>
              <w:spacing w:before="30" w:after="30"/>
              <w:jc w:val="center"/>
            </w:pPr>
            <w:r>
              <w:rPr>
                <w:rFonts w:ascii="Times New Roman" w:hAnsi="Times New Roman" w:eastAsia="宋体"/>
                <w:b w:val="0"/>
                <w:bCs w:val="0"/>
                <w:sz w:val="18"/>
                <w:szCs w:val="18"/>
              </w:rPr>
              <w:t>2012</w:t>
            </w:r>
          </w:p>
        </w:tc>
      </w:tr>
      <w:tr ns2:paraId="45FC5B5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nil"/>
              <w:right w:val="nil"/>
            </w:tcBorders>
            <w:vAlign w:val="center"/>
          </w:tcPr>
          <w:p ns2:paraId="1D1F4DBD">
            <w:pPr>
              <w:spacing w:before="30" w:after="30"/>
              <w:jc w:val="center"/>
            </w:pPr>
            <w:r>
              <w:rPr>
                <w:rFonts w:ascii="Times New Roman" w:hAnsi="Times New Roman" w:eastAsia="宋体"/>
                <w:b w:val="0"/>
                <w:bCs w:val="0"/>
                <w:sz w:val="18"/>
                <w:szCs w:val="18"/>
              </w:rPr>
              <w:t>5</w:t>
            </w:r>
          </w:p>
        </w:tc>
        <w:tc>
          <w:tcPr>
            <w:tcW w:w="1800" w:type="dxa"/>
            <w:tcBorders>
              <w:top w:val="nil"/>
              <w:left w:val="nil"/>
              <w:bottom w:val="nil"/>
              <w:right w:val="nil"/>
            </w:tcBorders>
            <w:vAlign w:val="center"/>
          </w:tcPr>
          <w:p ns2:paraId="102437E5">
            <w:pPr>
              <w:spacing w:before="30" w:after="30"/>
              <w:jc w:val="center"/>
            </w:pPr>
            <w:r>
              <w:rPr>
                <w:rFonts w:ascii="Times New Roman" w:hAnsi="Times New Roman" w:eastAsia="宋体"/>
                <w:b w:val="0"/>
                <w:bCs w:val="0"/>
                <w:sz w:val="18"/>
                <w:szCs w:val="18"/>
              </w:rPr>
              <w:t>化学史</w:t>
            </w:r>
          </w:p>
        </w:tc>
        <w:tc>
          <w:tcPr>
            <w:tcW w:w="1600" w:type="dxa"/>
            <w:tcBorders>
              <w:top w:val="nil"/>
              <w:left w:val="nil"/>
              <w:bottom w:val="nil"/>
              <w:right w:val="nil"/>
            </w:tcBorders>
            <w:vAlign w:val="center"/>
          </w:tcPr>
          <w:p ns2:paraId="75C38D3B">
            <w:pPr>
              <w:spacing w:before="30" w:after="30"/>
              <w:jc w:val="center"/>
            </w:pPr>
            <w:r>
              <w:rPr>
                <w:rFonts w:ascii="Times New Roman" w:hAnsi="Times New Roman" w:eastAsia="宋体"/>
                <w:b w:val="0"/>
                <w:bCs w:val="0"/>
                <w:sz w:val="18"/>
                <w:szCs w:val="18"/>
              </w:rPr>
              <w:t>15</w:t>
            </w:r>
          </w:p>
        </w:tc>
        <w:tc>
          <w:tcPr>
            <w:tcW w:w="2000" w:type="dxa"/>
            <w:tcBorders>
              <w:top w:val="nil"/>
              <w:left w:val="nil"/>
              <w:bottom w:val="nil"/>
              <w:right w:val="nil"/>
            </w:tcBorders>
            <w:vAlign w:val="center"/>
          </w:tcPr>
          <w:p ns2:paraId="4B347304">
            <w:pPr>
              <w:spacing w:before="30" w:after="30"/>
              <w:jc w:val="center"/>
            </w:pPr>
            <w:r>
              <w:rPr>
                <w:rFonts w:ascii="Times New Roman" w:hAnsi="Times New Roman" w:eastAsia="宋体"/>
                <w:b w:val="0"/>
                <w:bCs w:val="0"/>
                <w:sz w:val="18"/>
                <w:szCs w:val="18"/>
              </w:rPr>
              <w:t>0.07</w:t>
            </w:r>
          </w:p>
        </w:tc>
        <w:tc>
          <w:tcPr>
            <w:tcW w:w="1400" w:type="dxa"/>
            <w:tcBorders>
              <w:top w:val="nil"/>
              <w:left w:val="nil"/>
              <w:bottom w:val="nil"/>
              <w:right w:val="nil"/>
            </w:tcBorders>
            <w:vAlign w:val="center"/>
          </w:tcPr>
          <w:p ns2:paraId="5CA5714B">
            <w:pPr>
              <w:spacing w:before="30" w:after="30"/>
              <w:jc w:val="center"/>
            </w:pPr>
            <w:r>
              <w:rPr>
                <w:rFonts w:ascii="Times New Roman" w:hAnsi="Times New Roman" w:eastAsia="宋体"/>
                <w:b w:val="0"/>
                <w:bCs w:val="0"/>
                <w:sz w:val="18"/>
                <w:szCs w:val="18"/>
              </w:rPr>
              <w:t>2021</w:t>
            </w:r>
          </w:p>
        </w:tc>
      </w:tr>
      <w:tr ns2:paraId="17C6E34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nil"/>
              <w:right w:val="nil"/>
            </w:tcBorders>
            <w:vAlign w:val="center"/>
          </w:tcPr>
          <w:p ns2:paraId="5C916BEB">
            <w:pPr>
              <w:spacing w:before="30" w:after="30"/>
              <w:jc w:val="center"/>
            </w:pPr>
            <w:r>
              <w:rPr>
                <w:rFonts w:ascii="Times New Roman" w:hAnsi="Times New Roman" w:eastAsia="宋体"/>
                <w:b w:val="0"/>
                <w:bCs w:val="0"/>
                <w:sz w:val="18"/>
                <w:szCs w:val="18"/>
              </w:rPr>
              <w:t>6</w:t>
            </w:r>
          </w:p>
        </w:tc>
        <w:tc>
          <w:tcPr>
            <w:tcW w:w="1800" w:type="dxa"/>
            <w:tcBorders>
              <w:top w:val="nil"/>
              <w:left w:val="nil"/>
              <w:bottom w:val="nil"/>
              <w:right w:val="nil"/>
            </w:tcBorders>
            <w:vAlign w:val="center"/>
          </w:tcPr>
          <w:p ns2:paraId="05D63423">
            <w:pPr>
              <w:spacing w:before="30" w:after="30"/>
              <w:jc w:val="center"/>
            </w:pPr>
            <w:r>
              <w:rPr>
                <w:rFonts w:ascii="Times New Roman" w:hAnsi="Times New Roman" w:eastAsia="宋体"/>
                <w:b w:val="0"/>
                <w:bCs w:val="0"/>
                <w:sz w:val="18"/>
                <w:szCs w:val="18"/>
              </w:rPr>
              <w:t>教学模式</w:t>
            </w:r>
          </w:p>
        </w:tc>
        <w:tc>
          <w:tcPr>
            <w:tcW w:w="1600" w:type="dxa"/>
            <w:tcBorders>
              <w:top w:val="nil"/>
              <w:left w:val="nil"/>
              <w:bottom w:val="nil"/>
              <w:right w:val="nil"/>
            </w:tcBorders>
            <w:vAlign w:val="center"/>
          </w:tcPr>
          <w:p ns2:paraId="187306EE">
            <w:pPr>
              <w:spacing w:before="30" w:after="30"/>
              <w:jc w:val="center"/>
            </w:pPr>
            <w:r>
              <w:rPr>
                <w:rFonts w:ascii="Times New Roman" w:hAnsi="Times New Roman" w:eastAsia="宋体"/>
                <w:b w:val="0"/>
                <w:bCs w:val="0"/>
                <w:sz w:val="18"/>
                <w:szCs w:val="18"/>
              </w:rPr>
              <w:t>12</w:t>
            </w:r>
          </w:p>
        </w:tc>
        <w:tc>
          <w:tcPr>
            <w:tcW w:w="2000" w:type="dxa"/>
            <w:tcBorders>
              <w:top w:val="nil"/>
              <w:left w:val="nil"/>
              <w:bottom w:val="nil"/>
              <w:right w:val="nil"/>
            </w:tcBorders>
            <w:vAlign w:val="center"/>
          </w:tcPr>
          <w:p ns2:paraId="57908C0E">
            <w:pPr>
              <w:spacing w:before="30" w:after="30"/>
              <w:jc w:val="center"/>
            </w:pPr>
            <w:r>
              <w:rPr>
                <w:rFonts w:ascii="Times New Roman" w:hAnsi="Times New Roman" w:eastAsia="宋体"/>
                <w:b w:val="0"/>
                <w:bCs w:val="0"/>
                <w:sz w:val="18"/>
                <w:szCs w:val="18"/>
              </w:rPr>
              <w:t>0.11</w:t>
            </w:r>
          </w:p>
        </w:tc>
        <w:tc>
          <w:tcPr>
            <w:tcW w:w="1400" w:type="dxa"/>
            <w:tcBorders>
              <w:top w:val="nil"/>
              <w:left w:val="nil"/>
              <w:bottom w:val="nil"/>
              <w:right w:val="nil"/>
            </w:tcBorders>
            <w:vAlign w:val="center"/>
          </w:tcPr>
          <w:p ns2:paraId="574D5D15">
            <w:pPr>
              <w:spacing w:before="30" w:after="30"/>
              <w:jc w:val="center"/>
            </w:pPr>
            <w:r>
              <w:rPr>
                <w:rFonts w:ascii="Times New Roman" w:hAnsi="Times New Roman" w:eastAsia="宋体"/>
                <w:b w:val="0"/>
                <w:bCs w:val="0"/>
                <w:sz w:val="18"/>
                <w:szCs w:val="18"/>
              </w:rPr>
              <w:t>2022</w:t>
            </w:r>
          </w:p>
        </w:tc>
      </w:tr>
      <w:tr ns2:paraId="6307B4B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nil"/>
              <w:right w:val="nil"/>
            </w:tcBorders>
            <w:vAlign w:val="center"/>
          </w:tcPr>
          <w:p ns2:paraId="5FA2B018">
            <w:pPr>
              <w:spacing w:before="30" w:after="30"/>
              <w:jc w:val="center"/>
            </w:pPr>
            <w:r>
              <w:rPr>
                <w:rFonts w:ascii="Times New Roman" w:hAnsi="Times New Roman" w:eastAsia="宋体"/>
                <w:b w:val="0"/>
                <w:bCs w:val="0"/>
                <w:sz w:val="18"/>
                <w:szCs w:val="18"/>
              </w:rPr>
              <w:t>7</w:t>
            </w:r>
          </w:p>
        </w:tc>
        <w:tc>
          <w:tcPr>
            <w:tcW w:w="1800" w:type="dxa"/>
            <w:tcBorders>
              <w:top w:val="nil"/>
              <w:left w:val="nil"/>
              <w:bottom w:val="nil"/>
              <w:right w:val="nil"/>
            </w:tcBorders>
            <w:vAlign w:val="center"/>
          </w:tcPr>
          <w:p ns2:paraId="0ED63265">
            <w:pPr>
              <w:spacing w:before="30" w:after="30"/>
              <w:jc w:val="center"/>
            </w:pPr>
            <w:r>
              <w:rPr>
                <w:rFonts w:ascii="Times New Roman" w:hAnsi="Times New Roman" w:eastAsia="宋体"/>
                <w:b w:val="0"/>
                <w:bCs w:val="0"/>
                <w:sz w:val="18"/>
                <w:szCs w:val="18"/>
              </w:rPr>
              <w:t>教学策略</w:t>
            </w:r>
          </w:p>
        </w:tc>
        <w:tc>
          <w:tcPr>
            <w:tcW w:w="1600" w:type="dxa"/>
            <w:tcBorders>
              <w:top w:val="nil"/>
              <w:left w:val="nil"/>
              <w:bottom w:val="nil"/>
              <w:right w:val="nil"/>
            </w:tcBorders>
            <w:vAlign w:val="center"/>
          </w:tcPr>
          <w:p ns2:paraId="0F594EBA">
            <w:pPr>
              <w:spacing w:before="30" w:after="30"/>
              <w:jc w:val="center"/>
            </w:pPr>
            <w:r>
              <w:rPr>
                <w:rFonts w:ascii="Times New Roman" w:hAnsi="Times New Roman" w:eastAsia="宋体"/>
                <w:b w:val="0"/>
                <w:bCs w:val="0"/>
                <w:sz w:val="18"/>
                <w:szCs w:val="18"/>
              </w:rPr>
              <w:t>10</w:t>
            </w:r>
          </w:p>
        </w:tc>
        <w:tc>
          <w:tcPr>
            <w:tcW w:w="2000" w:type="dxa"/>
            <w:tcBorders>
              <w:top w:val="nil"/>
              <w:left w:val="nil"/>
              <w:bottom w:val="nil"/>
              <w:right w:val="nil"/>
            </w:tcBorders>
            <w:vAlign w:val="center"/>
          </w:tcPr>
          <w:p ns2:paraId="0753638C">
            <w:pPr>
              <w:spacing w:before="30" w:after="30"/>
              <w:jc w:val="center"/>
            </w:pPr>
            <w:r>
              <w:rPr>
                <w:rFonts w:ascii="Times New Roman" w:hAnsi="Times New Roman" w:eastAsia="宋体"/>
                <w:b w:val="0"/>
                <w:bCs w:val="0"/>
                <w:sz w:val="18"/>
                <w:szCs w:val="18"/>
              </w:rPr>
              <w:t>0.14</w:t>
            </w:r>
          </w:p>
        </w:tc>
        <w:tc>
          <w:tcPr>
            <w:tcW w:w="1400" w:type="dxa"/>
            <w:tcBorders>
              <w:top w:val="nil"/>
              <w:left w:val="nil"/>
              <w:bottom w:val="nil"/>
              <w:right w:val="nil"/>
            </w:tcBorders>
            <w:vAlign w:val="center"/>
          </w:tcPr>
          <w:p ns2:paraId="436324FA">
            <w:pPr>
              <w:spacing w:before="30" w:after="30"/>
              <w:jc w:val="center"/>
            </w:pPr>
            <w:r>
              <w:rPr>
                <w:rFonts w:ascii="Times New Roman" w:hAnsi="Times New Roman" w:eastAsia="宋体"/>
                <w:b w:val="0"/>
                <w:bCs w:val="0"/>
                <w:sz w:val="18"/>
                <w:szCs w:val="18"/>
              </w:rPr>
              <w:t>2019</w:t>
            </w:r>
          </w:p>
        </w:tc>
      </w:tr>
      <w:tr ns2:paraId="50BC1F5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nil"/>
              <w:right w:val="nil"/>
            </w:tcBorders>
            <w:vAlign w:val="center"/>
          </w:tcPr>
          <w:p ns2:paraId="0592BC7C">
            <w:pPr>
              <w:spacing w:before="30" w:after="30"/>
              <w:jc w:val="center"/>
            </w:pPr>
            <w:r>
              <w:rPr>
                <w:rFonts w:ascii="Times New Roman" w:hAnsi="Times New Roman" w:eastAsia="宋体"/>
                <w:b w:val="0"/>
                <w:bCs w:val="0"/>
                <w:sz w:val="18"/>
                <w:szCs w:val="18"/>
              </w:rPr>
              <w:t>8</w:t>
            </w:r>
          </w:p>
        </w:tc>
        <w:tc>
          <w:tcPr>
            <w:tcW w:w="1800" w:type="dxa"/>
            <w:tcBorders>
              <w:top w:val="nil"/>
              <w:left w:val="nil"/>
              <w:bottom w:val="nil"/>
              <w:right w:val="nil"/>
            </w:tcBorders>
            <w:vAlign w:val="center"/>
          </w:tcPr>
          <w:p ns2:paraId="6BABA17B">
            <w:pPr>
              <w:spacing w:before="30" w:after="30"/>
              <w:jc w:val="center"/>
            </w:pPr>
            <w:r>
              <w:rPr>
                <w:rFonts w:ascii="Times New Roman" w:hAnsi="Times New Roman" w:eastAsia="宋体"/>
                <w:b w:val="0"/>
                <w:bCs w:val="0"/>
                <w:sz w:val="18"/>
                <w:szCs w:val="18"/>
              </w:rPr>
              <w:t>科学史</w:t>
            </w:r>
          </w:p>
        </w:tc>
        <w:tc>
          <w:tcPr>
            <w:tcW w:w="1600" w:type="dxa"/>
            <w:tcBorders>
              <w:top w:val="nil"/>
              <w:left w:val="nil"/>
              <w:bottom w:val="nil"/>
              <w:right w:val="nil"/>
            </w:tcBorders>
            <w:vAlign w:val="center"/>
          </w:tcPr>
          <w:p ns2:paraId="1E52B70E">
            <w:pPr>
              <w:spacing w:before="30" w:after="30"/>
              <w:jc w:val="center"/>
            </w:pPr>
            <w:r>
              <w:rPr>
                <w:rFonts w:ascii="Times New Roman" w:hAnsi="Times New Roman" w:eastAsia="宋体"/>
                <w:b w:val="0"/>
                <w:bCs w:val="0"/>
                <w:sz w:val="18"/>
                <w:szCs w:val="18"/>
              </w:rPr>
              <w:t>10</w:t>
            </w:r>
          </w:p>
        </w:tc>
        <w:tc>
          <w:tcPr>
            <w:tcW w:w="2000" w:type="dxa"/>
            <w:tcBorders>
              <w:top w:val="nil"/>
              <w:left w:val="nil"/>
              <w:bottom w:val="nil"/>
              <w:right w:val="nil"/>
            </w:tcBorders>
            <w:vAlign w:val="center"/>
          </w:tcPr>
          <w:p ns2:paraId="6232623B">
            <w:pPr>
              <w:spacing w:before="30" w:after="30"/>
              <w:jc w:val="center"/>
            </w:pPr>
            <w:r>
              <w:rPr>
                <w:rFonts w:ascii="Times New Roman" w:hAnsi="Times New Roman" w:eastAsia="宋体"/>
                <w:b w:val="0"/>
                <w:bCs w:val="0"/>
                <w:sz w:val="18"/>
                <w:szCs w:val="18"/>
              </w:rPr>
              <w:t>0.05</w:t>
            </w:r>
          </w:p>
        </w:tc>
        <w:tc>
          <w:tcPr>
            <w:tcW w:w="1400" w:type="dxa"/>
            <w:tcBorders>
              <w:top w:val="nil"/>
              <w:left w:val="nil"/>
              <w:bottom w:val="nil"/>
              <w:right w:val="nil"/>
            </w:tcBorders>
            <w:vAlign w:val="center"/>
          </w:tcPr>
          <w:p ns2:paraId="0BA5DFCB">
            <w:pPr>
              <w:spacing w:before="30" w:after="30"/>
              <w:jc w:val="center"/>
            </w:pPr>
            <w:r>
              <w:rPr>
                <w:rFonts w:ascii="Times New Roman" w:hAnsi="Times New Roman" w:eastAsia="宋体"/>
                <w:b w:val="0"/>
                <w:bCs w:val="0"/>
                <w:sz w:val="18"/>
                <w:szCs w:val="18"/>
              </w:rPr>
              <w:t>2020</w:t>
            </w:r>
          </w:p>
        </w:tc>
      </w:tr>
      <w:tr ns2:paraId="080D316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nil"/>
              <w:right w:val="nil"/>
            </w:tcBorders>
            <w:vAlign w:val="center"/>
          </w:tcPr>
          <w:p ns2:paraId="27DC20FE">
            <w:pPr>
              <w:spacing w:before="30" w:after="30"/>
              <w:jc w:val="center"/>
            </w:pPr>
            <w:r>
              <w:rPr>
                <w:rFonts w:ascii="Times New Roman" w:hAnsi="Times New Roman" w:eastAsia="宋体"/>
                <w:b w:val="0"/>
                <w:bCs w:val="0"/>
                <w:sz w:val="18"/>
                <w:szCs w:val="18"/>
              </w:rPr>
              <w:t>9</w:t>
            </w:r>
          </w:p>
        </w:tc>
        <w:tc>
          <w:tcPr>
            <w:tcW w:w="1800" w:type="dxa"/>
            <w:tcBorders>
              <w:top w:val="nil"/>
              <w:left w:val="nil"/>
              <w:bottom w:val="nil"/>
              <w:right w:val="nil"/>
            </w:tcBorders>
            <w:vAlign w:val="center"/>
          </w:tcPr>
          <w:p ns2:paraId="2E2BAE96">
            <w:pPr>
              <w:spacing w:before="30" w:after="30"/>
              <w:jc w:val="center"/>
            </w:pPr>
            <w:r>
              <w:rPr>
                <w:rFonts w:ascii="Times New Roman" w:hAnsi="Times New Roman" w:eastAsia="宋体"/>
                <w:b w:val="0"/>
                <w:bCs w:val="0"/>
                <w:sz w:val="18"/>
                <w:szCs w:val="18"/>
              </w:rPr>
              <w:t>课程思政</w:t>
            </w:r>
          </w:p>
        </w:tc>
        <w:tc>
          <w:tcPr>
            <w:tcW w:w="1600" w:type="dxa"/>
            <w:tcBorders>
              <w:top w:val="nil"/>
              <w:left w:val="nil"/>
              <w:bottom w:val="nil"/>
              <w:right w:val="nil"/>
            </w:tcBorders>
            <w:vAlign w:val="center"/>
          </w:tcPr>
          <w:p ns2:paraId="77399FFA">
            <w:pPr>
              <w:spacing w:before="30" w:after="30"/>
              <w:jc w:val="center"/>
            </w:pPr>
            <w:r>
              <w:rPr>
                <w:rFonts w:ascii="Times New Roman" w:hAnsi="Times New Roman" w:eastAsia="宋体"/>
                <w:b w:val="0"/>
                <w:bCs w:val="0"/>
                <w:sz w:val="18"/>
                <w:szCs w:val="18"/>
              </w:rPr>
              <w:t>8</w:t>
            </w:r>
          </w:p>
        </w:tc>
        <w:tc>
          <w:tcPr>
            <w:tcW w:w="2000" w:type="dxa"/>
            <w:tcBorders>
              <w:top w:val="nil"/>
              <w:left w:val="nil"/>
              <w:bottom w:val="nil"/>
              <w:right w:val="nil"/>
            </w:tcBorders>
            <w:vAlign w:val="center"/>
          </w:tcPr>
          <w:p ns2:paraId="3E506294">
            <w:pPr>
              <w:spacing w:before="30" w:after="30"/>
              <w:jc w:val="center"/>
            </w:pPr>
            <w:r>
              <w:rPr>
                <w:rFonts w:ascii="Times New Roman" w:hAnsi="Times New Roman" w:eastAsia="宋体"/>
                <w:b w:val="0"/>
                <w:bCs w:val="0"/>
                <w:sz w:val="18"/>
                <w:szCs w:val="18"/>
              </w:rPr>
              <w:t>0.07</w:t>
            </w:r>
          </w:p>
        </w:tc>
        <w:tc>
          <w:tcPr>
            <w:tcW w:w="1400" w:type="dxa"/>
            <w:tcBorders>
              <w:top w:val="nil"/>
              <w:left w:val="nil"/>
              <w:bottom w:val="nil"/>
              <w:right w:val="nil"/>
            </w:tcBorders>
            <w:vAlign w:val="center"/>
          </w:tcPr>
          <w:p ns2:paraId="44707E5E">
            <w:pPr>
              <w:spacing w:before="30" w:after="30"/>
              <w:jc w:val="center"/>
            </w:pPr>
            <w:r>
              <w:rPr>
                <w:rFonts w:ascii="Times New Roman" w:hAnsi="Times New Roman" w:eastAsia="宋体"/>
                <w:b w:val="0"/>
                <w:bCs w:val="0"/>
                <w:sz w:val="18"/>
                <w:szCs w:val="18"/>
              </w:rPr>
              <w:t>2025</w:t>
            </w:r>
          </w:p>
        </w:tc>
      </w:tr>
      <w:tr ns2:paraId="3474A17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nil"/>
              <w:right w:val="nil"/>
            </w:tcBorders>
            <w:vAlign w:val="center"/>
          </w:tcPr>
          <w:p ns2:paraId="0E1B67A5">
            <w:pPr>
              <w:spacing w:before="30" w:after="30"/>
              <w:jc w:val="center"/>
            </w:pPr>
            <w:r>
              <w:rPr>
                <w:rFonts w:ascii="Times New Roman" w:hAnsi="Times New Roman" w:eastAsia="宋体"/>
                <w:b w:val="0"/>
                <w:bCs w:val="0"/>
                <w:sz w:val="18"/>
                <w:szCs w:val="18"/>
              </w:rPr>
              <w:t>10</w:t>
            </w:r>
          </w:p>
        </w:tc>
        <w:tc>
          <w:tcPr>
            <w:tcW w:w="1800" w:type="dxa"/>
            <w:tcBorders>
              <w:top w:val="nil"/>
              <w:left w:val="nil"/>
              <w:bottom w:val="nil"/>
              <w:right w:val="nil"/>
            </w:tcBorders>
            <w:vAlign w:val="center"/>
          </w:tcPr>
          <w:p ns2:paraId="4A60C8B5">
            <w:pPr>
              <w:spacing w:before="30" w:after="30"/>
              <w:jc w:val="center"/>
            </w:pPr>
            <w:r>
              <w:rPr>
                <w:rFonts w:ascii="Times New Roman" w:hAnsi="Times New Roman" w:eastAsia="宋体"/>
                <w:b w:val="0"/>
                <w:bCs w:val="0"/>
                <w:sz w:val="18"/>
                <w:szCs w:val="18"/>
              </w:rPr>
              <w:t>科学素养</w:t>
            </w:r>
          </w:p>
        </w:tc>
        <w:tc>
          <w:tcPr>
            <w:tcW w:w="1600" w:type="dxa"/>
            <w:tcBorders>
              <w:top w:val="nil"/>
              <w:left w:val="nil"/>
              <w:bottom w:val="nil"/>
              <w:right w:val="nil"/>
            </w:tcBorders>
            <w:vAlign w:val="center"/>
          </w:tcPr>
          <w:p ns2:paraId="0A3D313B">
            <w:pPr>
              <w:spacing w:before="30" w:after="30"/>
              <w:jc w:val="center"/>
            </w:pPr>
            <w:r>
              <w:rPr>
                <w:rFonts w:ascii="Times New Roman" w:hAnsi="Times New Roman" w:eastAsia="宋体"/>
                <w:b w:val="0"/>
                <w:bCs w:val="0"/>
                <w:sz w:val="18"/>
                <w:szCs w:val="18"/>
              </w:rPr>
              <w:t>8</w:t>
            </w:r>
          </w:p>
        </w:tc>
        <w:tc>
          <w:tcPr>
            <w:tcW w:w="2000" w:type="dxa"/>
            <w:tcBorders>
              <w:top w:val="nil"/>
              <w:left w:val="nil"/>
              <w:bottom w:val="nil"/>
              <w:right w:val="nil"/>
            </w:tcBorders>
            <w:vAlign w:val="center"/>
          </w:tcPr>
          <w:p ns2:paraId="39C96CB1">
            <w:pPr>
              <w:spacing w:before="30" w:after="30"/>
              <w:jc w:val="center"/>
            </w:pPr>
            <w:r>
              <w:rPr>
                <w:rFonts w:ascii="Times New Roman" w:hAnsi="Times New Roman" w:eastAsia="宋体"/>
                <w:b w:val="0"/>
                <w:bCs w:val="0"/>
                <w:sz w:val="18"/>
                <w:szCs w:val="18"/>
              </w:rPr>
              <w:t>0.08</w:t>
            </w:r>
          </w:p>
        </w:tc>
        <w:tc>
          <w:tcPr>
            <w:tcW w:w="1400" w:type="dxa"/>
            <w:tcBorders>
              <w:top w:val="nil"/>
              <w:left w:val="nil"/>
              <w:bottom w:val="nil"/>
              <w:right w:val="nil"/>
            </w:tcBorders>
            <w:vAlign w:val="center"/>
          </w:tcPr>
          <w:p ns2:paraId="359BB165">
            <w:pPr>
              <w:spacing w:before="30" w:after="30"/>
              <w:jc w:val="center"/>
            </w:pPr>
            <w:r>
              <w:rPr>
                <w:rFonts w:ascii="Times New Roman" w:hAnsi="Times New Roman" w:eastAsia="宋体"/>
                <w:b w:val="0"/>
                <w:bCs w:val="0"/>
                <w:sz w:val="18"/>
                <w:szCs w:val="18"/>
              </w:rPr>
              <w:t>2008</w:t>
            </w:r>
          </w:p>
        </w:tc>
      </w:tr>
      <w:tr ns2:paraId="0D5A6A6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nil"/>
              <w:right w:val="nil"/>
            </w:tcBorders>
            <w:vAlign w:val="center"/>
          </w:tcPr>
          <w:p ns2:paraId="34E17730">
            <w:pPr>
              <w:spacing w:before="30" w:after="30"/>
              <w:jc w:val="center"/>
            </w:pPr>
            <w:r>
              <w:rPr>
                <w:rFonts w:ascii="Times New Roman" w:hAnsi="Times New Roman" w:eastAsia="宋体"/>
                <w:b w:val="0"/>
                <w:bCs w:val="0"/>
                <w:sz w:val="18"/>
                <w:szCs w:val="18"/>
              </w:rPr>
              <w:t>11</w:t>
            </w:r>
          </w:p>
        </w:tc>
        <w:tc>
          <w:tcPr>
            <w:tcW w:w="1800" w:type="dxa"/>
            <w:tcBorders>
              <w:top w:val="nil"/>
              <w:left w:val="nil"/>
              <w:bottom w:val="nil"/>
              <w:right w:val="nil"/>
            </w:tcBorders>
            <w:vAlign w:val="center"/>
          </w:tcPr>
          <w:p ns2:paraId="75BEA5A0">
            <w:pPr>
              <w:spacing w:before="30" w:after="30"/>
              <w:jc w:val="center"/>
            </w:pPr>
            <w:r>
              <w:rPr>
                <w:rFonts w:ascii="Times New Roman" w:hAnsi="Times New Roman" w:eastAsia="宋体"/>
                <w:b w:val="0"/>
                <w:bCs w:val="0"/>
                <w:sz w:val="18"/>
                <w:szCs w:val="18"/>
              </w:rPr>
              <w:t>科学思维</w:t>
            </w:r>
          </w:p>
        </w:tc>
        <w:tc>
          <w:tcPr>
            <w:tcW w:w="1600" w:type="dxa"/>
            <w:tcBorders>
              <w:top w:val="nil"/>
              <w:left w:val="nil"/>
              <w:bottom w:val="nil"/>
              <w:right w:val="nil"/>
            </w:tcBorders>
            <w:vAlign w:val="center"/>
          </w:tcPr>
          <w:p ns2:paraId="3469DC84">
            <w:pPr>
              <w:spacing w:before="30" w:after="30"/>
              <w:jc w:val="center"/>
            </w:pPr>
            <w:r>
              <w:rPr>
                <w:rFonts w:ascii="Times New Roman" w:hAnsi="Times New Roman" w:eastAsia="宋体"/>
                <w:b w:val="0"/>
                <w:bCs w:val="0"/>
                <w:sz w:val="18"/>
                <w:szCs w:val="18"/>
              </w:rPr>
              <w:t>5</w:t>
            </w:r>
          </w:p>
        </w:tc>
        <w:tc>
          <w:tcPr>
            <w:tcW w:w="2000" w:type="dxa"/>
            <w:tcBorders>
              <w:top w:val="nil"/>
              <w:left w:val="nil"/>
              <w:bottom w:val="nil"/>
              <w:right w:val="nil"/>
            </w:tcBorders>
            <w:vAlign w:val="center"/>
          </w:tcPr>
          <w:p ns2:paraId="2B91A331">
            <w:pPr>
              <w:spacing w:before="30" w:after="30"/>
              <w:jc w:val="center"/>
            </w:pPr>
            <w:r>
              <w:rPr>
                <w:rFonts w:ascii="Times New Roman" w:hAnsi="Times New Roman" w:eastAsia="宋体"/>
                <w:b w:val="0"/>
                <w:bCs w:val="0"/>
                <w:sz w:val="18"/>
                <w:szCs w:val="18"/>
              </w:rPr>
              <w:t>0.03</w:t>
            </w:r>
          </w:p>
        </w:tc>
        <w:tc>
          <w:tcPr>
            <w:tcW w:w="1400" w:type="dxa"/>
            <w:tcBorders>
              <w:top w:val="nil"/>
              <w:left w:val="nil"/>
              <w:bottom w:val="nil"/>
              <w:right w:val="nil"/>
            </w:tcBorders>
            <w:vAlign w:val="center"/>
          </w:tcPr>
          <w:p ns2:paraId="5A7BD53D">
            <w:pPr>
              <w:spacing w:before="30" w:after="30"/>
              <w:jc w:val="center"/>
            </w:pPr>
            <w:r>
              <w:rPr>
                <w:rFonts w:ascii="Times New Roman" w:hAnsi="Times New Roman" w:eastAsia="宋体"/>
                <w:b w:val="0"/>
                <w:bCs w:val="0"/>
                <w:sz w:val="18"/>
                <w:szCs w:val="18"/>
              </w:rPr>
              <w:t>2020</w:t>
            </w:r>
          </w:p>
        </w:tc>
      </w:tr>
      <w:tr ns2:paraId="531F51D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000" w:type="dxa"/>
            <w:tcBorders>
              <w:top w:val="nil"/>
              <w:left w:val="nil"/>
              <w:bottom w:val="single" w:color="000000" w:sz="12" w:space="0"/>
              <w:right w:val="nil"/>
            </w:tcBorders>
            <w:vAlign w:val="center"/>
          </w:tcPr>
          <w:p ns2:paraId="65C8622E">
            <w:pPr>
              <w:spacing w:before="30" w:after="30"/>
              <w:jc w:val="center"/>
            </w:pPr>
            <w:r>
              <w:rPr>
                <w:rFonts w:ascii="Times New Roman" w:hAnsi="Times New Roman" w:eastAsia="宋体"/>
                <w:b w:val="0"/>
                <w:bCs w:val="0"/>
                <w:sz w:val="18"/>
                <w:szCs w:val="18"/>
              </w:rPr>
              <w:t>12</w:t>
            </w:r>
          </w:p>
        </w:tc>
        <w:tc>
          <w:tcPr>
            <w:tcW w:w="1800" w:type="dxa"/>
            <w:tcBorders>
              <w:top w:val="nil"/>
              <w:left w:val="nil"/>
              <w:bottom w:val="single" w:color="000000" w:sz="12" w:space="0"/>
              <w:right w:val="nil"/>
            </w:tcBorders>
            <w:vAlign w:val="center"/>
          </w:tcPr>
          <w:p ns2:paraId="230D1916">
            <w:pPr>
              <w:spacing w:before="30" w:after="30"/>
              <w:jc w:val="center"/>
            </w:pPr>
            <w:r>
              <w:rPr>
                <w:rFonts w:ascii="Times New Roman" w:hAnsi="Times New Roman" w:eastAsia="宋体"/>
                <w:b w:val="0"/>
                <w:bCs w:val="0"/>
                <w:sz w:val="18"/>
                <w:szCs w:val="18"/>
              </w:rPr>
              <w:t>科学探究</w:t>
            </w:r>
          </w:p>
        </w:tc>
        <w:tc>
          <w:tcPr>
            <w:tcW w:w="1600" w:type="dxa"/>
            <w:tcBorders>
              <w:top w:val="nil"/>
              <w:left w:val="nil"/>
              <w:bottom w:val="single" w:color="000000" w:sz="12" w:space="0"/>
              <w:right w:val="nil"/>
            </w:tcBorders>
            <w:vAlign w:val="center"/>
          </w:tcPr>
          <w:p ns2:paraId="3187D9AA">
            <w:pPr>
              <w:spacing w:before="30" w:after="30"/>
              <w:jc w:val="center"/>
            </w:pPr>
            <w:r>
              <w:rPr>
                <w:rFonts w:ascii="Times New Roman" w:hAnsi="Times New Roman" w:eastAsia="宋体"/>
                <w:b w:val="0"/>
                <w:bCs w:val="0"/>
                <w:sz w:val="18"/>
                <w:szCs w:val="18"/>
              </w:rPr>
              <w:t>4</w:t>
            </w:r>
          </w:p>
        </w:tc>
        <w:tc>
          <w:tcPr>
            <w:tcW w:w="2000" w:type="dxa"/>
            <w:tcBorders>
              <w:top w:val="nil"/>
              <w:left w:val="nil"/>
              <w:bottom w:val="single" w:color="000000" w:sz="12" w:space="0"/>
              <w:right w:val="nil"/>
            </w:tcBorders>
            <w:vAlign w:val="center"/>
          </w:tcPr>
          <w:p ns2:paraId="1CE6FFBB">
            <w:pPr>
              <w:spacing w:before="30" w:after="30"/>
              <w:jc w:val="center"/>
            </w:pPr>
            <w:r>
              <w:rPr>
                <w:rFonts w:ascii="Times New Roman" w:hAnsi="Times New Roman" w:eastAsia="宋体"/>
                <w:b w:val="0"/>
                <w:bCs w:val="0"/>
                <w:sz w:val="18"/>
                <w:szCs w:val="18"/>
              </w:rPr>
              <w:t>0.03</w:t>
            </w:r>
          </w:p>
        </w:tc>
        <w:tc>
          <w:tcPr>
            <w:tcW w:w="1400" w:type="dxa"/>
            <w:tcBorders>
              <w:top w:val="nil"/>
              <w:left w:val="nil"/>
              <w:bottom w:val="single" w:color="000000" w:sz="12" w:space="0"/>
              <w:right w:val="nil"/>
            </w:tcBorders>
            <w:vAlign w:val="center"/>
          </w:tcPr>
          <w:p ns2:paraId="7474CE45">
            <w:pPr>
              <w:spacing w:before="30" w:after="30"/>
              <w:jc w:val="center"/>
            </w:pPr>
            <w:r>
              <w:rPr>
                <w:rFonts w:ascii="Times New Roman" w:hAnsi="Times New Roman" w:eastAsia="宋体"/>
                <w:b w:val="0"/>
                <w:bCs w:val="0"/>
                <w:sz w:val="18"/>
                <w:szCs w:val="18"/>
              </w:rPr>
              <w:t>2021</w:t>
            </w:r>
          </w:p>
        </w:tc>
      </w:tr>
    </w:tbl>
    <w:p ns2:paraId="0753B746">
      <w:pPr>
        <w:spacing w:after="60"/>
      </w:pPr>
    </w:p>
    <w:p ns2:paraId="327D119C">
      <w:pPr>
        <w:spacing w:before="180" w:after="60" w:line="400" w:lineRule="exact"/>
      </w:pPr>
      <w:r>
        <w:rPr>
          <w:rFonts w:ascii="Times New Roman" w:hAnsi="Times New Roman" w:eastAsia="黑体"/>
          <w:sz w:val="24"/>
          <w:szCs w:val="24"/>
        </w:rPr>
        <w:t>（二）关键词突现分析</w:t>
      </w:r>
    </w:p>
    <w:p ns2:paraId="6007C6C7">
      <w:pPr>
        <w:spacing w:line="400" w:lineRule="exact"/>
        <w:ind w:firstLine="420"/>
        <w:jc w:val="both"/>
      </w:pPr>
      <w:r>
        <w:rPr>
          <w:rFonts w:ascii="Times New Roman" w:hAnsi="Times New Roman" w:eastAsia="宋体"/>
          <w:sz w:val="21"/>
          <w:szCs w:val="21"/>
        </w:rPr>
        <w:t>所谓突现词，是指在某一时段内出现频次骤然增多的关键词，其背后往往对应着当时研究者集中讨论的话题。考察突现词的先后更替，可以大致还原一个领域的热点是如何一步步转移的，也能为判断后续走向提供线索。本文对关键词作突现检测，得到突现图谱（见图6）。</w:t>
      </w:r>
    </w:p>
    <w:p ns2:paraId="513C3B05">
      <w:pPr>
        <w:keepNext/>
        <w:spacing w:before="120" w:after="60"/>
        <w:jc w:val="center"/>
      </w:pPr>
      <w:r>
        <w:drawing>
          <ns3:inline distT="0" distB="0" distL="0" distR="0">
            <ns3:extent cx="4572000" cy="2600325"/>
            <ns3:effectExtent l="0" t="0" r="0" b="0"/>
            <ns3:docPr id="6" name="图片 6"/>
            <ns3:cNvGraphicFramePr>
              <ns4:graphicFrameLocks noChangeAspect="1"/>
            </ns3:cNvGraphicFramePr>
            <ns4:graphic>
              <ns4:graphicData uri="http://schemas.openxmlformats.org/drawingml/2006/picture">
                <ns5:pic>
                  <ns5:nvPicPr>
                    <ns5:cNvPr id="6" name="图片 6"/>
                    <ns5:cNvPicPr>
                      <ns4:picLocks noChangeAspect="1" noChangeArrowheads="1"/>
                    </ns5:cNvPicPr>
                  </ns5:nvPicPr>
                  <ns5:blipFill>
                    <ns4:blip ns6:embed="rId9"/>
                    <ns4:srcRect/>
                    <ns4:stretch>
                      <ns4:fillRect/>
                    </ns4:stretch>
                  </ns5:blipFill>
                  <ns5:spPr>
                    <ns4:xfrm>
                      <ns4:off x="0" y="0"/>
                      <ns4:ext cx="4572000" cy="2600325"/>
                    </ns4:xfrm>
                    <ns4:prstGeom prst="rect">
                      <ns4:avLst/>
                    </ns4:prstGeom>
                  </ns5:spPr>
                </ns5:pic>
              </ns4:graphicData>
            </ns4:graphic>
          </ns3:inline>
        </w:drawing>
      </w:r>
    </w:p>
    <w:p ns2:paraId="3577C56F">
      <w:pPr>
        <w:keepNext w:val="0"/>
        <w:spacing w:before="60" w:after="120"/>
        <w:jc w:val="center"/>
      </w:pPr>
      <w:r>
        <w:rPr>
          <w:rFonts w:ascii="Times New Roman" w:hAnsi="Times New Roman" w:eastAsia="黑体"/>
          <w:sz w:val="18"/>
          <w:szCs w:val="18"/>
        </w:rPr>
        <w:t>图6 HPS教学理念与科学本质观融合研究关键词突现图谱</w:t>
      </w:r>
    </w:p>
    <w:p ns2:paraId="0689AC40">
      <w:pPr>
        <w:spacing w:line="400" w:lineRule="exact"/>
        <w:ind w:firstLine="420"/>
        <w:jc w:val="both"/>
      </w:pPr>
      <w:r>
        <w:rPr>
          <w:rFonts w:ascii="Times New Roman" w:hAnsi="Times New Roman" w:eastAsia="宋体"/>
          <w:sz w:val="21"/>
          <w:szCs w:val="21"/>
        </w:rPr>
        <w:t>图6中突现强度最大的关键词是“高中化学”（3.64），突现区间集中在2022—2024年。把13个突现词按时间排开，能看出几次比较明显的转向：2008—2016年受关注的是“化学史”与“科学探究”，说明当时的工作还停留在挖掘史料、引入探究活动的起步阶段；2013年前后，“教学设计”“科学本质”相继突现并延续至2021年，研究者开始琢磨怎样把历史素材组织成完整的教学方案；2020年以后，“实践”“教学实践”“高中化学”接连突现，重心明显落到了高中课堂的真实实施上。这条线索大体是从“找素材”走向“做设计”，再走向“进课堂”，与前文年度发文量的阶段划分基本吻合。</w:t>
      </w:r>
    </w:p>
    <w:p ns2:paraId="508950D4">
      <w:pPr>
        <w:spacing w:before="180" w:after="60" w:line="400" w:lineRule="exact"/>
      </w:pPr>
      <w:r>
        <w:rPr>
          <w:rFonts w:ascii="Times New Roman" w:hAnsi="Times New Roman" w:eastAsia="黑体"/>
          <w:sz w:val="24"/>
          <w:szCs w:val="24"/>
        </w:rPr>
        <w:t>（三）主题聚类与时间线分析</w:t>
      </w:r>
    </w:p>
    <w:p ns2:paraId="56A4E543">
      <w:pPr>
        <w:spacing w:line="400" w:lineRule="exact"/>
        <w:ind w:firstLine="420"/>
        <w:jc w:val="both"/>
      </w:pPr>
      <w:r>
        <w:rPr>
          <w:rFonts w:ascii="Times New Roman" w:hAnsi="Times New Roman" w:eastAsia="宋体"/>
          <w:sz w:val="21"/>
          <w:szCs w:val="21"/>
        </w:rPr>
        <w:t>利用CiteSpace的LLR（对数似然率）算法对关键词进行聚类分析，以探寻研究主题的宏观结构特征。一般而言，模块值Q＞0.3就意味着划分出来的聚类结构是显著的，当平均轮廓S在0.7时，聚类是高效率令人信服的</w:t>
      </w:r>
      <w:r>
        <w:rPr>
          <w:rFonts w:ascii="Times New Roman" w:hAnsi="Times New Roman" w:eastAsia="宋体"/>
          <w:sz w:val="21"/>
          <w:szCs w:val="21"/>
          <w:vertAlign w:val="superscript"/>
        </w:rPr>
        <w:t>[4]</w:t>
      </w:r>
      <w:r>
        <w:rPr>
          <w:rFonts w:ascii="Times New Roman" w:hAnsi="Times New Roman" w:eastAsia="宋体"/>
          <w:sz w:val="21"/>
          <w:szCs w:val="21"/>
        </w:rPr>
        <w:t>。运行生成关键词聚类分析图谱（见图7）及演进时间线图谱（见图8）。</w:t>
      </w:r>
    </w:p>
    <w:p ns2:paraId="7666CA7D">
      <w:pPr>
        <w:keepNext/>
        <w:spacing w:before="120" w:after="60"/>
        <w:jc w:val="center"/>
      </w:pPr>
      <w:r>
        <w:drawing>
          <ns3:inline distT="0" distB="0" distL="0" distR="0">
            <ns3:extent cx="4191000" cy="2800350"/>
            <ns3:effectExtent l="0" t="0" r="0" b="0"/>
            <ns3:docPr id="7" name="图片 7"/>
            <ns3:cNvGraphicFramePr>
              <ns4:graphicFrameLocks noChangeAspect="1"/>
            </ns3:cNvGraphicFramePr>
            <ns4:graphic>
              <ns4:graphicData uri="http://schemas.openxmlformats.org/drawingml/2006/picture">
                <ns5:pic>
                  <ns5:nvPicPr>
                    <ns5:cNvPr id="7" name="图片 7"/>
                    <ns5:cNvPicPr>
                      <ns4:picLocks noChangeAspect="1" noChangeArrowheads="1"/>
                    </ns5:cNvPicPr>
                  </ns5:nvPicPr>
                  <ns5:blipFill>
                    <ns4:blip ns6:embed="rId10"/>
                    <ns4:srcRect/>
                    <ns4:stretch>
                      <ns4:fillRect/>
                    </ns4:stretch>
                  </ns5:blipFill>
                  <ns5:spPr>
                    <ns4:xfrm>
                      <ns4:off x="0" y="0"/>
                      <ns4:ext cx="4191000" cy="2800350"/>
                    </ns4:xfrm>
                    <ns4:prstGeom prst="rect">
                      <ns4:avLst/>
                    </ns4:prstGeom>
                  </ns5:spPr>
                </ns5:pic>
              </ns4:graphicData>
            </ns4:graphic>
          </ns3:inline>
        </w:drawing>
      </w:r>
    </w:p>
    <w:p ns2:paraId="13001F2A">
      <w:pPr>
        <w:keepNext w:val="0"/>
        <w:spacing w:before="60" w:after="120"/>
        <w:jc w:val="center"/>
      </w:pPr>
      <w:r>
        <w:rPr>
          <w:rFonts w:ascii="Times New Roman" w:hAnsi="Times New Roman" w:eastAsia="黑体"/>
          <w:sz w:val="18"/>
          <w:szCs w:val="18"/>
        </w:rPr>
        <w:t>图7 关键词聚类分析图谱</w:t>
      </w:r>
    </w:p>
    <w:p ns2:paraId="665E4EB6">
      <w:pPr>
        <w:spacing w:line="400" w:lineRule="exact"/>
        <w:ind w:firstLine="420"/>
        <w:jc w:val="both"/>
      </w:pPr>
      <w:r>
        <w:rPr>
          <w:rFonts w:ascii="Times New Roman" w:hAnsi="Times New Roman" w:eastAsia="宋体"/>
          <w:sz w:val="21"/>
          <w:szCs w:val="21"/>
        </w:rPr>
        <w:t>图谱数据显示，模块值 Q=0.6015＞0.3，平均轮廓值 S=0.8443＞0.7，这表明本次划分的网络社团结构显著，聚类结果具有极高的合理性与信服度。</w:t>
      </w:r>
    </w:p>
    <w:p ns2:paraId="17E9B2F9">
      <w:pPr>
        <w:spacing w:line="400" w:lineRule="exact"/>
        <w:ind w:firstLine="420"/>
        <w:jc w:val="both"/>
      </w:pPr>
      <w:r>
        <w:rPr>
          <w:rFonts w:ascii="Times New Roman" w:hAnsi="Times New Roman" w:eastAsia="宋体"/>
          <w:sz w:val="21"/>
          <w:szCs w:val="21"/>
        </w:rPr>
        <w:t>经过算法自动提取与人工筛选，当前研究主要形成了 6 大核心聚类：#0 核心素养、#1 教学设计、#2 高中化学、#3 化学教学、#4 教学策略、#5 化学史。进一步梳理各聚类节点所涵盖的核心文献，可将上述热点归纳为三个主要研究维度：价值与目标维度（聚类 #0）：聚焦科学本质教育的育人终点，关注学生内在观念的生成；路径与方法维度（聚类 #1、#3、#4）：探讨 HPS教学理念向课堂转化的具体操作模式与教学策略设计；内容与场域维度（聚类 #2、#5）：锚定现阶段的核心学段为高中学段以及历史知识载体为化学史。</w:t>
      </w:r>
    </w:p>
    <w:p ns2:paraId="6DF46A60">
      <w:pPr>
        <w:keepNext/>
        <w:spacing w:before="120" w:after="60"/>
        <w:jc w:val="center"/>
      </w:pPr>
      <w:r>
        <w:drawing>
          <ns3:inline distT="0" distB="0" distL="0" distR="0">
            <ns3:extent cx="4572000" cy="2828925"/>
            <ns3:effectExtent l="0" t="0" r="0" b="0"/>
            <ns3:docPr id="8" name="图片 8"/>
            <ns3:cNvGraphicFramePr>
              <ns4:graphicFrameLocks noChangeAspect="1"/>
            </ns3:cNvGraphicFramePr>
            <ns4:graphic>
              <ns4:graphicData uri="http://schemas.openxmlformats.org/drawingml/2006/picture">
                <ns5:pic>
                  <ns5:nvPicPr>
                    <ns5:cNvPr id="8" name="图片 8"/>
                    <ns5:cNvPicPr>
                      <ns4:picLocks noChangeAspect="1" noChangeArrowheads="1"/>
                    </ns5:cNvPicPr>
                  </ns5:nvPicPr>
                  <ns5:blipFill>
                    <ns4:blip ns6:embed="rId11"/>
                    <ns4:srcRect/>
                    <ns4:stretch>
                      <ns4:fillRect/>
                    </ns4:stretch>
                  </ns5:blipFill>
                  <ns5:spPr>
                    <ns4:xfrm>
                      <ns4:off x="0" y="0"/>
                      <ns4:ext cx="4572000" cy="2828925"/>
                    </ns4:xfrm>
                    <ns4:prstGeom prst="rect">
                      <ns4:avLst/>
                    </ns4:prstGeom>
                  </ns5:spPr>
                </ns5:pic>
              </ns4:graphicData>
            </ns4:graphic>
          </ns3:inline>
        </w:drawing>
      </w:r>
    </w:p>
    <w:p ns2:paraId="111F11CA">
      <w:pPr>
        <w:keepNext w:val="0"/>
        <w:spacing w:before="60" w:after="120"/>
        <w:jc w:val="center"/>
      </w:pPr>
      <w:r>
        <w:rPr>
          <w:rFonts w:ascii="Times New Roman" w:hAnsi="Times New Roman" w:eastAsia="黑体"/>
          <w:sz w:val="18"/>
          <w:szCs w:val="18"/>
        </w:rPr>
        <w:t>图8 关键词演进时间线图谱</w:t>
      </w:r>
    </w:p>
    <w:p ns2:paraId="123DAF1C">
      <w:pPr>
        <w:spacing w:line="400" w:lineRule="exact"/>
        <w:ind w:firstLine="420"/>
        <w:jc w:val="both"/>
      </w:pPr>
      <w:r>
        <w:rPr>
          <w:rFonts w:ascii="Times New Roman" w:hAnsi="Times New Roman" w:eastAsia="宋体"/>
          <w:sz w:val="21"/>
          <w:szCs w:val="21"/>
        </w:rPr>
        <w:t>结合关键词时间线图谱（图 8）的演进轨迹可以看出，我国关于HPS教学理念与科学本质观的相关研究，经历了一个由表及里的深化过程：从早期的“浅层历史素材挖掘”与宏观概念探讨，逐步向中期的“微观教学策略构建”过渡，再到近年全面转向“深层核心素养导向与实践检验”的系统性变革。</w:t>
      </w:r>
    </w:p>
    <w:p ns2:paraId="09D0CBC9">
      <w:pPr>
        <w:spacing w:line="400" w:lineRule="exact"/>
        <w:ind w:firstLine="420"/>
        <w:jc w:val="both"/>
      </w:pPr>
      <w:r>
        <w:rPr>
          <w:rFonts w:ascii="Times New Roman" w:hAnsi="Times New Roman" w:eastAsia="宋体"/>
          <w:sz w:val="21"/>
          <w:szCs w:val="21"/>
        </w:rPr>
        <w:t>综合聚类图谱与时间线图谱的分析结果，并结合各聚类下高中心性关键词所关联的原始文献，可将国内中学化学HPS教学理念与科学本质观领域的研究热点凝练为三个方面：科学本质观的内涵建构与测评研究、HPS教学理念融入化学教学的模式与策略研究、以化学史为载体的科学本质观培育研究。下文将围绕这三个热点，对相关文献的研究内容进行综述。</w:t>
      </w:r>
    </w:p>
    <w:p ns2:paraId="60FD1A84">
      <w:pPr>
        <w:spacing w:before="240" w:after="120" w:line="400" w:lineRule="exact"/>
      </w:pPr>
      <w:r>
        <w:rPr>
          <w:rFonts w:ascii="Times New Roman" w:hAnsi="Times New Roman" w:eastAsia="黑体"/>
          <w:sz w:val="28"/>
          <w:szCs w:val="28"/>
        </w:rPr>
        <w:t>五、研究热点内容综述</w:t>
      </w:r>
    </w:p>
    <w:p ns2:paraId="677FFC34">
      <w:pPr>
        <w:spacing w:before="180" w:after="60" w:line="400" w:lineRule="exact"/>
      </w:pPr>
      <w:r>
        <w:rPr>
          <w:rFonts w:ascii="Times New Roman" w:hAnsi="Times New Roman" w:eastAsia="黑体"/>
          <w:sz w:val="24"/>
          <w:szCs w:val="24"/>
        </w:rPr>
        <w:t>（一）科学本质观的内涵建构与测评研究</w:t>
      </w:r>
    </w:p>
    <w:p ns2:paraId="5A028F27">
      <w:pPr>
        <w:spacing w:line="400" w:lineRule="exact"/>
        <w:ind w:firstLine="420"/>
        <w:jc w:val="both"/>
      </w:pPr>
      <w:r>
        <w:rPr>
          <w:rFonts w:ascii="Times New Roman" w:hAnsi="Times New Roman" w:eastAsia="宋体"/>
          <w:sz w:val="21"/>
          <w:szCs w:val="21"/>
        </w:rPr>
        <w:t>该热点主要对应聚类#0（核心素养），处于价值与目标维度，回答的是“培养什么、如何评价”的问题。科学本质观的内涵界定是该领域全部研究的逻辑起点。国际科学教育界对科学本质的讨论由来已久，McComas等学者系统梳理了多国科学教育标准文件中关于科学本质的共识性表述，提出科学知识具有暂定性、实证性、创造性与社会文化嵌入性等基本特征</w:t>
      </w:r>
      <w:r>
        <w:rPr>
          <w:rFonts w:ascii="Times New Roman" w:hAnsi="Times New Roman" w:eastAsia="宋体"/>
          <w:sz w:val="21"/>
          <w:szCs w:val="21"/>
          <w:vertAlign w:val="superscript"/>
        </w:rPr>
        <w:t>[5]</w:t>
      </w:r>
      <w:r>
        <w:rPr>
          <w:rFonts w:ascii="Times New Roman" w:hAnsi="Times New Roman" w:eastAsia="宋体"/>
          <w:sz w:val="21"/>
          <w:szCs w:val="21"/>
        </w:rPr>
        <w:t>。在国内，刘健智立足中学教育实际，将中学生科学本质观的内涵解构为科学知识本质、科学探究本质与科学事业本质三个维度</w:t>
      </w:r>
      <w:r>
        <w:rPr>
          <w:rFonts w:ascii="Times New Roman" w:hAnsi="Times New Roman" w:eastAsia="宋体"/>
          <w:sz w:val="21"/>
          <w:szCs w:val="21"/>
          <w:vertAlign w:val="superscript"/>
        </w:rPr>
        <w:t>[6]</w:t>
      </w:r>
      <w:r>
        <w:rPr>
          <w:rFonts w:ascii="Times New Roman" w:hAnsi="Times New Roman" w:eastAsia="宋体"/>
          <w:sz w:val="21"/>
          <w:szCs w:val="21"/>
        </w:rPr>
        <w:t>，并在此基础上研制了相应的测量指标体系</w:t>
      </w:r>
      <w:r>
        <w:rPr>
          <w:rFonts w:ascii="Times New Roman" w:hAnsi="Times New Roman" w:eastAsia="宋体"/>
          <w:sz w:val="21"/>
          <w:szCs w:val="21"/>
          <w:vertAlign w:val="superscript"/>
        </w:rPr>
        <w:t>[7]</w:t>
      </w:r>
      <w:r>
        <w:rPr>
          <w:rFonts w:ascii="Times New Roman" w:hAnsi="Times New Roman" w:eastAsia="宋体"/>
          <w:sz w:val="21"/>
          <w:szCs w:val="21"/>
        </w:rPr>
        <w:t>，为后续的调查研究与教学评价提供了重要的本土化工具。</w:t>
      </w:r>
    </w:p>
    <w:p ns2:paraId="7CD38646">
      <w:pPr>
        <w:spacing w:line="400" w:lineRule="exact"/>
        <w:ind w:firstLine="420"/>
        <w:jc w:val="both"/>
      </w:pPr>
      <w:r>
        <w:rPr>
          <w:rFonts w:ascii="Times New Roman" w:hAnsi="Times New Roman" w:eastAsia="宋体"/>
          <w:sz w:val="21"/>
          <w:szCs w:val="21"/>
        </w:rPr>
        <w:t>在测评研究方面，Lederman等开发的VNOS问卷是国际上应用最为广泛的开放式测评工具</w:t>
      </w:r>
      <w:r>
        <w:rPr>
          <w:rFonts w:ascii="Times New Roman" w:hAnsi="Times New Roman" w:eastAsia="宋体"/>
          <w:sz w:val="21"/>
          <w:szCs w:val="21"/>
          <w:vertAlign w:val="superscript"/>
        </w:rPr>
        <w:t>[8]</w:t>
      </w:r>
      <w:r>
        <w:rPr>
          <w:rFonts w:ascii="Times New Roman" w:hAnsi="Times New Roman" w:eastAsia="宋体"/>
          <w:sz w:val="21"/>
          <w:szCs w:val="21"/>
        </w:rPr>
        <w:t>，国内学者多在借鉴该问卷的基础上结合学科情境加以改编。梁永平和宁君迎对高中生在微观认识学习中的科学本质观进行调查，发现学生普遍将化学理论视为确定不变的事实，对科学知识的建构性与暂定性缺乏理解</w:t>
      </w:r>
      <w:r>
        <w:rPr>
          <w:rFonts w:ascii="Times New Roman" w:hAnsi="Times New Roman" w:eastAsia="宋体"/>
          <w:sz w:val="21"/>
          <w:szCs w:val="21"/>
          <w:vertAlign w:val="superscript"/>
        </w:rPr>
        <w:t>[9]</w:t>
      </w:r>
      <w:r>
        <w:rPr>
          <w:rFonts w:ascii="Times New Roman" w:hAnsi="Times New Roman" w:eastAsia="宋体"/>
          <w:sz w:val="21"/>
          <w:szCs w:val="21"/>
        </w:rPr>
        <w:t>。马俊萍的调查进一步表明，不仅学生，部分中学教师自身的科学本质观也较为朴素</w:t>
      </w:r>
      <w:r>
        <w:rPr>
          <w:rFonts w:ascii="Times New Roman" w:hAnsi="Times New Roman" w:eastAsia="宋体"/>
          <w:sz w:val="21"/>
          <w:szCs w:val="21"/>
          <w:vertAlign w:val="superscript"/>
        </w:rPr>
        <w:t>[10]</w:t>
      </w:r>
      <w:r>
        <w:rPr>
          <w:rFonts w:ascii="Times New Roman" w:hAnsi="Times New Roman" w:eastAsia="宋体"/>
          <w:sz w:val="21"/>
          <w:szCs w:val="21"/>
        </w:rPr>
        <w:t>；罗小凤等对职前化学教师的研究则揭示，学科知识储备、科学史素养与教学信念是影响其开展科学本质教学的关键因素</w:t>
      </w:r>
      <w:r>
        <w:rPr>
          <w:rFonts w:ascii="Times New Roman" w:hAnsi="Times New Roman" w:eastAsia="宋体"/>
          <w:sz w:val="21"/>
          <w:szCs w:val="21"/>
          <w:vertAlign w:val="superscript"/>
        </w:rPr>
        <w:t>[11]</w:t>
      </w:r>
      <w:r>
        <w:rPr>
          <w:rFonts w:ascii="Times New Roman" w:hAnsi="Times New Roman" w:eastAsia="宋体"/>
          <w:sz w:val="21"/>
          <w:szCs w:val="21"/>
        </w:rPr>
        <w:t>。这些调查结果共同指向一个事实：科学本质观的培育既需要面向学生的教学干预，也离不开教师自身观念的同步提升。</w:t>
      </w:r>
    </w:p>
    <w:p ns2:paraId="1858CD8E">
      <w:pPr>
        <w:spacing w:line="400" w:lineRule="exact"/>
        <w:ind w:firstLine="420"/>
        <w:jc w:val="both"/>
      </w:pPr>
      <w:r>
        <w:rPr>
          <w:rFonts w:ascii="Times New Roman" w:hAnsi="Times New Roman" w:eastAsia="宋体"/>
          <w:sz w:val="21"/>
          <w:szCs w:val="21"/>
        </w:rPr>
        <w:t>随着核心素养时代的到来，科学本质观与化学学科核心素养的关系成为该热点下的新焦点。研究者普遍认为，“证据推理与模型认知”“科学探究与创新意识”“科学态度与社会责任”等素养要素与科学本质的三大维度存在内在对应关系</w:t>
      </w:r>
      <w:r>
        <w:rPr>
          <w:rFonts w:ascii="Times New Roman" w:hAnsi="Times New Roman" w:eastAsia="宋体"/>
          <w:sz w:val="21"/>
          <w:szCs w:val="21"/>
          <w:vertAlign w:val="superscript"/>
        </w:rPr>
        <w:t>[1]</w:t>
      </w:r>
      <w:r>
        <w:rPr>
          <w:rFonts w:ascii="Times New Roman" w:hAnsi="Times New Roman" w:eastAsia="宋体"/>
          <w:sz w:val="21"/>
          <w:szCs w:val="21"/>
        </w:rPr>
        <w:t>，科学本质观由此被视为核心素养落地的认识论基础。但从前文关键词中心性数据看，“科学素养”节点的中心性仅为0.08，说明二者衔接机制的实证研究仍较为薄弱，这也是该热点未来需要重点突破的方向。</w:t>
      </w:r>
    </w:p>
    <w:p ns2:paraId="45D4B3D1">
      <w:pPr>
        <w:spacing w:before="180" w:after="60" w:line="400" w:lineRule="exact"/>
      </w:pPr>
      <w:r>
        <w:rPr>
          <w:rFonts w:ascii="Times New Roman" w:hAnsi="Times New Roman" w:eastAsia="黑体"/>
          <w:sz w:val="24"/>
          <w:szCs w:val="24"/>
        </w:rPr>
        <w:t>（二）HPS教学理念融入化学教学的模式与策略研究</w:t>
      </w:r>
    </w:p>
    <w:p ns2:paraId="1E61E83F">
      <w:pPr>
        <w:spacing w:line="400" w:lineRule="exact"/>
        <w:ind w:firstLine="420"/>
        <w:jc w:val="both"/>
      </w:pPr>
      <w:r>
        <w:rPr>
          <w:rFonts w:ascii="Times New Roman" w:hAnsi="Times New Roman" w:eastAsia="宋体"/>
          <w:sz w:val="21"/>
          <w:szCs w:val="21"/>
        </w:rPr>
        <w:t>该热点对应聚类#1（教学设计）、#3（化学教学）与#4（教学策略），处于路径与方法维度，是当前文献产出最为集中的类群，回答的是“如何教”的问题。在教学模式层面，Monk和Osborne提出的HPS融入课堂的六阶段模型是国内研究者援引最多的理论框架</w:t>
      </w:r>
      <w:r>
        <w:rPr>
          <w:rFonts w:ascii="Times New Roman" w:hAnsi="Times New Roman" w:eastAsia="宋体"/>
          <w:sz w:val="21"/>
          <w:szCs w:val="21"/>
          <w:vertAlign w:val="superscript"/>
        </w:rPr>
        <w:t>[12]</w:t>
      </w:r>
      <w:r>
        <w:rPr>
          <w:rFonts w:ascii="Times New Roman" w:hAnsi="Times New Roman" w:eastAsia="宋体"/>
          <w:sz w:val="21"/>
          <w:szCs w:val="21"/>
        </w:rPr>
        <w:t>，该模型以现象呈现为起点，经观念引出、历史学习、实验设计与检验，最终达成总结评价。袁维新较早将该模式介绍到国内并给出了学科化的教学案例</w:t>
      </w:r>
      <w:r>
        <w:rPr>
          <w:rFonts w:ascii="Times New Roman" w:hAnsi="Times New Roman" w:eastAsia="宋体"/>
          <w:sz w:val="21"/>
          <w:szCs w:val="21"/>
          <w:vertAlign w:val="superscript"/>
        </w:rPr>
        <w:t>[13]</w:t>
      </w:r>
      <w:r>
        <w:rPr>
          <w:rFonts w:ascii="Times New Roman" w:hAnsi="Times New Roman" w:eastAsia="宋体"/>
          <w:sz w:val="21"/>
          <w:szCs w:val="21"/>
        </w:rPr>
        <w:t>；皇甫倩和王后雄则结合中学化学的学科特点，对HPS教学模型的运用条件与操作要点进行了系统阐释</w:t>
      </w:r>
      <w:r>
        <w:rPr>
          <w:rFonts w:ascii="Times New Roman" w:hAnsi="Times New Roman" w:eastAsia="宋体"/>
          <w:sz w:val="21"/>
          <w:szCs w:val="21"/>
          <w:vertAlign w:val="superscript"/>
        </w:rPr>
        <w:t>[14]</w:t>
      </w:r>
      <w:r>
        <w:rPr>
          <w:rFonts w:ascii="Times New Roman" w:hAnsi="Times New Roman" w:eastAsia="宋体"/>
          <w:sz w:val="21"/>
          <w:szCs w:val="21"/>
        </w:rPr>
        <w:t>。</w:t>
      </w:r>
    </w:p>
    <w:p ns2:paraId="57F3B116">
      <w:pPr>
        <w:spacing w:line="400" w:lineRule="exact"/>
        <w:ind w:firstLine="420"/>
        <w:jc w:val="both"/>
      </w:pPr>
      <w:r>
        <w:rPr>
          <w:rFonts w:ascii="Times New Roman" w:hAnsi="Times New Roman" w:eastAsia="宋体"/>
          <w:sz w:val="21"/>
          <w:szCs w:val="21"/>
        </w:rPr>
        <w:t>在此基础上，国内研究者积极探索HPS理念与其他教学模式的融合创新。霍爱新等将HPS与STS教育相结合，以“发展中的化学电源”为例设计了指向核心素养的教学方案</w:t>
      </w:r>
      <w:r>
        <w:rPr>
          <w:rFonts w:ascii="Times New Roman" w:hAnsi="Times New Roman" w:eastAsia="宋体"/>
          <w:sz w:val="21"/>
          <w:szCs w:val="21"/>
          <w:vertAlign w:val="superscript"/>
        </w:rPr>
        <w:t>[15]</w:t>
      </w:r>
      <w:r>
        <w:rPr>
          <w:rFonts w:ascii="Times New Roman" w:hAnsi="Times New Roman" w:eastAsia="宋体"/>
          <w:sz w:val="21"/>
          <w:szCs w:val="21"/>
        </w:rPr>
        <w:t>；孙悦和杨天林将HPS理念渗透于支架式教学模式之中，以“化学能与电能”为例开展了应用研究</w:t>
      </w:r>
      <w:r>
        <w:rPr>
          <w:rFonts w:ascii="Times New Roman" w:hAnsi="Times New Roman" w:eastAsia="宋体"/>
          <w:sz w:val="21"/>
          <w:szCs w:val="21"/>
          <w:vertAlign w:val="superscript"/>
        </w:rPr>
        <w:t>[16]</w:t>
      </w:r>
      <w:r>
        <w:rPr>
          <w:rFonts w:ascii="Times New Roman" w:hAnsi="Times New Roman" w:eastAsia="宋体"/>
          <w:sz w:val="21"/>
          <w:szCs w:val="21"/>
        </w:rPr>
        <w:t>；满艳艳尝试将HPS理念与5E教学模式相整合并进行了高中化学课堂的实践检验</w:t>
      </w:r>
      <w:r>
        <w:rPr>
          <w:rFonts w:ascii="Times New Roman" w:hAnsi="Times New Roman" w:eastAsia="宋体"/>
          <w:sz w:val="21"/>
          <w:szCs w:val="21"/>
          <w:vertAlign w:val="superscript"/>
        </w:rPr>
        <w:t>[17]</w:t>
      </w:r>
      <w:r>
        <w:rPr>
          <w:rFonts w:ascii="Times New Roman" w:hAnsi="Times New Roman" w:eastAsia="宋体"/>
          <w:sz w:val="21"/>
          <w:szCs w:val="21"/>
        </w:rPr>
        <w:t>；白玉香则构建了HPS与Webquest的整合教学模型</w:t>
      </w:r>
      <w:r>
        <w:rPr>
          <w:rFonts w:ascii="Times New Roman" w:hAnsi="Times New Roman" w:eastAsia="宋体"/>
          <w:sz w:val="21"/>
          <w:szCs w:val="21"/>
          <w:vertAlign w:val="superscript"/>
        </w:rPr>
        <w:t>[18]</w:t>
      </w:r>
      <w:r>
        <w:rPr>
          <w:rFonts w:ascii="Times New Roman" w:hAnsi="Times New Roman" w:eastAsia="宋体"/>
          <w:sz w:val="21"/>
          <w:szCs w:val="21"/>
        </w:rPr>
        <w:t>；丁华还从课堂实施的角度总结了HPS教学模式在高中化学常态课堂中的运用要领</w:t>
      </w:r>
      <w:r>
        <w:rPr>
          <w:rFonts w:ascii="Times New Roman" w:hAnsi="Times New Roman" w:eastAsia="宋体"/>
          <w:sz w:val="21"/>
          <w:szCs w:val="21"/>
          <w:vertAlign w:val="superscript"/>
        </w:rPr>
        <w:t>[19]</w:t>
      </w:r>
      <w:r>
        <w:rPr>
          <w:rFonts w:ascii="Times New Roman" w:hAnsi="Times New Roman" w:eastAsia="宋体"/>
          <w:sz w:val="21"/>
          <w:szCs w:val="21"/>
        </w:rPr>
        <w:t>。这些研究共同表明，HPS理念具有较强的模式兼容性，能够与多种教学范式有机结合，从而为其在不同课堂生态中的落地提供了多样化的选择。</w:t>
      </w:r>
    </w:p>
    <w:p ns2:paraId="18302964">
      <w:pPr>
        <w:spacing w:line="400" w:lineRule="exact"/>
        <w:ind w:firstLine="420"/>
        <w:jc w:val="both"/>
      </w:pPr>
      <w:r>
        <w:rPr>
          <w:rFonts w:ascii="Times New Roman" w:hAnsi="Times New Roman" w:eastAsia="宋体"/>
          <w:sz w:val="21"/>
          <w:szCs w:val="21"/>
        </w:rPr>
        <w:t>在教学策略层面，“显性—反思”取向已成为研究者的基本共识。Schwartz等的研究表明，相较于仅依托探究活动的隐性渗透，显性—反思式教学更能促进学习者对科学本质关键维度形成稳定认知</w:t>
      </w:r>
      <w:r>
        <w:rPr>
          <w:rFonts w:ascii="Times New Roman" w:hAnsi="Times New Roman" w:eastAsia="宋体"/>
          <w:sz w:val="21"/>
          <w:szCs w:val="21"/>
          <w:vertAlign w:val="superscript"/>
        </w:rPr>
        <w:t>[20]</w:t>
      </w:r>
      <w:r>
        <w:rPr>
          <w:rFonts w:ascii="Times New Roman" w:hAnsi="Times New Roman" w:eastAsia="宋体"/>
          <w:sz w:val="21"/>
          <w:szCs w:val="21"/>
        </w:rPr>
        <w:t>；Abd-El-Khalick和Lederman在批判性综述中亦指出，教师对科学本质的明确引导与反思性讨论是NOS教学成效的决定性变量</w:t>
      </w:r>
      <w:r>
        <w:rPr>
          <w:rFonts w:ascii="Times New Roman" w:hAnsi="Times New Roman" w:eastAsia="宋体"/>
          <w:sz w:val="21"/>
          <w:szCs w:val="21"/>
          <w:vertAlign w:val="superscript"/>
        </w:rPr>
        <w:t>[21]</w:t>
      </w:r>
      <w:r>
        <w:rPr>
          <w:rFonts w:ascii="Times New Roman" w:hAnsi="Times New Roman" w:eastAsia="宋体"/>
          <w:sz w:val="21"/>
          <w:szCs w:val="21"/>
        </w:rPr>
        <w:t>。受此影响，国内的教学设计研究普遍强调在历史情境呈现之后设置专门的反思讨论环节，引导学生从“知道历史”走向“理解科学”，使科学本质观的学习不再停留于潜移默化的期待，而是转化为可设计、可观察的课堂事件。</w:t>
      </w:r>
    </w:p>
    <w:p ns2:paraId="2941D698">
      <w:pPr>
        <w:spacing w:before="180" w:after="60" w:line="400" w:lineRule="exact"/>
      </w:pPr>
      <w:r>
        <w:rPr>
          <w:rFonts w:ascii="Times New Roman" w:hAnsi="Times New Roman" w:eastAsia="黑体"/>
          <w:sz w:val="24"/>
          <w:szCs w:val="24"/>
        </w:rPr>
        <w:t>（三）以化学史为载体的科学本质观培育研究</w:t>
      </w:r>
    </w:p>
    <w:p ns2:paraId="12C467CA">
      <w:pPr>
        <w:spacing w:line="400" w:lineRule="exact"/>
        <w:ind w:firstLine="420"/>
        <w:jc w:val="both"/>
      </w:pPr>
      <w:r>
        <w:rPr>
          <w:rFonts w:ascii="Times New Roman" w:hAnsi="Times New Roman" w:eastAsia="宋体"/>
          <w:sz w:val="21"/>
          <w:szCs w:val="21"/>
        </w:rPr>
        <w:t>该热点对应聚类#2（高中化学）与#5（化学史），处于内容与场域维度，回答的是“用什么教、在哪里教”的问题。化学史是HPS理念进入化学课堂最主要的素材来源。毕华林和刘冰以元素周期律的发现为例，从科学本质教育的视角探讨了化学教科书的设计问题，指出史料的价值在于呈现科学知识的历史生成过程而非结论本身</w:t>
      </w:r>
      <w:r>
        <w:rPr>
          <w:rFonts w:ascii="Times New Roman" w:hAnsi="Times New Roman" w:eastAsia="宋体"/>
          <w:sz w:val="21"/>
          <w:szCs w:val="21"/>
          <w:vertAlign w:val="superscript"/>
        </w:rPr>
        <w:t>[22]</w:t>
      </w:r>
      <w:r>
        <w:rPr>
          <w:rFonts w:ascii="Times New Roman" w:hAnsi="Times New Roman" w:eastAsia="宋体"/>
          <w:sz w:val="21"/>
          <w:szCs w:val="21"/>
        </w:rPr>
        <w:t>。在具体课例层面，崔博雅和袁振东从氟元素发现史中挖掘科学本质观与人文素养的双重教育价值</w:t>
      </w:r>
      <w:r>
        <w:rPr>
          <w:rFonts w:ascii="Times New Roman" w:hAnsi="Times New Roman" w:eastAsia="宋体"/>
          <w:sz w:val="21"/>
          <w:szCs w:val="21"/>
          <w:vertAlign w:val="superscript"/>
        </w:rPr>
        <w:t>[23]</w:t>
      </w:r>
      <w:r>
        <w:rPr>
          <w:rFonts w:ascii="Times New Roman" w:hAnsi="Times New Roman" w:eastAsia="宋体"/>
          <w:sz w:val="21"/>
          <w:szCs w:val="21"/>
        </w:rPr>
        <w:t>；陈俏等以“原子的结构”为例，借助原子模型的演变史设计了增进科学本质理解的教学方案</w:t>
      </w:r>
      <w:r>
        <w:rPr>
          <w:rFonts w:ascii="Times New Roman" w:hAnsi="Times New Roman" w:eastAsia="宋体"/>
          <w:sz w:val="21"/>
          <w:szCs w:val="21"/>
          <w:vertAlign w:val="superscript"/>
        </w:rPr>
        <w:t>[24]</w:t>
      </w:r>
      <w:r>
        <w:rPr>
          <w:rFonts w:ascii="Times New Roman" w:hAnsi="Times New Roman" w:eastAsia="宋体"/>
          <w:sz w:val="21"/>
          <w:szCs w:val="21"/>
        </w:rPr>
        <w:t>。这类研究的共同特征在于，史料的选取不以趣味性为首要标准，而是以能否为科学本质的特定维度提供可分析的历史情境为核心依据。</w:t>
      </w:r>
    </w:p>
    <w:p ns2:paraId="6ADC2BE8">
      <w:pPr>
        <w:spacing w:line="400" w:lineRule="exact"/>
        <w:ind w:firstLine="420"/>
        <w:jc w:val="both"/>
      </w:pPr>
      <w:r>
        <w:rPr>
          <w:rFonts w:ascii="Times New Roman" w:hAnsi="Times New Roman" w:eastAsia="宋体"/>
          <w:sz w:val="21"/>
          <w:szCs w:val="21"/>
        </w:rPr>
        <w:t>从学段分布看，沈春花面向初中化学开展了基于科学本质观的教学活动设计研究</w:t>
      </w:r>
      <w:r>
        <w:rPr>
          <w:rFonts w:ascii="Times New Roman" w:hAnsi="Times New Roman" w:eastAsia="宋体"/>
          <w:sz w:val="21"/>
          <w:szCs w:val="21"/>
          <w:vertAlign w:val="superscript"/>
        </w:rPr>
        <w:t>[25]</w:t>
      </w:r>
      <w:r>
        <w:rPr>
          <w:rFonts w:ascii="Times New Roman" w:hAnsi="Times New Roman" w:eastAsia="宋体"/>
          <w:sz w:val="21"/>
          <w:szCs w:val="21"/>
        </w:rPr>
        <w:t>，曾琳则针对高中化学开展了系列HPS教学案例研究</w:t>
      </w:r>
      <w:r>
        <w:rPr>
          <w:rFonts w:ascii="Times New Roman" w:hAnsi="Times New Roman" w:eastAsia="宋体"/>
          <w:sz w:val="21"/>
          <w:szCs w:val="21"/>
          <w:vertAlign w:val="superscript"/>
        </w:rPr>
        <w:t>[26]</w:t>
      </w:r>
      <w:r>
        <w:rPr>
          <w:rFonts w:ascii="Times New Roman" w:hAnsi="Times New Roman" w:eastAsia="宋体"/>
          <w:sz w:val="21"/>
          <w:szCs w:val="21"/>
        </w:rPr>
        <w:t>，但总体而言面向初中学段的研究数量明显少于高中学段，这与本研究突现分析中“高中化学”成为最强突现词的结果相互印证。崔世峰和王娟对国内HPS教学融入中学化学的研究进行综述后指出，现有成果以个案式教学设计为主，系统的实证检验与长周期追踪相对缺乏</w:t>
      </w:r>
      <w:r>
        <w:rPr>
          <w:rFonts w:ascii="Times New Roman" w:hAnsi="Times New Roman" w:eastAsia="宋体"/>
          <w:sz w:val="21"/>
          <w:szCs w:val="21"/>
          <w:vertAlign w:val="superscript"/>
        </w:rPr>
        <w:t>[27]</w:t>
      </w:r>
      <w:r>
        <w:rPr>
          <w:rFonts w:ascii="Times New Roman" w:hAnsi="Times New Roman" w:eastAsia="宋体"/>
          <w:sz w:val="21"/>
          <w:szCs w:val="21"/>
        </w:rPr>
        <w:t>。</w:t>
      </w:r>
    </w:p>
    <w:p ns2:paraId="0BD2A8DC">
      <w:pPr>
        <w:spacing w:line="400" w:lineRule="exact"/>
        <w:ind w:firstLine="420"/>
        <w:jc w:val="both"/>
      </w:pPr>
      <w:r>
        <w:rPr>
          <w:rFonts w:ascii="Times New Roman" w:hAnsi="Times New Roman" w:eastAsia="宋体"/>
          <w:sz w:val="21"/>
          <w:szCs w:val="21"/>
        </w:rPr>
        <w:t>此外，教材作为化学史素材的重要载体也受到研究者关注。Su等对多国科学教材的系统综述表明，无论国家与学段，教材中科学本质内容的呈现总体不足且质量参差</w:t>
      </w:r>
      <w:r>
        <w:rPr>
          <w:rFonts w:ascii="Times New Roman" w:hAnsi="Times New Roman" w:eastAsia="宋体"/>
          <w:sz w:val="21"/>
          <w:szCs w:val="21"/>
          <w:vertAlign w:val="superscript"/>
        </w:rPr>
        <w:t>[28]</w:t>
      </w:r>
      <w:r>
        <w:rPr>
          <w:rFonts w:ascii="Times New Roman" w:hAnsi="Times New Roman" w:eastAsia="宋体"/>
          <w:sz w:val="21"/>
          <w:szCs w:val="21"/>
        </w:rPr>
        <w:t>，这在客观上限制了一线教师开展显性NOS教学的素材供给，也解释了为何国内大量研究致力于对教材史料的深度挖掘与二次开发。</w:t>
      </w:r>
    </w:p>
    <w:p ns2:paraId="053DCA4F">
      <w:pPr>
        <w:spacing w:line="400" w:lineRule="exact"/>
        <w:ind w:firstLine="420"/>
        <w:jc w:val="both"/>
      </w:pPr>
      <w:r>
        <w:rPr>
          <w:rFonts w:ascii="Times New Roman" w:hAnsi="Times New Roman" w:eastAsia="宋体"/>
          <w:sz w:val="21"/>
          <w:szCs w:val="21"/>
        </w:rPr>
        <w:t>把三个热点放在一起看，它们并非彼此孤立：内涵与测评研究回答的是“要把学生培养成什么样、怎么知道培养到位了”，属于目标层面；教学模式与策略研究解决的是课堂上怎么操作；化学史研究则为前两者提供具体素材。目标、路径、载体环环相扣，缺了哪一环，科学本质观的教学都难以真正落地。</w:t>
      </w:r>
    </w:p>
    <w:p ns2:paraId="606B4BF7">
      <w:pPr>
        <w:spacing w:before="240" w:after="120" w:line="400" w:lineRule="exact"/>
      </w:pPr>
      <w:r>
        <w:rPr>
          <w:rFonts w:ascii="Times New Roman" w:hAnsi="Times New Roman" w:eastAsia="黑体"/>
          <w:sz w:val="28"/>
          <w:szCs w:val="28"/>
        </w:rPr>
        <w:t>六、研究结论与展望</w:t>
      </w:r>
    </w:p>
    <w:p ns2:paraId="3F4AD627">
      <w:pPr>
        <w:spacing w:before="180" w:after="60" w:line="400" w:lineRule="exact"/>
      </w:pPr>
      <w:r>
        <w:rPr>
          <w:rFonts w:ascii="Times New Roman" w:hAnsi="Times New Roman" w:eastAsia="黑体"/>
          <w:sz w:val="24"/>
          <w:szCs w:val="24"/>
        </w:rPr>
        <w:t>（一）研究结论</w:t>
      </w:r>
    </w:p>
    <w:p ns2:paraId="643CFB98">
      <w:pPr>
        <w:spacing w:line="400" w:lineRule="exact"/>
        <w:ind w:firstLine="420"/>
        <w:jc w:val="both"/>
      </w:pPr>
      <w:r>
        <w:rPr>
          <w:rFonts w:ascii="Times New Roman" w:hAnsi="Times New Roman" w:eastAsia="宋体"/>
          <w:sz w:val="21"/>
          <w:szCs w:val="21"/>
        </w:rPr>
        <w:t>回到本文开头提出的问题，基于对2008—2026年间相关文献的计量分析，可以对国内中学化学HPS教学理念与科学本质观研究的现状作出如下几点判断。</w:t>
      </w:r>
    </w:p>
    <w:p ns2:paraId="2AA458A3">
      <w:pPr>
        <w:spacing w:line="400" w:lineRule="exact"/>
        <w:ind w:firstLine="420"/>
        <w:jc w:val="both"/>
      </w:pPr>
      <w:r>
        <w:rPr>
          <w:rFonts w:ascii="Times New Roman" w:hAnsi="Times New Roman" w:eastAsia="宋体"/>
          <w:sz w:val="21"/>
          <w:szCs w:val="21"/>
        </w:rPr>
        <w:t>就发文趋势而言，2017年是一个明显的分水岭。此前年发文量长期在低位徘徊，此后开始上升，2022—2025年间的增长尤其突出。对照时间不难发现，两次跃升分别紧随2017年版高中课程标准与2022年版义务教育课程标准的出台，可以说，这一领域的研究热度在很大程度上是被课程政策“带”起来的，并非单纯源于学界内部的兴趣积累。</w:t>
      </w:r>
    </w:p>
    <w:p ns2:paraId="5EAAE396">
      <w:pPr>
        <w:spacing w:line="400" w:lineRule="exact"/>
        <w:ind w:firstLine="420"/>
        <w:jc w:val="both"/>
      </w:pPr>
      <w:r>
        <w:rPr>
          <w:rFonts w:ascii="Times New Roman" w:hAnsi="Times New Roman" w:eastAsia="宋体"/>
          <w:sz w:val="21"/>
          <w:szCs w:val="21"/>
        </w:rPr>
        <w:t>研究力量的组织方式则不容乐观。无论作者网络还是机构网络，密度都非常低，研究者大多各自为战，合作基本发生在同一师门或同一课题组内部，跨机构、跨区域的稳定合作还很少见。在这种格局下，相似的选题在不同地区重复出现、成果之间缺少对话，也就不足为奇。</w:t>
      </w:r>
    </w:p>
    <w:p ns2:paraId="6314AE1B">
      <w:pPr>
        <w:spacing w:line="400" w:lineRule="exact"/>
        <w:ind w:firstLine="420"/>
        <w:jc w:val="both"/>
      </w:pPr>
      <w:r>
        <w:rPr>
          <w:rFonts w:ascii="Times New Roman" w:hAnsi="Times New Roman" w:eastAsia="宋体"/>
          <w:sz w:val="21"/>
          <w:szCs w:val="21"/>
        </w:rPr>
        <w:t>就研究内容来看，内涵与测评、模式与策略、化学史载体三类主题构成了该领域的基本问题域，分别对应目标、路径和载体。突现分析进一步显示，研究重心先后落在化学史素材、教学设计与高中课堂实践上，前后衔接的脉络相当清楚。</w:t>
      </w:r>
    </w:p>
    <w:p ns2:paraId="31C989D3">
      <w:pPr>
        <w:spacing w:line="400" w:lineRule="exact"/>
        <w:ind w:firstLine="420"/>
        <w:jc w:val="both"/>
      </w:pPr>
      <w:r>
        <w:rPr>
          <w:rFonts w:ascii="Times New Roman" w:hAnsi="Times New Roman" w:eastAsia="宋体"/>
          <w:sz w:val="21"/>
          <w:szCs w:val="21"/>
        </w:rPr>
        <w:t>当然也应当承认，这个领域眼下的短板同样明显：成果多为单个课例的设计与反思，严格的干预实验和长期追踪很少，适合我国学生的科学本质观测评工具更是接近空白。理念层面谈得多、证据层面做得少，是现有研究给人的总体印象。</w:t>
      </w:r>
    </w:p>
    <w:p ns2:paraId="3EFCA922">
      <w:pPr>
        <w:spacing w:before="180" w:after="60" w:line="400" w:lineRule="exact"/>
      </w:pPr>
      <w:r>
        <w:rPr>
          <w:rFonts w:ascii="Times New Roman" w:hAnsi="Times New Roman" w:eastAsia="黑体"/>
          <w:sz w:val="24"/>
          <w:szCs w:val="24"/>
        </w:rPr>
        <w:t>（二）研究展望</w:t>
      </w:r>
    </w:p>
    <w:p ns2:paraId="334B4580">
      <w:pPr>
        <w:spacing w:line="400" w:lineRule="exact"/>
        <w:ind w:firstLine="420"/>
        <w:jc w:val="both"/>
      </w:pPr>
      <w:r>
        <w:rPr>
          <w:rFonts w:ascii="Times New Roman" w:hAnsi="Times New Roman" w:eastAsia="宋体"/>
          <w:sz w:val="21"/>
          <w:szCs w:val="21"/>
        </w:rPr>
        <w:t>针对这些问题，笔者认为后续研究至少可以在四个方面继续推进。</w:t>
      </w:r>
    </w:p>
    <w:p ns2:paraId="52EADEAE">
      <w:pPr>
        <w:spacing w:line="400" w:lineRule="exact"/>
        <w:ind w:firstLine="420"/>
        <w:jc w:val="both"/>
      </w:pPr>
      <w:r>
        <w:rPr>
          <w:rFonts w:ascii="Times New Roman" w:hAnsi="Times New Roman" w:eastAsia="宋体"/>
          <w:sz w:val="21"/>
          <w:szCs w:val="21"/>
        </w:rPr>
        <w:t>一是理论的本土化。国内现有研究大多直接套用西方的HPS教学框架，但这些框架诞生于不同的课程文化，搬到我国化学课堂上是否合适，讨论得还很不够。与其继续引介，不如立足课程标准的要求和一线课堂的实际条件，对这些框架加以改造和检验，逐渐形成自己的理论表达。</w:t>
      </w:r>
    </w:p>
    <w:p ns2:paraId="1A8286F2">
      <w:pPr>
        <w:spacing w:line="400" w:lineRule="exact"/>
        <w:ind w:firstLine="420"/>
        <w:jc w:val="both"/>
      </w:pPr>
      <w:r>
        <w:rPr>
          <w:rFonts w:ascii="Times New Roman" w:hAnsi="Times New Roman" w:eastAsia="宋体"/>
          <w:sz w:val="21"/>
          <w:szCs w:val="21"/>
        </w:rPr>
        <w:t>二是把初中学段纳入视野。前文数据已经表明，现有研究几乎都做在高中，初中被冷落了。其实《义务教育化学课程标准（2022年版）》在跨学科实践主题中已经写入了与科学本质相关的要求，课程依据是现成的，缺的是针对初中生认知特点设计的教学方案，以及相应的实施与检验研究。</w:t>
      </w:r>
    </w:p>
    <w:p ns2:paraId="52336C4E">
      <w:pPr>
        <w:spacing w:line="400" w:lineRule="exact"/>
        <w:ind w:firstLine="420"/>
        <w:jc w:val="both"/>
      </w:pPr>
      <w:r>
        <w:rPr>
          <w:rFonts w:ascii="Times New Roman" w:hAnsi="Times New Roman" w:eastAsia="宋体"/>
          <w:sz w:val="21"/>
          <w:szCs w:val="21"/>
        </w:rPr>
        <w:t>三是补上测评这块短板。教学效果好不好，最终要靠证据说话，而目前可用的测评工具基本译自或改编自国外问卷，是否适合我国学生、适合哪个学段，都还没有经过充分检验。研制并验证一套贴合化学学科核心素养框架、分学段可用的科学本质观测评工具，再辅以准实验设计和较长周期的追踪，这个领域才能真正从“讲道理”走向“摆证据”。</w:t>
      </w:r>
    </w:p>
    <w:p ns2:paraId="02FD5D7F">
      <w:pPr>
        <w:spacing w:line="400" w:lineRule="exact"/>
        <w:ind w:firstLine="420"/>
        <w:jc w:val="both"/>
      </w:pPr>
      <w:r>
        <w:rPr>
          <w:rFonts w:ascii="Times New Roman" w:hAnsi="Times New Roman" w:eastAsia="宋体"/>
          <w:sz w:val="21"/>
          <w:szCs w:val="21"/>
        </w:rPr>
        <w:t>四是改变合作分散的现状。高校研究者懂理论但缺课堂，一线教师有课堂却少方法，双方本可互补，却常常互不往来。依托教研机构和名师工作室把两支力量拉到一起，借助线上协作平台维持常态化合作，让课例研究、工具研发与效果检验在多所学校间滚动开展，成果的积累和推广自然会快得多。</w:t>
      </w:r>
    </w:p>
    <w:p ns2:paraId="7EB90033">
      <w:pPr>
        <w:spacing w:before="300" w:after="120"/>
        <w:jc w:val="center"/>
      </w:pPr>
      <w:r>
        <w:rPr>
          <w:rFonts w:ascii="Times New Roman" w:hAnsi="Times New Roman" w:eastAsia="黑体"/>
          <w:sz w:val="28"/>
          <w:szCs w:val="28"/>
        </w:rPr>
        <w:t>参考文献</w:t>
      </w:r>
    </w:p>
    <w:p ns2:paraId="1201F21E">
      <w:pPr>
        <w:spacing w:line="400" w:lineRule="exact"/>
        <w:ind w:left="420" w:hanging="420"/>
        <w:jc w:val="both"/>
      </w:pPr>
      <w:r>
        <w:rPr>
          <w:rFonts w:ascii="Times New Roman" w:hAnsi="Times New Roman" w:eastAsia="宋体"/>
          <w:sz w:val="18"/>
          <w:szCs w:val="18"/>
        </w:rPr>
        <w:t>[1] 中华人民共和国教育部.普通高中化学课程标准(2017年版2020年修订)[S].北京:人民教育出版社,2020.</w:t>
      </w:r>
    </w:p>
    <w:p ns2:paraId="57A51637">
      <w:pPr>
        <w:spacing w:line="400" w:lineRule="exact"/>
        <w:ind w:left="420" w:hanging="420"/>
        <w:jc w:val="both"/>
      </w:pPr>
      <w:r>
        <w:rPr>
          <w:rFonts w:ascii="Times New Roman" w:hAnsi="Times New Roman" w:eastAsia="宋体"/>
          <w:sz w:val="18"/>
          <w:szCs w:val="18"/>
        </w:rPr>
        <w:t>[2] 崔伟奇,程倩春.论托马斯·库恩科学哲学的创新意义——纪念《科学革命的结构》出版60周年[J].自然辩证法研究,2022,38(10):10-16.</w:t>
      </w:r>
    </w:p>
    <w:p ns2:paraId="470EB5EF">
      <w:pPr>
        <w:spacing w:line="400" w:lineRule="exact"/>
        <w:ind w:left="420" w:hanging="420"/>
        <w:jc w:val="both"/>
      </w:pPr>
      <w:r>
        <w:rPr>
          <w:rFonts w:ascii="Times New Roman" w:hAnsi="Times New Roman" w:eastAsia="宋体"/>
          <w:sz w:val="18"/>
          <w:szCs w:val="18"/>
        </w:rPr>
        <w:t>[3] 陈悦,陈超美,胡志刚,等.引文空间分析原理与应用:CiteSpace实用指南[M].北京:科学出版社,2014.</w:t>
      </w:r>
    </w:p>
    <w:p ns2:paraId="357B661C">
      <w:pPr>
        <w:spacing w:line="400" w:lineRule="exact"/>
        <w:ind w:left="420" w:hanging="420"/>
        <w:jc w:val="both"/>
      </w:pPr>
      <w:r>
        <w:rPr>
          <w:rFonts w:ascii="Times New Roman" w:hAnsi="Times New Roman" w:eastAsia="宋体"/>
          <w:sz w:val="18"/>
          <w:szCs w:val="18"/>
        </w:rPr>
        <w:t>[4] 陈悦,陈超美,刘则渊,等.CiteSpace知识图谱的方法论功能[J].科学学研究,2015(2):242-253.</w:t>
      </w:r>
    </w:p>
    <w:p ns2:paraId="2BD11D75">
      <w:pPr>
        <w:spacing w:line="400" w:lineRule="exact"/>
        <w:ind w:left="420" w:hanging="420"/>
        <w:jc w:val="both"/>
      </w:pPr>
      <w:r>
        <w:rPr>
          <w:rFonts w:ascii="Times New Roman" w:hAnsi="Times New Roman" w:eastAsia="宋体"/>
          <w:sz w:val="18"/>
          <w:szCs w:val="18"/>
        </w:rPr>
        <w:t>[5] MCCOMAS W F, ALMAZROA H, CLOUGH M P. The nature of science in science education: an introduction[J]. Science &amp; Education, 1998, 7(6): 511-532.</w:t>
      </w:r>
    </w:p>
    <w:p ns2:paraId="7847407E">
      <w:pPr>
        <w:spacing w:line="400" w:lineRule="exact"/>
        <w:ind w:left="420" w:hanging="420"/>
        <w:jc w:val="both"/>
      </w:pPr>
      <w:r>
        <w:rPr>
          <w:rFonts w:ascii="Times New Roman" w:hAnsi="Times New Roman" w:eastAsia="宋体"/>
          <w:sz w:val="18"/>
          <w:szCs w:val="18"/>
        </w:rPr>
        <w:t>[6] 刘健智.论中学生科学本质观的内涵[J].物理教学探讨,2006,24(5):1-3.</w:t>
      </w:r>
    </w:p>
    <w:p ns2:paraId="7DCB8D3B">
      <w:pPr>
        <w:spacing w:line="400" w:lineRule="exact"/>
        <w:ind w:left="420" w:hanging="420"/>
        <w:jc w:val="both"/>
      </w:pPr>
      <w:r>
        <w:rPr>
          <w:rFonts w:ascii="Times New Roman" w:hAnsi="Times New Roman" w:eastAsia="宋体"/>
          <w:sz w:val="18"/>
          <w:szCs w:val="18"/>
        </w:rPr>
        <w:t>[7] 刘健智.中学生科学本质观的测量指标研究[J].教育测量与评价(理论版),2009(7):30-33.</w:t>
      </w:r>
    </w:p>
    <w:p ns2:paraId="388C84D3">
      <w:pPr>
        <w:spacing w:line="400" w:lineRule="exact"/>
        <w:ind w:left="420" w:hanging="420"/>
        <w:jc w:val="both"/>
      </w:pPr>
      <w:r>
        <w:rPr>
          <w:rFonts w:ascii="Times New Roman" w:hAnsi="Times New Roman" w:eastAsia="宋体"/>
          <w:sz w:val="18"/>
          <w:szCs w:val="18"/>
        </w:rPr>
        <w:t>[8] LEDERMAN N G, ABD-EL-KHALICK F, BELL R L, et al. Views of nature of science questionnaire: toward valid and meaningful assessment of learners’ conceptions of nature of science[J]. Journal of Research in Science Teaching, 2002, 39(6): 497-521.</w:t>
      </w:r>
    </w:p>
    <w:p ns2:paraId="4992D3A5">
      <w:pPr>
        <w:spacing w:line="400" w:lineRule="exact"/>
        <w:ind w:left="420" w:hanging="420"/>
        <w:jc w:val="both"/>
      </w:pPr>
      <w:r>
        <w:rPr>
          <w:rFonts w:ascii="Times New Roman" w:hAnsi="Times New Roman" w:eastAsia="宋体"/>
          <w:sz w:val="18"/>
          <w:szCs w:val="18"/>
        </w:rPr>
        <w:t>[9] 梁永平,宁君迎.高中生微观认识学习中科学本质观的调查研究[J].化学教育,2007(1):35-37.</w:t>
      </w:r>
    </w:p>
    <w:p ns2:paraId="2D363A21">
      <w:pPr>
        <w:spacing w:line="400" w:lineRule="exact"/>
        <w:ind w:left="420" w:hanging="420"/>
        <w:jc w:val="both"/>
      </w:pPr>
      <w:r>
        <w:rPr>
          <w:rFonts w:ascii="Times New Roman" w:hAnsi="Times New Roman" w:eastAsia="宋体"/>
          <w:sz w:val="18"/>
          <w:szCs w:val="18"/>
        </w:rPr>
        <w:t>[10] 马俊萍.中学教师科学本质观现状及学生科学本质提高策略研究[D].西安:陕西师范大学,2011.</w:t>
      </w:r>
    </w:p>
    <w:p ns2:paraId="46211559">
      <w:pPr>
        <w:spacing w:line="400" w:lineRule="exact"/>
        <w:ind w:left="420" w:hanging="420"/>
        <w:jc w:val="both"/>
      </w:pPr>
      <w:r>
        <w:rPr>
          <w:rFonts w:ascii="Times New Roman" w:hAnsi="Times New Roman" w:eastAsia="宋体"/>
          <w:sz w:val="18"/>
          <w:szCs w:val="18"/>
        </w:rPr>
        <w:t>[11] 罗小凤,刘瑞,甘功露.职前化学教师科学本质教学的影响因素研究[J].化学教育(中英文),2020,41(10):61-66.</w:t>
      </w:r>
    </w:p>
    <w:p ns2:paraId="197C7567">
      <w:pPr>
        <w:spacing w:line="400" w:lineRule="exact"/>
        <w:ind w:left="420" w:hanging="420"/>
        <w:jc w:val="both"/>
      </w:pPr>
      <w:r>
        <w:rPr>
          <w:rFonts w:ascii="Times New Roman" w:hAnsi="Times New Roman" w:eastAsia="宋体"/>
          <w:sz w:val="18"/>
          <w:szCs w:val="18"/>
        </w:rPr>
        <w:t>[12] MONK M, OSBORNE J. Placing the history and philosophy of science on the curriculum: a model for the development of pedagogy[J]. Science Education, 1997, 81(4): 405-424.</w:t>
      </w:r>
    </w:p>
    <w:p ns2:paraId="41F3EBD5">
      <w:pPr>
        <w:spacing w:line="400" w:lineRule="exact"/>
        <w:ind w:left="420" w:hanging="420"/>
        <w:jc w:val="both"/>
      </w:pPr>
      <w:r>
        <w:rPr>
          <w:rFonts w:ascii="Times New Roman" w:hAnsi="Times New Roman" w:eastAsia="宋体"/>
          <w:sz w:val="18"/>
          <w:szCs w:val="18"/>
        </w:rPr>
        <w:t>[13] 袁维新.HPS教学模式和光合作用发现过程的教学案例[J].生物学教学,2004(12):14-15.</w:t>
      </w:r>
    </w:p>
    <w:p ns2:paraId="0996A797">
      <w:pPr>
        <w:spacing w:line="400" w:lineRule="exact"/>
        <w:ind w:left="420" w:hanging="420"/>
        <w:jc w:val="both"/>
      </w:pPr>
      <w:r>
        <w:rPr>
          <w:rFonts w:ascii="Times New Roman" w:hAnsi="Times New Roman" w:eastAsia="宋体"/>
          <w:sz w:val="18"/>
          <w:szCs w:val="18"/>
        </w:rPr>
        <w:t>[14] 皇甫倩,王后雄.HPS教学模型及其在中学化学教学中的运用[J].教育理论与实践,2015,35(2):58-59.</w:t>
      </w:r>
    </w:p>
    <w:p ns2:paraId="6B4B1C98">
      <w:pPr>
        <w:spacing w:line="400" w:lineRule="exact"/>
        <w:ind w:left="420" w:hanging="420"/>
        <w:jc w:val="both"/>
      </w:pPr>
      <w:r>
        <w:rPr>
          <w:rFonts w:ascii="Times New Roman" w:hAnsi="Times New Roman" w:eastAsia="宋体"/>
          <w:sz w:val="18"/>
          <w:szCs w:val="18"/>
        </w:rPr>
        <w:t>[15] 霍爱新,靳莹,李双.基于HPS和STS培养学生化学核心素养的教学设计——以“发展中的化学电源”为例[J].化学教学,2018(5):33-36.</w:t>
      </w:r>
    </w:p>
    <w:p ns2:paraId="0AA72363">
      <w:pPr>
        <w:spacing w:line="400" w:lineRule="exact"/>
        <w:ind w:left="420" w:hanging="420"/>
        <w:jc w:val="both"/>
      </w:pPr>
      <w:r>
        <w:rPr>
          <w:rFonts w:ascii="Times New Roman" w:hAnsi="Times New Roman" w:eastAsia="宋体"/>
          <w:sz w:val="18"/>
          <w:szCs w:val="18"/>
        </w:rPr>
        <w:t>[16] 孙悦,杨天林.HPS教学理念渗透于支架式教学模式中的应用研究——以“化学能与电能”为例[J].化学教与学,2020(2):56-58.</w:t>
      </w:r>
    </w:p>
    <w:p ns2:paraId="7898FEFF">
      <w:pPr>
        <w:spacing w:line="400" w:lineRule="exact"/>
        <w:ind w:left="420" w:hanging="420"/>
        <w:jc w:val="both"/>
      </w:pPr>
      <w:r>
        <w:rPr>
          <w:rFonts w:ascii="Times New Roman" w:hAnsi="Times New Roman" w:eastAsia="宋体"/>
          <w:sz w:val="18"/>
          <w:szCs w:val="18"/>
        </w:rPr>
        <w:t>[17] 满艳艳.基于HPS教学理念的5E教学模式在高中化学中的应用研究[D].银川:宁夏大学,2023.</w:t>
      </w:r>
    </w:p>
    <w:p ns2:paraId="0ED57499">
      <w:pPr>
        <w:spacing w:line="400" w:lineRule="exact"/>
        <w:ind w:left="420" w:hanging="420"/>
        <w:jc w:val="both"/>
      </w:pPr>
      <w:r>
        <w:rPr>
          <w:rFonts w:ascii="Times New Roman" w:hAnsi="Times New Roman" w:eastAsia="宋体"/>
          <w:sz w:val="18"/>
          <w:szCs w:val="18"/>
        </w:rPr>
        <w:t>[18] 白玉香.HPS和Webquest整合教学模型的构建及应用[D].新乡:河南师范大学,2019.</w:t>
      </w:r>
    </w:p>
    <w:p ns2:paraId="5E1FC0D1">
      <w:pPr>
        <w:spacing w:line="400" w:lineRule="exact"/>
        <w:ind w:left="420" w:hanging="420"/>
        <w:jc w:val="both"/>
      </w:pPr>
      <w:r>
        <w:rPr>
          <w:rFonts w:ascii="Times New Roman" w:hAnsi="Times New Roman" w:eastAsia="宋体"/>
          <w:sz w:val="18"/>
          <w:szCs w:val="18"/>
        </w:rPr>
        <w:t>[19] 丁华.基于HPS教学模式的高中化学课堂教学[J].教学与管理,2020(31):53-55.</w:t>
      </w:r>
    </w:p>
    <w:p ns2:paraId="25E6A67E">
      <w:pPr>
        <w:spacing w:line="400" w:lineRule="exact"/>
        <w:ind w:left="420" w:hanging="420"/>
        <w:jc w:val="both"/>
      </w:pPr>
      <w:r>
        <w:rPr>
          <w:rFonts w:ascii="Times New Roman" w:hAnsi="Times New Roman" w:eastAsia="宋体"/>
          <w:sz w:val="18"/>
          <w:szCs w:val="18"/>
        </w:rPr>
        <w:t>[20] SCHWARTZ R S, LEDERMAN N G, CRAWFORD B A. Developing views of nature of science in an authentic context: an explicit approach to bridging the gap between nature of science and scientific inquiry[J]. Science Education, 2004, 88(4): 610-645.</w:t>
      </w:r>
    </w:p>
    <w:p ns2:paraId="11B820ED">
      <w:pPr>
        <w:spacing w:line="400" w:lineRule="exact"/>
        <w:ind w:left="420" w:hanging="420"/>
        <w:jc w:val="both"/>
      </w:pPr>
      <w:r>
        <w:rPr>
          <w:rFonts w:ascii="Times New Roman" w:hAnsi="Times New Roman" w:eastAsia="宋体"/>
          <w:sz w:val="18"/>
          <w:szCs w:val="18"/>
        </w:rPr>
        <w:t>[21] ABD-EL-KHALICK F, LEDERMAN N G. Improving science teachers’ conceptions of nature of science: a critical review of the literature[J]. International Journal of Science Education, 2000, 22(7): 665-701.</w:t>
      </w:r>
    </w:p>
    <w:p ns2:paraId="41CEE14F">
      <w:pPr>
        <w:spacing w:line="400" w:lineRule="exact"/>
        <w:ind w:left="420" w:hanging="420"/>
        <w:jc w:val="both"/>
      </w:pPr>
      <w:r>
        <w:rPr>
          <w:rFonts w:ascii="Times New Roman" w:hAnsi="Times New Roman" w:eastAsia="宋体"/>
          <w:sz w:val="18"/>
          <w:szCs w:val="18"/>
        </w:rPr>
        <w:t>[22] 毕华林,刘冰.基于科学本质教育的化学教科书设计——以元素周期律的发现和学习为例[J].化学教育,2007(5):11-15.</w:t>
      </w:r>
    </w:p>
    <w:p ns2:paraId="5C662A88">
      <w:pPr>
        <w:spacing w:line="400" w:lineRule="exact"/>
        <w:ind w:left="420" w:hanging="420"/>
        <w:jc w:val="both"/>
      </w:pPr>
      <w:r>
        <w:rPr>
          <w:rFonts w:ascii="Times New Roman" w:hAnsi="Times New Roman" w:eastAsia="宋体"/>
          <w:sz w:val="18"/>
          <w:szCs w:val="18"/>
        </w:rPr>
        <w:t>[23] 崔博雅,袁振东.从氟元素发现史中挖掘科学本质观和人文素养[J].化学教育(中英文),2022,43(1):122-126.</w:t>
      </w:r>
    </w:p>
    <w:p ns2:paraId="78A103F8">
      <w:pPr>
        <w:spacing w:line="400" w:lineRule="exact"/>
        <w:ind w:left="420" w:hanging="420"/>
        <w:jc w:val="both"/>
      </w:pPr>
      <w:r>
        <w:rPr>
          <w:rFonts w:ascii="Times New Roman" w:hAnsi="Times New Roman" w:eastAsia="宋体"/>
          <w:sz w:val="18"/>
          <w:szCs w:val="18"/>
        </w:rPr>
        <w:t>[24] 陈俏,耿雁冰,王心怡,等.增进化学科学本质理解的教学设计——以“原子的结构”为例[J].化学教学,2023(4):58-63,73.</w:t>
      </w:r>
    </w:p>
    <w:p ns2:paraId="4687726A">
      <w:pPr>
        <w:spacing w:line="400" w:lineRule="exact"/>
        <w:ind w:left="420" w:hanging="420"/>
        <w:jc w:val="both"/>
      </w:pPr>
      <w:r>
        <w:rPr>
          <w:rFonts w:ascii="Times New Roman" w:hAnsi="Times New Roman" w:eastAsia="宋体"/>
          <w:sz w:val="18"/>
          <w:szCs w:val="18"/>
        </w:rPr>
        <w:t>[25] 沈春花.基于科学本质观的初中化学教学活动设计的研究[D].上海:上海师范大学,2016.</w:t>
      </w:r>
    </w:p>
    <w:p ns2:paraId="2D974FD0">
      <w:pPr>
        <w:spacing w:line="400" w:lineRule="exact"/>
        <w:ind w:left="420" w:hanging="420"/>
        <w:jc w:val="both"/>
      </w:pPr>
      <w:r>
        <w:rPr>
          <w:rFonts w:ascii="Times New Roman" w:hAnsi="Times New Roman" w:eastAsia="宋体"/>
          <w:sz w:val="18"/>
          <w:szCs w:val="18"/>
        </w:rPr>
        <w:t>[26] 曾琳.基于HPS教学的高中化学教学案例研究[D].南昌:江西师范大学,2020.</w:t>
      </w:r>
    </w:p>
    <w:p ns2:paraId="5FC711B1">
      <w:pPr>
        <w:spacing w:line="400" w:lineRule="exact"/>
        <w:ind w:left="420" w:hanging="420"/>
        <w:jc w:val="both"/>
      </w:pPr>
      <w:r>
        <w:rPr>
          <w:rFonts w:ascii="Times New Roman" w:hAnsi="Times New Roman" w:eastAsia="宋体"/>
          <w:sz w:val="18"/>
          <w:szCs w:val="18"/>
        </w:rPr>
        <w:t>[27] 崔世峰,王娟.国内HPS教学融入中学化学教学的研究综述[J].化学教学,2022(4):3-8.</w:t>
      </w:r>
    </w:p>
    <w:p ns2:paraId="11452CC1">
      <w:pPr>
        <w:spacing w:line="400" w:lineRule="exact"/>
        <w:ind w:left="420" w:hanging="420"/>
        <w:jc w:val="both"/>
      </w:pPr>
      <w:r>
        <w:rPr>
          <w:rFonts w:ascii="Times New Roman" w:hAnsi="Times New Roman" w:eastAsia="宋体"/>
          <w:sz w:val="18"/>
          <w:szCs w:val="18"/>
        </w:rPr>
        <w:t>[28] SU R, JIANG Z, WEI B. Representations of nature of science in science textbooks: a systematic review[J]. Science &amp; Education, 2025, 34(3): 585-607.</w:t>
      </w:r>
    </w:p>
    <w:p ns2:paraId="75922941">
      <w:pPr>
        <w:spacing w:before="360" w:after="120"/>
        <w:jc w:val="center"/>
      </w:pPr>
      <w:r>
        <w:rPr>
          <w:rFonts w:ascii="Times New Roman" w:hAnsi="Times New Roman" w:eastAsia="宋体"/>
          <w:b/>
          <w:bCs/>
          <w:sz w:val="24"/>
          <w:szCs w:val="24"/>
        </w:rPr>
        <w:t>Research on Teaching the Nature of Science in Secondary School Chemistry under the HPS Concept: A Visual Analysis Based on CiteSpace</w:t>
      </w:r>
    </w:p>
    <w:p ns2:paraId="510EB127">
      <w:pPr>
        <w:spacing w:after="60"/>
        <w:jc w:val="center"/>
      </w:pPr>
      <w:r>
        <w:rPr>
          <w:rFonts w:ascii="Times New Roman" w:hAnsi="Times New Roman" w:eastAsia="宋体"/>
          <w:sz w:val="21"/>
          <w:szCs w:val="21"/>
        </w:rPr>
        <w:t>LI Xiaoyu</w:t>
      </w:r>
    </w:p>
    <w:p ns2:paraId="5D562F4C">
      <w:pPr>
        <w:spacing w:after="180"/>
        <w:jc w:val="center"/>
      </w:pPr>
      <w:r>
        <w:rPr>
          <w:rFonts w:ascii="Times New Roman" w:hAnsi="Times New Roman" w:eastAsia="宋体"/>
          <w:sz w:val="21"/>
          <w:szCs w:val="21"/>
        </w:rPr>
        <w:t>(Ningbo University, Ningbo 315211, Zhejiang, China)</w:t>
      </w:r>
    </w:p>
    <w:p ns2:paraId="42AAD896">
      <w:pPr>
        <w:spacing w:line="400" w:lineRule="exact"/>
        <w:jc w:val="both"/>
      </w:pPr>
      <w:r>
        <w:rPr>
          <w:rFonts w:ascii="Times New Roman" w:hAnsi="Times New Roman" w:eastAsia="宋体"/>
          <w:b/>
          <w:bCs/>
          <w:sz w:val="21"/>
          <w:szCs w:val="21"/>
        </w:rPr>
        <w:t xml:space="preserve">Abstract: </w:t>
      </w:r>
      <w:r>
        <w:rPr>
          <w:rFonts w:ascii="Times New Roman" w:hAnsi="Times New Roman" w:eastAsia="宋体"/>
          <w:sz w:val="21"/>
          <w:szCs w:val="21"/>
        </w:rPr>
        <w:t>Taking the relevant literature indexed in CNKI from 2008 to 2026 as the research object, this study employs CiteSpace software to conduct a visual analysis of the publication trends, the distribution of research forces, and the keyword maps of domestic research on the HPS teaching concept and the teaching of the nature of science in secondary school chemistry. The findings show that the number of publications in this field has kept growing under the drive of curriculum policies, that the research forces are characterized by high dispersion and weak connection, and that the research hotspots center on three aspects: the connotation and assessment of the nature of science, HPS teaching models and strategies, and the history of chemistry as a carrier. On this basis, prospects for future research are proposed.</w:t>
      </w:r>
    </w:p>
    <w:p ns2:paraId="64627084">
      <w:pPr>
        <w:spacing w:after="240" w:line="400" w:lineRule="exact"/>
        <w:jc w:val="both"/>
      </w:pPr>
      <w:r>
        <w:rPr>
          <w:rFonts w:ascii="Times New Roman" w:hAnsi="Times New Roman" w:eastAsia="宋体"/>
          <w:b/>
          <w:bCs/>
          <w:sz w:val="21"/>
          <w:szCs w:val="21"/>
        </w:rPr>
        <w:t xml:space="preserve">Key words: </w:t>
      </w:r>
      <w:r>
        <w:rPr>
          <w:rFonts w:ascii="Times New Roman" w:hAnsi="Times New Roman" w:eastAsia="宋体"/>
          <w:sz w:val="21"/>
          <w:szCs w:val="21"/>
        </w:rPr>
        <w:t>secondary school chemistry; HPS teaching concept; nature of science; CiteSpace; visual analysis</w:t>
      </w:r>
    </w:p>
    <w:p ns2:paraId="765F7D81">
      <w:pPr>
        <w:spacing w:before="120" w:line="400" w:lineRule="exact"/>
        <w:jc w:val="both"/>
      </w:pPr>
      <w:r>
        <w:rPr>
          <w:rFonts w:ascii="Times New Roman" w:hAnsi="Times New Roman" w:eastAsia="黑体"/>
          <w:b/>
          <w:bCs/>
          <w:sz w:val="21"/>
          <w:szCs w:val="21"/>
        </w:rPr>
        <w:t>作者简介：</w:t>
      </w:r>
      <w:r>
        <w:rPr>
          <w:rFonts w:ascii="Times New Roman" w:hAnsi="Times New Roman" w:eastAsia="宋体"/>
          <w:sz w:val="21"/>
          <w:szCs w:val="21"/>
        </w:rPr>
        <w:t>李晓雨（【出生年】—），【性别】，【民族】，【籍贯（省、市/县）】人，宁波大学【职称/学位，如：在读硕士研究生】，研究方向为化学课程与教学论。联系电话：【联系电话】；电子信箱：lxy1519258790@gmail.com。</w:t>
      </w:r>
    </w:p>
    <w:p ns2:paraId="056B0656">
      <w:pPr>
        <w:spacing w:before="120" w:line="400" w:lineRule="exact"/>
        <w:jc w:val="both"/>
      </w:pPr>
      <w:r>
        <w:rPr>
          <w:rFonts w:ascii="Times New Roman" w:hAnsi="Times New Roman" w:eastAsia="黑体"/>
          <w:b/>
          <w:bCs/>
          <w:sz w:val="21"/>
          <w:szCs w:val="21"/>
        </w:rPr>
        <w:t>基金项目：</w:t>
      </w:r>
      <w:r>
        <w:rPr>
          <w:rFonts w:ascii="Times New Roman" w:hAnsi="Times New Roman" w:eastAsia="宋体"/>
          <w:sz w:val="21"/>
          <w:szCs w:val="21"/>
        </w:rPr>
        <w:t>【如有，请补充项目名称及项目编号；如无，请删除本条】</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useFELayout/>
    <w:compatSetting w:name="compatibilityMode" w:uri="http://schemas.microsoft.com/office/word" w:val="15"/>
  </w:compat>
  <w:rsids>
    <w:rsidRoot w:val="00000000"/>
    <w:rsid w:val="6E1121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sz w:val="21"/>
      <w:szCs w:val="21"/>
    </w:rPr>
  </w:style>
  <w:style w:type="paragraph" w:styleId="2">
    <w:name w:val="heading 1"/>
    <w:next w:val="1"/>
    <w:qFormat/>
    <w:uiPriority w:val="0"/>
    <w:rPr>
      <w:rFonts w:ascii="Times New Roman" w:hAnsi="Times New Roman" w:eastAsia="宋体"/>
      <w:color w:val="2E74B5"/>
      <w:sz w:val="32"/>
      <w:szCs w:val="32"/>
    </w:rPr>
  </w:style>
  <w:style w:type="paragraph" w:styleId="3">
    <w:name w:val="heading 2"/>
    <w:next w:val="1"/>
    <w:qFormat/>
    <w:uiPriority w:val="0"/>
    <w:rPr>
      <w:rFonts w:ascii="Times New Roman" w:hAnsi="Times New Roman" w:eastAsia="宋体"/>
      <w:color w:val="2E74B5"/>
      <w:sz w:val="26"/>
      <w:szCs w:val="26"/>
    </w:rPr>
  </w:style>
  <w:style w:type="paragraph" w:styleId="4">
    <w:name w:val="heading 3"/>
    <w:next w:val="1"/>
    <w:qFormat/>
    <w:uiPriority w:val="0"/>
    <w:rPr>
      <w:rFonts w:ascii="Times New Roman" w:hAnsi="Times New Roman" w:eastAsia="宋体"/>
      <w:color w:val="1F4D78"/>
      <w:sz w:val="24"/>
      <w:szCs w:val="24"/>
    </w:rPr>
  </w:style>
  <w:style w:type="paragraph" w:styleId="5">
    <w:name w:val="heading 4"/>
    <w:next w:val="1"/>
    <w:qFormat/>
    <w:uiPriority w:val="0"/>
    <w:rPr>
      <w:rFonts w:ascii="Times New Roman" w:hAnsi="Times New Roman" w:eastAsia="宋体"/>
      <w:i/>
      <w:iCs/>
      <w:color w:val="2E74B5"/>
      <w:sz w:val="21"/>
      <w:szCs w:val="21"/>
    </w:rPr>
  </w:style>
  <w:style w:type="paragraph" w:styleId="6">
    <w:name w:val="heading 5"/>
    <w:next w:val="1"/>
    <w:qFormat/>
    <w:uiPriority w:val="0"/>
    <w:rPr>
      <w:rFonts w:ascii="Times New Roman" w:hAnsi="Times New Roman" w:eastAsia="宋体"/>
      <w:color w:val="2E74B5"/>
      <w:sz w:val="21"/>
      <w:szCs w:val="21"/>
    </w:rPr>
  </w:style>
  <w:style w:type="paragraph" w:styleId="7">
    <w:name w:val="heading 6"/>
    <w:next w:val="1"/>
    <w:qFormat/>
    <w:uiPriority w:val="0"/>
    <w:rPr>
      <w:rFonts w:ascii="Times New Roman" w:hAnsi="Times New Roman" w:eastAsia="宋体"/>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宋体"/>
      <w:sz w:val="20"/>
      <w:szCs w:val="20"/>
    </w:rPr>
  </w:style>
  <w:style w:type="paragraph" w:styleId="9">
    <w:name w:val="footnote text"/>
    <w:link w:val="17"/>
    <w:semiHidden/>
    <w:unhideWhenUsed/>
    <w:uiPriority w:val="99"/>
    <w:pPr>
      <w:spacing w:after="0" w:line="240" w:lineRule="auto"/>
    </w:pPr>
    <w:rPr>
      <w:rFonts w:ascii="Times New Roman" w:hAnsi="Times New Roman" w:eastAsia="宋体"/>
      <w:sz w:val="20"/>
      <w:szCs w:val="20"/>
    </w:rPr>
  </w:style>
  <w:style w:type="paragraph" w:styleId="10">
    <w:name w:val="Title"/>
    <w:qFormat/>
    <w:uiPriority w:val="0"/>
    <w:rPr>
      <w:rFonts w:ascii="Times New Roman" w:hAnsi="Times New Roman" w:eastAsia="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imes New Roman" w:hAnsi="Times New Roman" w:eastAsia="宋体"/>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1173</Words>
  <Characters>1294</Characters>
  <TotalTime>0</TotalTime>
  <ScaleCrop>false</ScaleCrop>
  <LinksUpToDate>false</LinksUpToDate>
  <CharactersWithSpaces>1302</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2026-08-10T07:50:00Z</dcterms:created>
  <dc:creator>Un-named</dc:creator>
  <cp:lastModifiedBy>世界和平</cp:lastModifiedBy>
  <dcterms:modified xsi:type="dcterms:W3CDTF">2026-08-10T07:53:16Z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6FD95E945C63491BAB12A8C567C8654F_13</vt:lpwstr>
  </property>
</Properties>
</file>