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77DE8F2">
      <w:pPr>
        <w:pStyle w:val="23"/>
        <w:widowControl w:val="0"/>
        <w:ind w:firstLine="460"/>
        <w:rPr>
          <w:rStyle w:val="22"/>
          <w:rFonts w:ascii="宋体" w:hAnsi="宋体" w:cs="宋体"/>
          <w:color w:val="000000"/>
          <w:kern w:val="2"/>
          <w:sz w:val="24"/>
          <w:szCs w:val="24"/>
        </w:rPr>
        <w:sectPr>
          <w:footnotePr>
            <w:numFmt w:val="decimal"/>
            <w:numRestart w:val="eachPage"/>
          </w:footnotePr>
          <w:pgSz w:w="11906" w:h="16838"/>
          <w:pgMar w:top="1134" w:right="1134" w:bottom="1134" w:left="1134" w:header="708" w:footer="708" w:gutter="0"/>
          <w:cols w:space="720" w:num="1"/>
          <w:docGrid w:linePitch="360" w:charSpace="0"/>
        </w:sect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p>
    <w:p w14:paraId="4C27E15C">
      <w:pPr>
        <w:pStyle w:val="23"/>
        <w:widowControl w:val="0"/>
        <w:ind w:firstLine="460"/>
        <w:rPr>
          <w:rFonts w:hint="eastAsia" w:ascii="宋体" w:hAnsi="宋体" w:cs="宋体"/>
          <w:color w:val="000000"/>
          <w:kern w:val="2"/>
          <w:sz w:val="24"/>
          <w:szCs w:val="24"/>
        </w:rPr>
      </w:pPr>
      <w:r>
        <w:rPr>
          <w:rStyle w:val="22"/>
          <w:rFonts w:ascii="宋体" w:hAnsi="宋体" w:cs="宋体"/>
          <w:color w:val="000000"/>
          <w:kern w:val="2"/>
          <w:sz w:val="24"/>
          <w:szCs w:val="24"/>
        </w:rPr>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1"/>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left="0" w:leftChars="0" w:right="0" w:rightChars="0" w:firstLine="0" w:firstLineChars="0"/>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numPr>
          <w:ilvl w:val="1"/>
          <w:numId w:val="14"/>
        </w:numPr>
        <w:ind w:firstLine="0"/>
        <w:rPr>
          <w:rFonts w:hint="eastAsia"/>
        </w:rPr>
      </w:pPr>
      <w:r>
        <w:rPr>
          <w:rFonts w:hint="eastAsia"/>
        </w:rPr>
        <w:t>研究方法</w:t>
      </w:r>
    </w:p>
    <w:p w14:paraId="782E50A7">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4"/>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4"/>
        </w:numPr>
        <w:ind w:left="0" w:leftChars="0" w:firstLine="402" w:firstLineChars="0"/>
      </w:pPr>
      <w:r>
        <w:rPr>
          <w:rFonts w:hint="eastAsia"/>
        </w:rPr>
        <w:t>科学本质观的研究现状</w:t>
      </w:r>
    </w:p>
    <w:p w14:paraId="0FDEE074">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Lines/>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4"/>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left="0" w:leftChars="0" w:right="0" w:rightChars="0" w:firstLine="0" w:firstLineChars="0"/>
        <w:jc w:val="both"/>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4"/>
        </w:numPr>
        <w:ind w:left="0" w:leftChars="0" w:firstLine="402" w:firstLineChars="0"/>
      </w:pPr>
      <w:r>
        <w:rPr>
          <w:rFonts w:hint="eastAsia"/>
        </w:rPr>
        <w:t>科学本质观教学的研究</w:t>
      </w:r>
      <w:r>
        <w:t>现状</w:t>
      </w:r>
    </w:p>
    <w:p w14:paraId="72C78A9B">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4"/>
        </w:numPr>
        <w:ind w:left="0" w:leftChars="0" w:firstLine="402" w:firstLineChars="0"/>
      </w:pPr>
      <w:r>
        <w:rPr>
          <w:rFonts w:hint="eastAsia"/>
        </w:rPr>
        <w:t>HPS教学理念的研究现状</w:t>
      </w:r>
    </w:p>
    <w:p w14:paraId="427533DB">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4"/>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4"/>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4"/>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5"/>
        </w:numPr>
      </w:pPr>
      <w:r>
        <w:rPr>
          <w:rFonts w:hint="eastAsia"/>
        </w:rPr>
        <w:t>化学学科可用的有关HPS教学理念资源充足，很多核心知识点都能找到合适的“问题情境—证据材料—观点演化”的历史线索；</w:t>
      </w:r>
    </w:p>
    <w:p w14:paraId="6462B297">
      <w:pPr>
        <w:numPr>
          <w:ilvl w:val="0"/>
          <w:numId w:val="15"/>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4"/>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left="0" w:leftChars="0" w:right="0" w:rightChars="0"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left="0" w:leftChars="0" w:right="0" w:rightChars="0"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left="0" w:leftChars="0" w:right="0" w:rightChars="0"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926205" cy="4179570"/>
            <wp:effectExtent l="0" t="0" r="7620"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926205" cy="417957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4"/>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left="0" w:leftChars="0" w:right="0" w:rightChars="0"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7"/>
        </w:numPr>
        <w:jc w:val="center"/>
      </w:pPr>
      <w:r>
        <w:rPr>
          <w:rFonts w:hint="eastAsia"/>
        </w:rPr>
        <w:t>理论依据</w:t>
      </w:r>
    </w:p>
    <w:p w14:paraId="1C48D7DB">
      <w:pPr>
        <w:pStyle w:val="5"/>
        <w:numPr>
          <w:ilvl w:val="1"/>
          <w:numId w:val="18"/>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8"/>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7"/>
        </w:numPr>
        <w:jc w:val="center"/>
      </w:pPr>
      <w:r>
        <w:rPr>
          <w:rFonts w:hint="eastAsia"/>
        </w:rPr>
        <w:t>理论框架</w:t>
      </w:r>
    </w:p>
    <w:p w14:paraId="3D8634BD">
      <w:pPr>
        <w:pStyle w:val="5"/>
        <w:numPr>
          <w:ilvl w:val="1"/>
          <w:numId w:val="19"/>
        </w:numPr>
        <w:ind w:firstLine="0"/>
      </w:pPr>
      <w:r>
        <w:rPr>
          <w:rFonts w:hint="eastAsia"/>
        </w:rPr>
        <w:t>基于“课标—教材—学情”的教学前期分析</w:t>
      </w:r>
    </w:p>
    <w:p w14:paraId="60A200E0">
      <w:pPr>
        <w:pStyle w:val="5"/>
        <w:numPr>
          <w:ilvl w:val="1"/>
          <w:numId w:val="20"/>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0"/>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1"/>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1"/>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1"/>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0"/>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19"/>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19"/>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19"/>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4-1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表4-1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19"/>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3"/>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3"/>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3"/>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19"/>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6"/>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6"/>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6"/>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6"/>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本设计将以凯库勒苯环结构模型的提出、质疑与修正为主线，重构教材中分散的史料与实验素材，将其整合为服务于科学知识本质观、科学探究本质观与科学事业本质观协同发展的完整教学链条，实现“教材核心知识+HPS史料”的深度融合。</w:t>
      </w:r>
    </w:p>
    <w:p w14:paraId="14908BA5">
      <w:pPr>
        <w:pStyle w:val="5"/>
        <w:keepNext/>
        <w:keepLines/>
        <w:pageBreakBefore w:val="0"/>
        <w:widowControl w:val="0"/>
        <w:numPr>
          <w:ilvl w:val="1"/>
          <w:numId w:val="25"/>
        </w:numPr>
        <w:kinsoku/>
        <w:wordWrap/>
        <w:overflowPunct/>
        <w:topLinePunct w:val="0"/>
        <w:autoSpaceDE/>
        <w:autoSpaceDN/>
        <w:bidi w:val="0"/>
        <w:adjustRightInd/>
        <w:ind w:firstLine="0"/>
        <w:textAlignment w:val="auto"/>
        <w:rPr>
          <w:rFonts w:hint="eastAsia"/>
        </w:rPr>
      </w:pPr>
      <w:r>
        <w:rPr>
          <w:rFonts w:hint="eastAsia"/>
        </w:rPr>
        <w:t>学情分析</w:t>
      </w: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（一）基于SWOT模型的学情分析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4.1所示</w:t>
      </w:r>
      <w:r>
        <w:rPr>
          <w:rFonts w:hint="eastAsia" w:cs="Times New Roman"/>
          <w:spacing w:val="-5"/>
          <w:sz w:val="24"/>
          <w:lang w:val="en-US" w:eastAsia="zh-CN" w:bidi="ar-SA"/>
        </w:rPr>
        <w:t>。</w:t>
      </w:r>
    </w:p>
    <w:p w14:paraId="24E5903E">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表4.1 学生学情分析</w:t>
      </w:r>
    </w:p>
    <w:p w14:paraId="1F81E840">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trPr>
          <w:tblHeader/>
          <w:cantSplit w:val="0"/>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S：strengths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W：weakness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O：opportunities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T：threats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挑战或困难</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1.高一学生正处于形式运算的阶段，初步具备了假设—演绎推理与抽象概括的能力，这为其理解“假设提出—证据检验—模型修正”这一科学认识的逻辑链条提供了必要的思维基础；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1.学生的抽象逻辑思维尚处于发展初期，对多重证据的综合权衡、模型的动态修正等高阶认知活动仍缺乏自觉运用的经验；</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1.学生对“知识是如何形成的”这一元认知问题尚处于观念可塑期，这恰为HPS理念下以苯分子结构探索史重构其原有认知奠定基础；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1.学生思维尚处于经验型向理论型过渡阶段，容易被历史故事本身的趣味性与戏剧性所吸引，止步于“听故事”的表层认知，未能进一步完成从具体史实向科学本质观念的抽象与迁移；</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2.同时，学生在科学事业本质观维度上的原有认识最为薄弱、也最难以在短课时内实现根本转变，这要求教学设计必须在有限时间内兼顾“历史情境的吸引力”与“科学本质的反思深度”这一双重目标。</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已有知识基础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学生若原有认知不能被有效激活并转化为“冲突意识”，容易简单接受教师讲授的结论，难以真正经历“质疑—求证—修正”的科学探究过程。</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面对苯的工业应用价值与其毒性、致癌性等社会性议题时，学生容易简单化处理，难以形成辩证、全面的价值判断，需要教师提供角色支架加以引导。</w:t>
            </w:r>
          </w:p>
        </w:tc>
      </w:tr>
    </w:tbl>
    <w:p w14:paraId="64FC68F7">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（二）学情优势、机会、挑战与困难的教学利用与应对</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以化学史为主线的HPS教学资源筛选原则”，选取“证据可见性”突出的苯分子结构探索史作为统一情境；并依托“情境、角色、行为、知识、成果、育人价值”六要素模型，为学生设置行业具体角色，将学生乐于参与角色扮演、思辨表达的心理优势直接转化为完成三大学习任务的驱动力，使认知优势充分释放于具体的探究行为之中，而非停留于兴趣层面的调动。</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如“这一修正过程说明科学知识具有怎样的特征？”），引导学生完成从具体史实向抽象科学本质观念的迁移，弥补其自主提炼与反思能力的不足。</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3B17C797">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7"/>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bookmarkStart w:id="5" w:name="_GoBack"/>
      <w:r>
        <w:drawing>
          <wp:anchor distT="0" distB="0" distL="114300" distR="114300" simplePos="0" relativeHeight="251659264" behindDoc="1" locked="0" layoutInCell="1" allowOverlap="1">
            <wp:simplePos x="0" y="0"/>
            <wp:positionH relativeFrom="column">
              <wp:posOffset>132715</wp:posOffset>
            </wp:positionH>
            <wp:positionV relativeFrom="paragraph">
              <wp:posOffset>537210</wp:posOffset>
            </wp:positionV>
            <wp:extent cx="5874385" cy="1235467"/>
            <wp:effectExtent l="0" t="0" r="0" b="0"/>
            <wp:wrapTight wrapText="bothSides">
              <wp:wrapPolygon>
                <wp:start x="0" y="0"/>
                <wp:lineTo x="0" y="21524"/>
                <wp:lineTo x="21574" y="21524"/>
                <wp:lineTo x="21574" y="0"/>
                <wp:lineTo x="0" y="0"/>
              </wp:wrapPolygon>
            </wp:wrapTight>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0"/>
                    <a:stretch>
                      <a:fillRect/>
                    </a:stretch>
                  </pic:blipFill>
                  <pic:spPr>
                    <a:xfrm>
                      <a:off x="0" y="0"/>
                      <a:ext cx="5874385" cy="1235467"/>
                    </a:xfrm>
                    <a:prstGeom prst="rect">
                      <a:avLst/>
                    </a:prstGeom>
                  </pic:spPr>
                </pic:pic>
              </a:graphicData>
            </a:graphic>
          </wp:anchor>
        </w:drawing>
      </w:r>
      <w:bookmarkEnd w:id="5"/>
    </w:p>
    <w:p w14:paraId="4DE45B57">
      <w:pPr>
        <w:pStyle w:val="5"/>
        <w:keepNext/>
        <w:keepLines/>
        <w:pageBreakBefore w:val="0"/>
        <w:widowControl w:val="0"/>
        <w:numPr>
          <w:ilvl w:val="1"/>
          <w:numId w:val="27"/>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389B832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2895B924">
      <w:pPr>
        <w:keepNext w:val="0"/>
        <w:keepLines w:val="0"/>
        <w:pageBreakBefore w:val="0"/>
        <w:widowControl/>
        <w:kinsoku/>
        <w:wordWrap/>
        <w:overflowPunct/>
        <w:topLinePunct w:val="0"/>
        <w:autoSpaceDE/>
        <w:autoSpaceDN/>
        <w:bidi w:val="0"/>
        <w:adjustRightInd/>
        <w:snapToGrid/>
        <w:spacing w:after="120" w:line="400" w:lineRule="exact"/>
        <w:ind w:firstLine="480"/>
        <w:jc w:val="both"/>
        <w:textAlignment w:val="auto"/>
      </w:pPr>
    </w:p>
    <w:p w14:paraId="33F5382B">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0C09BAF-07F5-4786-882E-0FA83525743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爱奇艺黑体">
    <w:panose1 w:val="00000000000000000000"/>
    <w:charset w:val="00"/>
    <w:family w:val="auto"/>
    <w:pitch w:val="default"/>
    <w:sig w:usb0="00000003" w:usb1="00000040" w:usb2="00000000" w:usb3="00000000" w:csb0="00000001" w:csb1="00000000"/>
    <w:embedRegular r:id="rId2" w:fontKey="{FA11AFC4-F814-4C99-A940-A2BE09333D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p>
  </w:footnote>
  <w:footnote w:id="24">
    <w:p w14:paraId="3AB2743A">
      <w:pPr>
        <w:pStyle w:val="16"/>
        <w:snapToGrid w:val="0"/>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5">
    <w:nsid w:val="221F3E44"/>
    <w:multiLevelType w:val="singleLevel"/>
    <w:tmpl w:val="221F3E44"/>
    <w:lvl w:ilvl="0" w:tentative="0">
      <w:start w:val="1"/>
      <w:numFmt w:val="chineseCounting"/>
      <w:suff w:val="nothing"/>
      <w:lvlText w:val="第%1，"/>
      <w:lvlJc w:val="left"/>
      <w:rPr>
        <w:rFonts w:hint="eastAsia"/>
      </w:rPr>
    </w:lvl>
  </w:abstractNum>
  <w:abstractNum w:abstractNumId="16">
    <w:nsid w:val="34E3785F"/>
    <w:multiLevelType w:val="singleLevel"/>
    <w:tmpl w:val="34E3785F"/>
    <w:lvl w:ilvl="0" w:tentative="0">
      <w:start w:val="1"/>
      <w:numFmt w:val="chineseCounting"/>
      <w:suff w:val="nothing"/>
      <w:lvlText w:val="第%1，"/>
      <w:lvlJc w:val="left"/>
      <w:rPr>
        <w:rFonts w:hint="eastAsia"/>
      </w:rPr>
    </w:lvl>
  </w:abstractNum>
  <w:abstractNum w:abstractNumId="17">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9">
    <w:nsid w:val="46C74E3D"/>
    <w:multiLevelType w:val="singleLevel"/>
    <w:tmpl w:val="46C74E3D"/>
    <w:lvl w:ilvl="0" w:tentative="0">
      <w:start w:val="1"/>
      <w:numFmt w:val="chineseCounting"/>
      <w:suff w:val="nothing"/>
      <w:lvlText w:val="（%1）"/>
      <w:lvlJc w:val="left"/>
      <w:rPr>
        <w:rFonts w:hint="eastAsia"/>
      </w:rPr>
    </w:lvl>
  </w:abstractNum>
  <w:abstractNum w:abstractNumId="20">
    <w:nsid w:val="52CB6702"/>
    <w:multiLevelType w:val="singleLevel"/>
    <w:tmpl w:val="52CB6702"/>
    <w:lvl w:ilvl="0" w:tentative="0">
      <w:start w:val="1"/>
      <w:numFmt w:val="decimal"/>
      <w:suff w:val="nothing"/>
      <w:lvlText w:val="（%1）"/>
      <w:lvlJc w:val="left"/>
    </w:lvl>
  </w:abstractNum>
  <w:abstractNum w:abstractNumId="21">
    <w:nsid w:val="5B6470E2"/>
    <w:multiLevelType w:val="singleLevel"/>
    <w:tmpl w:val="5B6470E2"/>
    <w:lvl w:ilvl="0" w:tentative="0">
      <w:start w:val="1"/>
      <w:numFmt w:val="decimal"/>
      <w:lvlText w:val="(%1)"/>
      <w:lvlJc w:val="left"/>
      <w:pPr>
        <w:ind w:left="425" w:hanging="425"/>
      </w:pPr>
      <w:rPr>
        <w:rFonts w:hint="default"/>
      </w:rPr>
    </w:lvl>
  </w:abstractNum>
  <w:abstractNum w:abstractNumId="22">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3">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4">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5">
    <w:nsid w:val="789E0C00"/>
    <w:multiLevelType w:val="singleLevel"/>
    <w:tmpl w:val="789E0C00"/>
    <w:lvl w:ilvl="0" w:tentative="0">
      <w:start w:val="1"/>
      <w:numFmt w:val="decimal"/>
      <w:lvlText w:val="(%1)"/>
      <w:lvlJc w:val="left"/>
      <w:pPr>
        <w:ind w:left="425" w:hanging="425"/>
      </w:pPr>
      <w:rPr>
        <w:rFonts w:hint="default"/>
      </w:rPr>
    </w:lvl>
  </w:abstractNum>
  <w:abstractNum w:abstractNumId="26">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4"/>
  </w:num>
  <w:num w:numId="4">
    <w:abstractNumId w:val="9"/>
  </w:num>
  <w:num w:numId="5">
    <w:abstractNumId w:val="8"/>
  </w:num>
  <w:num w:numId="6">
    <w:abstractNumId w:val="21"/>
  </w:num>
  <w:num w:numId="7">
    <w:abstractNumId w:val="26"/>
  </w:num>
  <w:num w:numId="8">
    <w:abstractNumId w:val="25"/>
  </w:num>
  <w:num w:numId="9">
    <w:abstractNumId w:val="7"/>
  </w:num>
  <w:num w:numId="10">
    <w:abstractNumId w:val="5"/>
  </w:num>
  <w:num w:numId="11">
    <w:abstractNumId w:val="17"/>
  </w:num>
  <w:num w:numId="12">
    <w:abstractNumId w:val="20"/>
  </w:num>
  <w:num w:numId="13">
    <w:abstractNumId w:val="4"/>
  </w:num>
  <w:num w:numId="14">
    <w:abstractNumId w:val="23"/>
  </w:num>
  <w:num w:numId="15">
    <w:abstractNumId w:val="15"/>
  </w:num>
  <w:num w:numId="16">
    <w:abstractNumId w:val="14"/>
  </w:num>
  <w:num w:numId="17">
    <w:abstractNumId w:val="11"/>
  </w:num>
  <w:num w:numId="18">
    <w:abstractNumId w:val="3"/>
  </w:num>
  <w:num w:numId="19">
    <w:abstractNumId w:val="22"/>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6"/>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10"/>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
  </w:num>
  <w:num w:numId="29">
    <w:abstractNumId w:val="1"/>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E9B2AE6"/>
    <w:rsid w:val="70A538B1"/>
    <w:rsid w:val="71F941EE"/>
    <w:rsid w:val="752E10B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48</Pages>
  <Words>3084</Words>
  <Characters>3191</Characters>
  <Lines>591</Lines>
  <Paragraphs>295</Paragraphs>
  <TotalTime>7</TotalTime>
  <ScaleCrop>false</ScaleCrop>
  <LinksUpToDate>false</LinksUpToDate>
  <CharactersWithSpaces>3196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2026-07-30T12:13:37Z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1F8022B64D34448AAA41265E07AADA2C_12</vt:lpwstr>
  </property>
</Properties>
</file>