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STYLEREF 1 \s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noBreakHyphen/>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SEQ HPS教学理念在课标必修课程部分中的体现 \* ARABIC \s 1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
      </w:r>
      <w:r>
        <w:rPr>
          <w:rStyle w:val="22"/>
          <w:rFonts w:ascii="宋体" w:hAnsi="宋体" w:cs="宋体"/>
          <w:color w:val="000000"/>
          <w:kern w:val="2"/>
          <w:sz w:val="24"/>
          <w:szCs w:val="24"/>
        </w:rPr>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r>
      <w:r>
        <w:rPr>
          <w:rFonts w:hint="eastAsia" w:ascii="宋体" w:hAnsi="宋体" w:cs="宋体"/>
          <w:color w:val="000000"/>
          <w:kern w:val="2"/>
          <w:sz w:val="24"/>
          <w:szCs w:val="24"/>
          <w:vertAlign w:val="superscript"/>
        </w:rPr>
        <w:footnoteReference w:id="2"/>
      </w:r>
      <w:r>
        <w:rPr>
          <w:rFonts w:hint="eastAsia" w:ascii="宋体" w:hAnsi="宋体" w:cs="宋体"/>
          <w:color w:val="000000"/>
          <w:kern w:val="2"/>
          <w:sz w:val="24"/>
          <w:szCs w:val="24"/>
          <w:vertAlign w:val="superscript"/>
        </w:rPr>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6"/>
      </w:r>
      <w:r>
        <w:rPr>
          <w:rFonts w:ascii="宋体" w:hAnsi="宋体" w:cs="宋体"/>
          <w:color w:val="000000"/>
          <w:kern w:val="2"/>
          <w:sz w:val="24"/>
          <w:szCs w:val="24"/>
          <w:vertAlign w:val="superscript"/>
        </w:rPr>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7"/>
      </w:r>
      <w:r>
        <w:rPr>
          <w:rFonts w:ascii="宋体" w:hAnsi="宋体" w:cs="宋体"/>
          <w:color w:val="000000"/>
          <w:kern w:val="2"/>
          <w:sz w:val="24"/>
          <w:szCs w:val="24"/>
          <w:vertAlign w:val="superscript"/>
        </w:rPr>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8"/>
      </w:r>
      <w:r>
        <w:rPr>
          <w:rFonts w:ascii="宋体" w:hAnsi="宋体" w:cs="宋体"/>
          <w:color w:val="000000"/>
          <w:kern w:val="2"/>
          <w:sz w:val="24"/>
          <w:szCs w:val="24"/>
          <w:vertAlign w:val="superscript"/>
        </w:rPr>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0"/>
      </w:r>
      <w:r>
        <w:rPr>
          <w:rStyle w:val="22"/>
          <w:rFonts w:ascii="宋体" w:hAnsi="宋体" w:cs="宋体"/>
          <w:color w:val="000000"/>
          <w:kern w:val="2"/>
          <w:sz w:val="24"/>
          <w:szCs w:val="24"/>
        </w:rPr>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1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r>
      <w:r>
        <w:rPr>
          <w:rFonts w:hint="eastAsia" w:ascii="宋体" w:hAnsi="宋体" w:cs="宋体"/>
          <w:bCs/>
          <w:color w:val="000000"/>
          <w:sz w:val="24"/>
          <w:szCs w:val="24"/>
          <w:vertAlign w:val="superscript"/>
        </w:rPr>
        <w:footnoteReference w:id="12"/>
      </w:r>
      <w:r>
        <w:rPr>
          <w:rFonts w:hint="eastAsia" w:ascii="宋体" w:hAnsi="宋体" w:cs="宋体"/>
          <w:bCs/>
          <w:color w:val="000000"/>
          <w:sz w:val="24"/>
          <w:szCs w:val="24"/>
          <w:vertAlign w:val="superscript"/>
        </w:rPr>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3"/>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4"/>
      </w:r>
      <w:r>
        <w:rPr>
          <w:rStyle w:val="22"/>
          <w:rFonts w:hint="eastAsia" w:ascii="宋体" w:hAnsi="宋体" w:cs="宋体"/>
          <w:bCs/>
          <w:color w:val="000000"/>
          <w:sz w:val="24"/>
          <w:szCs w:val="24"/>
        </w:rPr>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r>
      <w:r>
        <w:rPr>
          <w:rStyle w:val="22"/>
          <w:rFonts w:ascii="宋体" w:hAnsi="宋体" w:cs="宋体"/>
          <w:bCs/>
          <w:color w:val="000000"/>
          <w:sz w:val="24"/>
          <w:szCs w:val="24"/>
        </w:rPr>
        <w:footnoteReference w:id="15"/>
      </w:r>
      <w:r>
        <w:rPr>
          <w:rStyle w:val="22"/>
          <w:rFonts w:ascii="宋体" w:hAnsi="宋体" w:cs="宋体"/>
          <w:bCs/>
          <w:color w:val="000000"/>
          <w:sz w:val="24"/>
          <w:szCs w:val="24"/>
        </w:rPr>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6"/>
      </w:r>
      <w:r>
        <w:rPr>
          <w:rStyle w:val="22"/>
          <w:rFonts w:hint="eastAsia" w:ascii="宋体" w:hAnsi="宋体" w:cs="宋体"/>
          <w:bCs/>
          <w:color w:val="000000"/>
          <w:sz w:val="24"/>
          <w:szCs w:val="24"/>
        </w:rPr>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7"/>
      </w:r>
      <w:r>
        <w:rPr>
          <w:rStyle w:val="22"/>
          <w:rFonts w:hint="eastAsia" w:ascii="宋体" w:hAnsi="宋体" w:cs="宋体"/>
          <w:bCs/>
          <w:color w:val="000000"/>
          <w:sz w:val="24"/>
          <w:szCs w:val="24"/>
        </w:rPr>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8"/>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9"/>
      </w:r>
      <w:r>
        <w:rPr>
          <w:rStyle w:val="22"/>
          <w:rFonts w:hint="eastAsia" w:ascii="宋体" w:hAnsi="宋体" w:cs="宋体"/>
          <w:bCs/>
          <w:color w:val="000000"/>
          <w:sz w:val="24"/>
          <w:szCs w:val="24"/>
        </w:rPr>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r>
      <w:r>
        <w:rPr>
          <w:rStyle w:val="22"/>
          <w:rFonts w:ascii="宋体" w:hAnsi="宋体" w:cs="宋体"/>
          <w:bCs/>
          <w:color w:val="000000"/>
          <w:sz w:val="24"/>
          <w:szCs w:val="24"/>
        </w:rPr>
        <w:footnoteReference w:id="20"/>
      </w:r>
      <w:r>
        <w:rPr>
          <w:rStyle w:val="22"/>
          <w:rFonts w:ascii="宋体" w:hAnsi="宋体" w:cs="宋体"/>
          <w:bCs/>
          <w:color w:val="000000"/>
          <w:sz w:val="24"/>
          <w:szCs w:val="24"/>
        </w:rPr>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r>
      <w:r>
        <w:rPr>
          <w:rStyle w:val="22"/>
          <w:rFonts w:ascii="宋体" w:hAnsi="宋体" w:cs="宋体"/>
          <w:bCs/>
          <w:color w:val="000000"/>
          <w:sz w:val="24"/>
          <w:szCs w:val="24"/>
        </w:rPr>
        <w:footnoteReference w:id="21"/>
      </w:r>
      <w:r>
        <w:rPr>
          <w:rStyle w:val="22"/>
          <w:rFonts w:ascii="宋体" w:hAnsi="宋体" w:cs="宋体"/>
          <w:bCs/>
          <w:color w:val="000000"/>
          <w:sz w:val="24"/>
          <w:szCs w:val="24"/>
        </w:rPr>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22"/>
      </w:r>
      <w:r>
        <w:rPr>
          <w:rStyle w:val="22"/>
          <w:rFonts w:hint="eastAsia" w:ascii="宋体" w:hAnsi="宋体" w:cs="宋体"/>
          <w:bCs/>
          <w:color w:val="000000"/>
          <w:sz w:val="24"/>
          <w:szCs w:val="24"/>
        </w:rPr>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r>
      <w:r>
        <w:rPr>
          <w:rStyle w:val="22"/>
          <w:rFonts w:hint="eastAsia" w:ascii="宋体" w:hAnsi="宋体" w:cs="宋体"/>
          <w:bCs/>
          <w:color w:val="000000"/>
          <w:szCs w:val="24"/>
        </w:rPr>
        <w:footnoteReference w:id="23"/>
      </w:r>
      <w:r>
        <w:rPr>
          <w:rStyle w:val="22"/>
          <w:rFonts w:hint="eastAsia" w:ascii="宋体" w:hAnsi="宋体" w:cs="宋体"/>
          <w:bCs/>
          <w:color w:val="000000"/>
          <w:szCs w:val="24"/>
        </w:rPr>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r>
      <w:r>
        <w:rPr>
          <w:rStyle w:val="22"/>
          <w:rFonts w:ascii="宋体" w:hAnsi="宋体" w:cs="宋体"/>
          <w:bCs/>
          <w:color w:val="000000"/>
          <w:sz w:val="24"/>
          <w:szCs w:val="24"/>
        </w:rPr>
        <w:footnoteReference w:id="24"/>
      </w:r>
      <w:r>
        <w:rPr>
          <w:rStyle w:val="22"/>
          <w:rFonts w:ascii="宋体" w:hAnsi="宋体" w:cs="宋体"/>
          <w:bCs/>
          <w:color w:val="000000"/>
          <w:sz w:val="24"/>
          <w:szCs w:val="24"/>
        </w:rPr>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r>
      <w:r>
        <w:rPr>
          <w:rStyle w:val="22"/>
          <w:rFonts w:ascii="宋体" w:hAnsi="宋体" w:cs="宋体"/>
          <w:bCs/>
          <w:color w:val="000000"/>
          <w:sz w:val="24"/>
          <w:szCs w:val="24"/>
        </w:rPr>
        <w:footnoteReference w:id="25"/>
      </w:r>
      <w:r>
        <w:rPr>
          <w:rStyle w:val="22"/>
          <w:rFonts w:ascii="宋体" w:hAnsi="宋体" w:cs="宋体"/>
          <w:bCs/>
          <w:color w:val="000000"/>
          <w:sz w:val="24"/>
          <w:szCs w:val="24"/>
        </w:rPr>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r>
      <w:r>
        <w:rPr>
          <w:rStyle w:val="22"/>
          <w:rFonts w:ascii="宋体" w:hAnsi="宋体" w:cs="宋体"/>
          <w:bCs/>
          <w:color w:val="000000"/>
          <w:sz w:val="24"/>
          <w:szCs w:val="24"/>
        </w:rPr>
        <w:footnoteReference w:id="26"/>
      </w:r>
      <w:r>
        <w:rPr>
          <w:rStyle w:val="22"/>
          <w:rFonts w:ascii="宋体" w:hAnsi="宋体" w:cs="宋体"/>
          <w:bCs/>
          <w:color w:val="000000"/>
          <w:sz w:val="24"/>
          <w:szCs w:val="24"/>
        </w:rPr>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r>
      <w:r>
        <w:rPr>
          <w:rStyle w:val="22"/>
          <w:rFonts w:ascii="宋体" w:hAnsi="宋体" w:cs="宋体"/>
          <w:bCs/>
          <w:color w:val="000000"/>
          <w:sz w:val="24"/>
          <w:szCs w:val="24"/>
        </w:rPr>
        <w:footnoteReference w:id="27"/>
      </w:r>
      <w:r>
        <w:rPr>
          <w:rStyle w:val="22"/>
          <w:rFonts w:ascii="宋体" w:hAnsi="宋体" w:cs="宋体"/>
          <w:bCs/>
          <w:color w:val="000000"/>
          <w:sz w:val="24"/>
          <w:szCs w:val="24"/>
        </w:rPr>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r>
      <w:r>
        <w:rPr>
          <w:rStyle w:val="22"/>
          <w:rFonts w:ascii="宋体" w:hAnsi="宋体" w:cs="宋体"/>
          <w:bCs/>
          <w:color w:val="000000"/>
          <w:sz w:val="24"/>
          <w:szCs w:val="24"/>
        </w:rPr>
        <w:footnoteReference w:id="28"/>
      </w:r>
      <w:r>
        <w:rPr>
          <w:rStyle w:val="22"/>
          <w:rFonts w:ascii="宋体" w:hAnsi="宋体" w:cs="宋体"/>
          <w:bCs/>
          <w:color w:val="000000"/>
          <w:sz w:val="24"/>
          <w:szCs w:val="24"/>
        </w:rPr>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r>
      <w:r>
        <w:rPr>
          <w:rStyle w:val="22"/>
          <w:rFonts w:ascii="宋体" w:hAnsi="宋体" w:cs="宋体"/>
          <w:bCs/>
          <w:color w:val="000000"/>
          <w:sz w:val="24"/>
          <w:szCs w:val="24"/>
        </w:rPr>
        <w:footnoteReference w:id="29"/>
      </w:r>
      <w:r>
        <w:rPr>
          <w:rStyle w:val="22"/>
          <w:rFonts w:ascii="宋体" w:hAnsi="宋体" w:cs="宋体"/>
          <w:bCs/>
          <w:color w:val="000000"/>
          <w:sz w:val="24"/>
          <w:szCs w:val="24"/>
        </w:rPr>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0"/>
      </w:r>
      <w:r>
        <w:rPr>
          <w:rStyle w:val="22"/>
          <w:rFonts w:hint="eastAsia" w:ascii="宋体" w:hAnsi="宋体" w:cs="宋体"/>
          <w:color w:val="000000"/>
          <w:kern w:val="2"/>
          <w:szCs w:val="24"/>
        </w:rPr>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2"/>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3"/>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4"/>
      </w:r>
      <w:r>
        <w:rPr>
          <w:rStyle w:val="22"/>
          <w:rFonts w:hint="eastAsia" w:ascii="宋体" w:hAnsi="宋体" w:cs="宋体"/>
          <w:color w:val="000000"/>
          <w:kern w:val="2"/>
          <w:sz w:val="24"/>
          <w:szCs w:val="24"/>
        </w:rPr>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5"/>
      </w:r>
      <w:r>
        <w:rPr>
          <w:rStyle w:val="22"/>
          <w:rFonts w:hint="eastAsia" w:ascii="宋体" w:hAnsi="宋体" w:cs="宋体"/>
          <w:color w:val="000000"/>
          <w:kern w:val="2"/>
          <w:szCs w:val="24"/>
        </w:rPr>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6"/>
      </w:r>
      <w:r>
        <w:rPr>
          <w:rStyle w:val="22"/>
          <w:rFonts w:hint="eastAsia" w:ascii="宋体" w:hAnsi="宋体" w:cs="宋体"/>
          <w:color w:val="000000"/>
          <w:kern w:val="2"/>
          <w:szCs w:val="24"/>
        </w:rPr>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7"/>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8"/>
      </w:r>
      <w:r>
        <w:rPr>
          <w:rStyle w:val="22"/>
          <w:rFonts w:hint="eastAsia" w:ascii="宋体" w:hAnsi="宋体" w:cs="宋体"/>
          <w:color w:val="000000"/>
          <w:kern w:val="2"/>
          <w:sz w:val="24"/>
          <w:szCs w:val="24"/>
        </w:rPr>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42"/>
      </w:r>
      <w:r>
        <w:rPr>
          <w:rStyle w:val="22"/>
          <w:rFonts w:hint="eastAsia" w:ascii="宋体" w:hAnsi="宋体" w:cs="宋体"/>
          <w:color w:val="000000"/>
          <w:kern w:val="2"/>
          <w:szCs w:val="24"/>
        </w:rPr>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3"/>
      </w:r>
      <w:r>
        <w:rPr>
          <w:rStyle w:val="22"/>
          <w:rFonts w:hint="eastAsia" w:ascii="宋体" w:hAnsi="宋体" w:cs="宋体"/>
          <w:color w:val="000000"/>
          <w:sz w:val="24"/>
          <w:szCs w:val="24"/>
        </w:rPr>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4"/>
      </w:r>
      <w:r>
        <w:rPr>
          <w:rStyle w:val="22"/>
          <w:rFonts w:hint="eastAsia" w:ascii="宋体" w:hAnsi="宋体" w:cs="宋体"/>
          <w:color w:val="000000"/>
          <w:sz w:val="24"/>
          <w:szCs w:val="24"/>
        </w:rPr>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5"/>
      </w:r>
      <w:r>
        <w:rPr>
          <w:rStyle w:val="22"/>
          <w:rFonts w:hint="eastAsia" w:ascii="宋体" w:hAnsi="宋体" w:cs="宋体"/>
          <w:color w:val="000000"/>
          <w:sz w:val="24"/>
          <w:szCs w:val="24"/>
        </w:rPr>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r>
      <w:r>
        <w:rPr>
          <w:rStyle w:val="22"/>
          <w:rFonts w:ascii="宋体" w:hAnsi="宋体" w:cs="宋体"/>
          <w:bCs/>
          <w:color w:val="000000"/>
          <w:sz w:val="24"/>
          <w:szCs w:val="24"/>
        </w:rPr>
        <w:footnoteReference w:id="46"/>
      </w:r>
      <w:r>
        <w:rPr>
          <w:rStyle w:val="22"/>
          <w:rFonts w:ascii="宋体" w:hAnsi="宋体" w:cs="宋体"/>
          <w:bCs/>
          <w:color w:val="000000"/>
          <w:sz w:val="24"/>
          <w:szCs w:val="24"/>
        </w:rPr>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7"/>
      </w:r>
      <w:r>
        <w:rPr>
          <w:rStyle w:val="22"/>
          <w:rFonts w:ascii="宋体" w:hAnsi="宋体" w:cs="宋体"/>
          <w:bCs/>
          <w:color w:val="000000"/>
          <w:sz w:val="24"/>
          <w:szCs w:val="24"/>
        </w:rPr>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8"/>
      </w:r>
      <w:r>
        <w:rPr>
          <w:rStyle w:val="22"/>
          <w:rFonts w:ascii="宋体" w:hAnsi="宋体" w:cs="宋体"/>
          <w:bCs/>
          <w:color w:val="000000"/>
          <w:sz w:val="24"/>
          <w:szCs w:val="24"/>
        </w:rPr>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9"/>
      </w:r>
      <w:r>
        <w:rPr>
          <w:rStyle w:val="22"/>
          <w:rFonts w:ascii="宋体" w:hAnsi="宋体" w:cs="宋体"/>
          <w:bCs/>
          <w:color w:val="000000"/>
          <w:sz w:val="24"/>
          <w:szCs w:val="24"/>
        </w:rPr>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r>
      <w:r>
        <w:rPr>
          <w:rStyle w:val="22"/>
          <w:rFonts w:ascii="宋体" w:hAnsi="宋体" w:cs="宋体"/>
          <w:bCs/>
          <w:color w:val="000000"/>
          <w:sz w:val="24"/>
          <w:szCs w:val="24"/>
        </w:rPr>
        <w:footnoteReference w:id="50"/>
      </w:r>
      <w:r>
        <w:rPr>
          <w:rStyle w:val="22"/>
          <w:rFonts w:ascii="宋体" w:hAnsi="宋体" w:cs="宋体"/>
          <w:bCs/>
          <w:color w:val="000000"/>
          <w:sz w:val="24"/>
          <w:szCs w:val="24"/>
        </w:rPr>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2"/>
      </w:r>
      <w:r>
        <w:rPr>
          <w:rStyle w:val="22"/>
          <w:rFonts w:hint="eastAsia" w:ascii="宋体" w:hAnsi="宋体" w:cs="宋体"/>
          <w:color w:val="000000"/>
          <w:kern w:val="2"/>
          <w:szCs w:val="24"/>
        </w:rPr>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r>
      <w:r>
        <w:rPr>
          <w:rStyle w:val="22"/>
        </w:rPr>
        <w:footnoteReference w:id="53"/>
      </w:r>
      <w:r>
        <w:rPr>
          <w:rStyle w:val="22"/>
        </w:rPr>
        <w:t>］</w:t>
      </w:r>
      <w:r>
        <w:t>首次提出：科学本质即为科学的历史与本质。美国科学促进会</w:t>
      </w:r>
      <w:r>
        <w:rPr>
          <w:rStyle w:val="22"/>
        </w:rPr>
        <w:t>［</w:t>
      </w:r>
      <w:r>
        <w:rPr>
          <w:rStyle w:val="22"/>
        </w:rPr>
        <w:footnoteReference w:id="54"/>
      </w:r>
      <w:r>
        <w:rPr>
          <w:rStyle w:val="22"/>
        </w:rPr>
        <w:t>］</w:t>
      </w:r>
      <w:r>
        <w:t>将科学本质分为三个方面：科学世界观、科学事业、科学探究活动。Nussbaum将科学本质内涵发展分为传统和现代两类。刘健智</w:t>
      </w:r>
      <w:r>
        <w:rPr>
          <w:rStyle w:val="22"/>
        </w:rPr>
        <w:t>［</w:t>
      </w:r>
      <w:r>
        <w:rPr>
          <w:rStyle w:val="22"/>
        </w:rPr>
        <w:footnoteReference w:id="55"/>
      </w:r>
      <w:r>
        <w:rPr>
          <w:rStyle w:val="22"/>
        </w:rPr>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6"/>
      </w:r>
      <w:r>
        <w:rPr>
          <w:rStyle w:val="22"/>
          <w:rFonts w:hint="eastAsia" w:ascii="宋体" w:hAnsi="宋体" w:cs="宋体"/>
          <w:color w:val="000000"/>
          <w:kern w:val="2"/>
          <w:szCs w:val="24"/>
        </w:rPr>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r>
      <w:r>
        <w:rPr>
          <w:rFonts w:hint="eastAsia"/>
          <w:vertAlign w:val="superscript"/>
        </w:rPr>
        <w:footnoteReference w:id="57"/>
      </w:r>
      <w:r>
        <w:rPr>
          <w:rFonts w:hint="eastAsia"/>
          <w:vertAlign w:val="superscript"/>
        </w:rPr>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keepLines/>
        <w:pageBreakBefore w:val="0"/>
        <w:widowControl w:val="0"/>
        <w:numPr>
          <w:ilvl w:val="1"/>
          <w:numId w:val="26"/>
        </w:numPr>
        <w:kinsoku/>
        <w:wordWrap/>
        <w:overflowPunct/>
        <w:topLinePunct w:val="0"/>
        <w:autoSpaceDE/>
        <w:autoSpaceDN/>
        <w:bidi w:val="0"/>
        <w:adjustRightInd/>
        <w:ind w:firstLine="0"/>
        <w:textAlignment w:val="auto"/>
        <w:rPr>
          <w:rFonts w:hint="eastAsia"/>
          <w:highlight w:val="yellow"/>
        </w:rPr>
      </w:pPr>
      <w:r>
        <w:rPr>
          <w:rFonts w:hint="eastAsia"/>
          <w:highlight w:val="yellow"/>
        </w:rPr>
        <w:t>学情分析</w:t>
      </w:r>
    </w:p>
    <w:p w14:paraId="6AA40AA3">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keepLines w:val="0"/>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keepLines w:val="0"/>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w:t>
      </w:r>
      <w:r>
        <w:rPr>
          <w:rFonts w:hint="eastAsia" w:ascii="宋体" w:hAnsi="宋体" w:cs="宋体"/>
          <w:b/>
          <w:bCs/>
          <w:sz w:val="24"/>
          <w:szCs w:val="24"/>
          <w:highlight w:val="yellow"/>
          <w:lang w:val="en-US" w:eastAsia="zh-CN"/>
        </w:rPr>
        <w:t>-</w:t>
      </w:r>
      <w:r>
        <w:rPr>
          <w:rFonts w:ascii="宋体" w:hAnsi="宋体" w:eastAsia="宋体" w:cs="宋体"/>
          <w:b/>
          <w:bCs/>
          <w:sz w:val="24"/>
          <w:szCs w:val="24"/>
          <w:highlight w:val="yellow"/>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pPr>
        <w:spacing w:before="120"/>
        <w:ind w:firstLine="0" w:firstLineChars="0"/>
        <w:jc w:val="center"/>
        <w:rPr>
          <w:rFonts w:hint="eastAsia"/>
        </w:rPr>
      </w:pPr>
      <w:r>
        <w:rPr>
          <w:rFonts w:hint="eastAsia"/>
        </w:rPr>
        <w:drawing>
          <wp:inline distT="0" distB="0" distL="114300" distR="114300">
            <wp:extent cx="5900000" cy="2000378"/>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24"/>
                    <a:stretch>
                      <a:fillRect/>
                    </a:stretch>
                  </pic:blipFill>
                  <pic:spPr>
                    <a:xfrm>
                      <a:off x="0" y="0"/>
                      <a:ext cx="5900000" cy="2000378"/>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本活动承接第一项学习任务，指向科学知识本质观的培养，按“情境引入—性质预测—证据研读—模型修正—反思追问”五个环节展开。教师首先呈现法拉第从照明气残留液中分离得到苯、分子式确定为</w:t>
      </w:r>
      <w:r>
        <w:rPr>
          <w:rFonts w:hint="eastAsia"/>
        </w:rPr>
        <w:t>C</w:t>
      </w:r>
      <w:r>
        <w:rPr>
          <w:rFonts w:hint="eastAsia"/>
          <w:vertAlign w:val="subscript"/>
        </w:rPr>
        <w:t>6</w:t>
      </w:r>
      <w:r>
        <w:rPr>
          <w:rFonts w:hint="eastAsia"/>
        </w:rPr>
        <w:t>H</w:t>
      </w:r>
      <w:r>
        <w:rPr>
          <w:rFonts w:hint="eastAsia"/>
          <w:vertAlign w:val="subscript"/>
        </w:rPr>
        <w:t>6</w:t>
      </w:r>
      <w:r>
        <w:rPr>
          <w:rFonts w:hint="eastAsia"/>
        </w:rPr>
        <w:t>的史实，引导学生依据碳氢比推断苯“应当”具有的高度不饱和性，并对苯的化学性质作出预测，制造第一重认知冲突。随后，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在此基础上尝试提出修正设想，并绘制苯分子结构认识的演变脉络图。</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活动最后设置显性反思环节。教师追问：“这一修正过程说明科学知识具有怎样的特征？”引导学生回顾“遇到矛盾—分析缺陷—修正模型”的完整推演，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按“依据经验预测—对比实验验证—定量数据研读—证据链整理—班级论证”的顺序组织。学生先依据乙烯能使溴水、酸性高锰酸钾溶液褪色的知识经验，对苯的表现作出预测；随后分组完成苯分别与溴水、酸性高锰酸钾溶液作用的对比实验，规范记录实验现象。实验结果与预测的落差形成第二重认知冲突：若苯环上存在典型碳碳双键，为何两种溶液均不褪色？教师此时提供键长测定值与氢化热数据——苯环上六个碳碳键键长完全相等、介于碳碳单键与碳碳双键之间，氢化热远低于按“环己三烯”推算的理论值——供学生将定性现象与定量数据相互印证，借助反应现象记录表与键长数据对比表整理“现象—证据—结论”的推理链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班级论证环节，各小组汇报本组的证据链与结论，须“用证据说话”，并回应其他小组的质疑；教师引导学生比较不同小组证据组织方式的异同，体会获取证据的途径并非只有实验观察一种，定量测定、史料数据同样是科学证据的重要来源。论证结束后设置反思追问：“科学结论的确立依赖什么？单一证据是否足以支撑结论？”使学生在辩论与反思中深化对科学探究实证性、方法多样性与逻辑推理性的理解，纠正“科学探究＝观察—归纳”的机械认识。</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bookmarkStart w:id="5" w:name="_GoBack"/>
      <w:bookmarkEnd w:id="5"/>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BA5513C-E953-427B-A030-47F596A57F1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1">
    <w:nsid w:val="46C74E3D"/>
    <w:multiLevelType w:val="singleLevel"/>
    <w:tmpl w:val="46C74E3D"/>
    <w:lvl w:ilvl="0" w:tentative="0">
      <w:start w:val="1"/>
      <w:numFmt w:val="chineseCounting"/>
      <w:suff w:val="nothing"/>
      <w:lvlText w:val="（%1）"/>
      <w:lvlJc w:val="left"/>
      <w:rPr>
        <w:rFonts w:hint="eastAsia"/>
      </w:rPr>
    </w:lvl>
  </w:abstractNum>
  <w:abstractNum w:abstractNumId="22">
    <w:nsid w:val="52CB6702"/>
    <w:multiLevelType w:val="singleLevel"/>
    <w:tmpl w:val="52CB6702"/>
    <w:lvl w:ilvl="0" w:tentative="0">
      <w:start w:val="1"/>
      <w:numFmt w:val="decimal"/>
      <w:suff w:val="nothing"/>
      <w:lvlText w:val="（%1）"/>
      <w:lvlJc w:val="left"/>
    </w:lvl>
  </w:abstractNum>
  <w:abstractNum w:abstractNumId="23">
    <w:nsid w:val="5B6470E2"/>
    <w:multiLevelType w:val="singleLevel"/>
    <w:tmpl w:val="5B6470E2"/>
    <w:lvl w:ilvl="0" w:tentative="0">
      <w:start w:val="1"/>
      <w:numFmt w:val="decimal"/>
      <w:lvlText w:val="(%1)"/>
      <w:lvlJc w:val="left"/>
      <w:pPr>
        <w:ind w:left="425" w:hanging="425"/>
      </w:pPr>
      <w:rPr>
        <w:rFonts w:hint="default"/>
      </w:rPr>
    </w:lvl>
  </w:abstractNum>
  <w:abstractNum w:abstractNumId="24">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5">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7">
    <w:nsid w:val="789E0C00"/>
    <w:multiLevelType w:val="singleLevel"/>
    <w:tmpl w:val="789E0C00"/>
    <w:lvl w:ilvl="0" w:tentative="0">
      <w:start w:val="1"/>
      <w:numFmt w:val="decimal"/>
      <w:lvlText w:val="(%1)"/>
      <w:lvlJc w:val="left"/>
      <w:pPr>
        <w:ind w:left="425" w:hanging="425"/>
      </w:pPr>
      <w:rPr>
        <w:rFonts w:hint="default"/>
      </w:rPr>
    </w:lvl>
  </w:abstractNum>
  <w:abstractNum w:abstractNumId="28">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6"/>
  </w:num>
  <w:num w:numId="4">
    <w:abstractNumId w:val="9"/>
  </w:num>
  <w:num w:numId="5">
    <w:abstractNumId w:val="8"/>
  </w:num>
  <w:num w:numId="6">
    <w:abstractNumId w:val="23"/>
  </w:num>
  <w:num w:numId="7">
    <w:abstractNumId w:val="28"/>
  </w:num>
  <w:num w:numId="8">
    <w:abstractNumId w:val="27"/>
  </w:num>
  <w:num w:numId="9">
    <w:abstractNumId w:val="7"/>
  </w:num>
  <w:num w:numId="10">
    <w:abstractNumId w:val="5"/>
  </w:num>
  <w:num w:numId="11">
    <w:abstractNumId w:val="19"/>
  </w:num>
  <w:num w:numId="12">
    <w:abstractNumId w:val="22"/>
  </w:num>
  <w:num w:numId="13">
    <w:abstractNumId w:val="17"/>
  </w:num>
  <w:num w:numId="14">
    <w:abstractNumId w:val="4"/>
  </w:num>
  <w:num w:numId="15">
    <w:abstractNumId w:val="25"/>
  </w:num>
  <w:num w:numId="16">
    <w:abstractNumId w:val="16"/>
  </w:num>
  <w:num w:numId="17">
    <w:abstractNumId w:val="15"/>
  </w:num>
  <w:num w:numId="18">
    <w:abstractNumId w:val="11"/>
  </w:num>
  <w:num w:numId="19">
    <w:abstractNumId w:val="3"/>
  </w:num>
  <w:num w:numId="20">
    <w:abstractNumId w:val="24"/>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1"/>
  </w:num>
  <w:num w:numId="33">
    <w:abstractNumId w:val="13"/>
  </w:num>
  <w:num w:numId="34">
    <w:abstractNumId w:val="13"/>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4"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51</Pages>
  <Words>1848</Words>
  <Characters>1901</Characters>
  <Lines>591</Lines>
  <Paragraphs>295</Paragraphs>
  <TotalTime>23</TotalTime>
  <ScaleCrop>false</ScaleCrop>
  <LinksUpToDate>false</LinksUpToDate>
  <CharactersWithSpaces>1905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2026-08-04T09:27:41Z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251A349ED8644C62A5D573ECA61EC4CD_13</vt:lpwstr>
  </property>
</Properties>
</file>