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本设计的量化评价工具，在石晓宇（2024）编制的《科学本质观调查问卷》</w:t>
      </w:r>
      <w:r>
        <w:rPr>
          <w:rFonts w:hint="eastAsia"/>
          <w:vertAlign w:val="superscript"/>
        </w:rPr>
        <w:t>［］</w:t>
      </w:r>
      <w:r>
        <w:rPr>
          <w:rFonts w:hint="eastAsia"/>
        </w:rPr>
        <w:t>的基础上改编而成（见附录）。该问卷建立在一个较为系统的科学本质观评价模型之上：石晓宇以刘健智提出的科学本质观框架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又在其下细分出十个二级维度（因素）。这三个一级维度恰好与本设计所确立的三条培养目标主线相对应，因而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编制上，问卷采用李克特五点量表，共28道题目，正向题与反向题各14道：正向题按“非常不同意”到“非常同意”依次赋1至5分，用以考查学生对科学本质的正确理解；反向题采用反向计分，即由5分至1分，用以检验学生的辨识能力；两类题目打乱后随机排列。全卷分设科学知识的本质（3题）、科学探究的本质（17题）与科学事业的本质（8题）三个分量表，各因素对应的具体题号见表4-8。评分以各维度的平均分为准：平均分不低于4分，说明学生对该维度科学本质的理解水平较高；低于3分，说明理解水平较低；介于3至4分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本研究所用问卷可追溯至黄晓编制的科学本质观测评问卷</w:t>
      </w:r>
      <w:r>
        <w:rPr>
          <w:rFonts w:hint="eastAsia"/>
          <w:vertAlign w:val="superscript"/>
        </w:rPr>
        <w:t>［］</w:t>
      </w:r>
      <w:r>
        <w:rPr>
          <w:rFonts w:hint="eastAsia"/>
        </w:rPr>
        <w:t>；石晓宇</w:t>
      </w:r>
      <w:r>
        <w:rPr>
          <w:rFonts w:hint="eastAsia"/>
          <w:vertAlign w:val="superscript"/>
        </w:rPr>
        <w:t>［］</w:t>
      </w:r>
      <w:r>
        <w:rPr>
          <w:rFonts w:hint="eastAsia"/>
        </w:rPr>
        <w:t>在其基础上，依据自建的三维度十因素评价模型对题目作了修订，并经专家内容效度评审（各二级维度的内容效度指数I-CVI与校正后的kappa值K*大多在0.88以上）与因子分析检验（克隆巴赫α系数为0.721，KMO值为0.711，累积方差解释率为72.873%），证实该问卷具有良好的信度与结构效度。本研究沿用其科学知识、科学探究、科学事业三维度十因素的框架，并结合本课例的研究对象与实施条件作了进一步改编：结合本研究的化学学科情境，将部分题目中的物理学例证替换为化学学科实例（如以质量守恒定律替换牛顿定律、以原子结构模型替换原子模型），并对个别表述欠清晰或易产生歧义的题目（如原第10、13、25题）重新表述，使其更贴近高一学生的认知与语言习惯。</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在实施时，于“苯”这节课的课前与课后各施测一次，用以考查学生在科学知识、科学探究、科学事业三个维度上科学本质观的变化；改编后问卷的预测试信效度检验，以及前后测数据的具体分析，详见第六章。问卷全部题目见附录。</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该表现性评价的具体评分标准见附录B《学习任务表现性评价表》。</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学生与教师访谈提纲见附录C。</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p>
      <w:pPr>
        <w:pStyle w:val="2"/>
        <w:widowControl w:val="0"/>
        <w:numPr>
          <w:ilvl w:val="0"/>
          <w:numId w:val="0"/>
        </w:numPr>
        <w:spacing w:beforeLines="50" w:afterLines="50"/>
        <w:jc w:val="center"/>
        <w:rPr>
          <w:rFonts w:hint="eastAsia" w:ascii="黑体" w:hAnsi="黑体" w:eastAsia="黑体" w:cs="黑体"/>
          <w:sz w:val="32"/>
          <w:szCs w:val="32"/>
        </w:rPr>
      </w:pPr>
      <w:r>
        <w:rPr>
          <w:rFonts w:hint="eastAsia" w:ascii="黑体" w:hAnsi="黑体" w:eastAsia="黑体" w:cs="黑体"/>
          <w:sz w:val="32"/>
          <w:szCs w:val="32"/>
        </w:rPr>
        <w:t>第五章　“苯”教学案例的课堂实施</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本章依据第四章形成的教学设计，将“苯”教学案例在真实课堂中付诸实施，为第六章的效果分析提供实证基础。〔本章为骨架，待课堂实施后据实填写。〕</w:t>
      </w:r>
    </w:p>
    <w:p>
      <w:pPr>
        <w:pStyle w:val="5"/>
        <w:numPr>
          <w:ilvl w:val="1"/>
          <w:numId w:val="0"/>
        </w:numPr>
        <w:spacing w:beforeLines="30" w:afterLines="20"/>
        <w:ind w:firstLine="0"/>
        <w:jc w:val="center"/>
        <w:rPr>
          <w:rFonts w:hint="eastAsia"/>
        </w:rPr>
      </w:pPr>
      <w:r>
        <w:rPr>
          <w:rFonts w:hint="eastAsia"/>
        </w:rPr>
        <w:t>第一节　教学实施准备</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一、教学对象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〔填写：选取××中学高一年级××班共××名学生为教学实施对象；说明分组情况、学生已有基础等。若采用实验班／对照班设计，在此说明两班的选取与可比性。〕</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二、教学环境与支持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〔填写：教室与实验条件、所需药品与器材（苯、溴水、酸性高锰酸钾溶液等）、安全防护、课时安排（共×课时）、协作教师等。〕</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三、教学资源准备</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〔填写：三大学习任务的学习任务单、证据卡片、键长数据对比表等结构化支架，以及情境视频、史料、模型等课件的准备情况；学习任务单见附录。〕</w:t>
      </w:r>
    </w:p>
    <w:p>
      <w:pPr>
        <w:pStyle w:val="5"/>
        <w:numPr>
          <w:ilvl w:val="1"/>
          <w:numId w:val="0"/>
        </w:numPr>
        <w:spacing w:beforeLines="30" w:afterLines="20"/>
        <w:ind w:firstLine="0"/>
        <w:jc w:val="center"/>
        <w:rPr>
          <w:rFonts w:hint="eastAsia"/>
        </w:rPr>
      </w:pPr>
      <w:r>
        <w:rPr>
          <w:rFonts w:hint="eastAsia"/>
        </w:rPr>
        <w:t>第二节　教学实施过程</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本节按第四章的三大学习任务及其探究活动逐一展开课堂实施，以“教师活动—学生活动—设计意图”的形式呈现实施过程，并辅以课堂实录与照片。〔可仿照下表逐环节填写。〕</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表5-1 “苯”教学案例课堂实施过程（示例框架）</w:t>
      </w:r>
    </w:p>
    <w:p>
      <w:pPr>
        <w:widowControl w:val="0"/>
        <w:spacing w:after="120"/>
        <w:jc w:val="center"/>
      </w:pPr>
      <w:r>
        <w:rPr>
          <w:rFonts w:ascii="Times New Roman" w:hAnsi="Times New Roman" w:eastAsia="Times New Roman" w:cs="Times New Roman"/>
          <w:i/>
          <w:iCs/>
          <w:sz w:val="18"/>
          <w:szCs w:val="18"/>
        </w:rPr>
        <w:t>Tab. 5.1  Classroom Implementation Process of the "Benzene" Teaching Case (Framework)</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200"/>
        <w:gridCol w:w="2946"/>
        <w:gridCol w:w="2946"/>
        <w:gridCol w:w="1546"/>
      </w:tblGrid>
      <w:tr>
        <w:trPr>
          <w:tblHeader/>
        </w:trPr>
        <w:tc>
          <w:tcPr>
            <w:tcW w:w="22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学习任务与教学环节</w:t>
            </w:r>
          </w:p>
        </w:tc>
        <w:tc>
          <w:tcPr>
            <w:tcW w:w="2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教师活动</w:t>
            </w:r>
          </w:p>
        </w:tc>
        <w:tc>
          <w:tcPr>
            <w:tcW w:w="2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学生活动</w:t>
            </w:r>
          </w:p>
        </w:tc>
        <w:tc>
          <w:tcPr>
            <w:tcW w:w="15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设计意图</w:t>
            </w:r>
          </w:p>
        </w:tc>
      </w:tr>
      <w:tr>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任务一·情境引入</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c>
          <w:tcPr>
            <w:tcW w:w="15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r>
      <w:tr>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……（逐环节展开）</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c>
          <w:tcPr>
            <w:tcW w:w="15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r>
    </w:tbl>
    <w:p>
      <w:pPr>
        <w:pStyle w:val="2"/>
        <w:widowControl w:val="0"/>
        <w:numPr>
          <w:ilvl w:val="0"/>
          <w:numId w:val="0"/>
        </w:numPr>
        <w:spacing w:beforeLines="50" w:afterLines="50"/>
        <w:jc w:val="center"/>
        <w:rPr>
          <w:rFonts w:hint="eastAsia" w:ascii="黑体" w:hAnsi="黑体" w:eastAsia="黑体" w:cs="黑体"/>
          <w:sz w:val="32"/>
          <w:szCs w:val="32"/>
        </w:rPr>
      </w:pPr>
      <w:r>
        <w:rPr>
          <w:rFonts w:hint="eastAsia" w:ascii="黑体" w:hAnsi="黑体" w:eastAsia="黑体" w:cs="黑体"/>
          <w:sz w:val="32"/>
          <w:szCs w:val="32"/>
        </w:rPr>
        <w:t>第六章　“苯”教学案例的实施效果分析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为检验第四章所设计、第五章所实施的指向科学本质观的HPS教学的效果，本章先对改编后问卷进行信效度分析，再对学生科学本质观的前后测数据作定量分析，并结合学习任务成果与课堂访谈作质性佐证，量化与质性相互印证。</w:t>
      </w:r>
    </w:p>
    <w:p>
      <w:pPr>
        <w:pStyle w:val="5"/>
        <w:numPr>
          <w:ilvl w:val="1"/>
          <w:numId w:val="0"/>
        </w:numPr>
        <w:spacing w:beforeLines="30" w:afterLines="20"/>
        <w:ind w:firstLine="0"/>
        <w:jc w:val="center"/>
        <w:rPr>
          <w:rFonts w:hint="eastAsia"/>
        </w:rPr>
      </w:pPr>
      <w:r>
        <w:rPr>
          <w:rFonts w:hint="eastAsia"/>
        </w:rPr>
        <w:t>第一节　数据来源与问卷信效度分析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一、数据来源与样本</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〔填写：预测试样本（面向非实验班高一学生发放××份、有效××份，用于信效度检验）；正式施测样本（实验班××名学生，课前、课后各施测一次，前后测各回收有效问卷××份）。数据录入SPSS ××.0进行分析。〕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二、问卷信度分析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对预测试数据进行信度分析，结果如表6-1所示。〔填写：总问卷及各分量表克隆巴赫α系数，均大于0.7说明信度良好。〕</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表6-1 改编后科学本质观调查问卷的信度分析</w:t>
      </w:r>
    </w:p>
    <w:p>
      <w:pPr>
        <w:widowControl w:val="0"/>
        <w:spacing w:after="120"/>
        <w:jc w:val="center"/>
      </w:pPr>
      <w:r>
        <w:rPr>
          <w:rFonts w:ascii="Times New Roman" w:hAnsi="Times New Roman" w:eastAsia="Times New Roman" w:cs="Times New Roman"/>
          <w:i/>
          <w:iCs/>
          <w:sz w:val="18"/>
          <w:szCs w:val="18"/>
        </w:rPr>
        <w:t>Tab. 6.1  Reliability Analysis of the Adapted Nature-of-Science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00"/>
        <w:gridCol w:w="2200"/>
        <w:gridCol w:w="3438"/>
      </w:tblGrid>
      <w:tr>
        <w:trPr>
          <w:tblHeader/>
        </w:trPr>
        <w:tc>
          <w:tcPr>
            <w:tcW w:w="4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分量表</w:t>
            </w:r>
          </w:p>
        </w:tc>
        <w:tc>
          <w:tcPr>
            <w:tcW w:w="22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题数</w:t>
            </w:r>
          </w:p>
        </w:tc>
        <w:tc>
          <w:tcPr>
            <w:tcW w:w="343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克隆巴赫α系数</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总问卷</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28</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三、问卷效度分析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二选一并删去不用者〕方案一（自做结构效度）：对预测试数据作因子分析，KMO与巴特利特球形检验结果如表6-2所示，KMO大于0.7、检验显著（p&lt;0.05），说明问卷适合作因子分析、结构效度良好。方案二（沿用原量表结构效度）：本问卷改编自石晓宇已验证的量表，其结构效度已由原研究经因子分析证实（KMO=0.711，累积方差解释率72.873%）；改编后各题目经导师及××位一线教师审阅，确认与原维度含义一致，故沿用其维度结构。</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表6-2 问卷KMO与巴特利特检验结果</w:t>
      </w:r>
    </w:p>
    <w:p>
      <w:pPr>
        <w:widowControl w:val="0"/>
        <w:spacing w:after="120"/>
        <w:jc w:val="center"/>
      </w:pPr>
      <w:r>
        <w:rPr>
          <w:rFonts w:ascii="Times New Roman" w:hAnsi="Times New Roman" w:eastAsia="Times New Roman" w:cs="Times New Roman"/>
          <w:i/>
          <w:iCs/>
          <w:sz w:val="18"/>
          <w:szCs w:val="18"/>
        </w:rPr>
        <w:t>Tab. 6.2  KMO and Bartlett Test Results of the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819"/>
        <w:gridCol w:w="4819"/>
      </w:tblGrid>
      <w:tr>
        <w:trPr>
          <w:tblHeader/>
        </w:trPr>
        <w:tc>
          <w:tcPr>
            <w:tcW w:w="4819"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检验项目</w:t>
            </w:r>
          </w:p>
        </w:tc>
        <w:tc>
          <w:tcPr>
            <w:tcW w:w="4819"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结果</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KMO 取样适切性量数</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巴特利特球形检验  近似卡方</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自由度（df）</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显著性（p）</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pStyle w:val="5"/>
        <w:numPr>
          <w:ilvl w:val="1"/>
          <w:numId w:val="0"/>
        </w:numPr>
        <w:spacing w:beforeLines="30" w:afterLines="20"/>
        <w:ind w:firstLine="0"/>
        <w:jc w:val="center"/>
        <w:rPr>
          <w:rFonts w:hint="eastAsia"/>
        </w:rPr>
      </w:pPr>
      <w:r>
        <w:rPr>
          <w:rFonts w:hint="eastAsia"/>
        </w:rPr>
        <w:t>第二节　科学本质观总体前后测分析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一、总体得分描述性统计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对实验班学生科学本质观前测、后测总分作描述性统计，结果如表6-3所示。〔填写：前后测平均值、标准差、单题均分等，并结合直方图说明分布。〕</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表6-3 科学本质观前后测总分描述性统计</w:t>
      </w:r>
    </w:p>
    <w:p>
      <w:pPr>
        <w:widowControl w:val="0"/>
        <w:spacing w:after="120"/>
        <w:jc w:val="center"/>
      </w:pPr>
      <w:r>
        <w:rPr>
          <w:rFonts w:ascii="Times New Roman" w:hAnsi="Times New Roman" w:eastAsia="Times New Roman" w:cs="Times New Roman"/>
          <w:i/>
          <w:iCs/>
          <w:sz w:val="18"/>
          <w:szCs w:val="18"/>
        </w:rPr>
        <w:t>Tab. 6.3  Descriptive Statistics of Pre- and Post-test Total Scores of Nature-of-Science View</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400"/>
        <w:gridCol w:w="1400"/>
        <w:gridCol w:w="1946"/>
        <w:gridCol w:w="1946"/>
        <w:gridCol w:w="1946"/>
      </w:tblGrid>
      <w:tr>
        <w:trPr>
          <w:tblHeader/>
        </w:trPr>
        <w:tc>
          <w:tcPr>
            <w:tcW w:w="2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测验</w:t>
            </w:r>
          </w:p>
        </w:tc>
        <w:tc>
          <w:tcPr>
            <w:tcW w:w="1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N</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平均值</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标准差</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单题均分</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前测</w:t>
            </w:r>
          </w:p>
        </w:tc>
        <w:tc>
          <w:tcPr>
            <w:tcW w:w="1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后测</w:t>
            </w:r>
          </w:p>
        </w:tc>
        <w:tc>
          <w:tcPr>
            <w:tcW w:w="1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二、前后测配对样本t检验</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采用配对样本t检验比较前后测总分差异，结果如表6-4所示。〔填写：均值差、t值、p值；p&lt;0.05说明经本节HPS教学后学生科学本质观总体水平显著提升。〕</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表6-4 科学本质观前后测总分配对样本t检验</w:t>
      </w:r>
    </w:p>
    <w:p>
      <w:pPr>
        <w:widowControl w:val="0"/>
        <w:spacing w:after="120"/>
        <w:jc w:val="center"/>
      </w:pPr>
      <w:r>
        <w:rPr>
          <w:rFonts w:ascii="Times New Roman" w:hAnsi="Times New Roman" w:eastAsia="Times New Roman" w:cs="Times New Roman"/>
          <w:i/>
          <w:iCs/>
          <w:sz w:val="18"/>
          <w:szCs w:val="18"/>
        </w:rPr>
        <w:t>Tab. 6.4  Paired-samples t-test of Pre- and Post-test Total Scores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600"/>
        <w:gridCol w:w="1760"/>
        <w:gridCol w:w="1760"/>
        <w:gridCol w:w="1760"/>
        <w:gridCol w:w="1758"/>
      </w:tblGrid>
      <w:tr>
        <w:trPr>
          <w:tblHeader/>
        </w:trPr>
        <w:tc>
          <w:tcPr>
            <w:tcW w:w="26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配对</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平均值差</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 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自由度</w:t>
            </w:r>
          </w:p>
        </w:tc>
        <w:tc>
          <w:tcPr>
            <w:tcW w:w="175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显著性 p</w:t>
            </w:r>
          </w:p>
        </w:tc>
      </w:tr>
      <w:tr>
        <w:tc>
          <w:tcPr>
            <w:tcW w:w="26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后测－前测（总分）</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pStyle w:val="5"/>
        <w:numPr>
          <w:ilvl w:val="1"/>
          <w:numId w:val="0"/>
        </w:numPr>
        <w:spacing w:beforeLines="30" w:afterLines="20"/>
        <w:ind w:firstLine="0"/>
        <w:jc w:val="center"/>
        <w:rPr>
          <w:rFonts w:hint="eastAsia"/>
        </w:rPr>
      </w:pPr>
      <w:r>
        <w:rPr>
          <w:rFonts w:hint="eastAsia"/>
        </w:rPr>
        <w:t>第三节　科学本质观三维度表现分析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在总体分析的基础上，进一步从科学知识、科学探究、科学事业三个维度分别考查学生的变化，各维度前后测均值及配对t检验结果如表6-5所示。</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表6-5 科学本质观三维度前后测配对样本t检验</w:t>
      </w:r>
    </w:p>
    <w:p>
      <w:pPr>
        <w:widowControl w:val="0"/>
        <w:spacing w:after="120"/>
        <w:jc w:val="center"/>
      </w:pPr>
      <w:r>
        <w:rPr>
          <w:rFonts w:ascii="Times New Roman" w:hAnsi="Times New Roman" w:eastAsia="Times New Roman" w:cs="Times New Roman"/>
          <w:i/>
          <w:iCs/>
          <w:sz w:val="18"/>
          <w:szCs w:val="18"/>
        </w:rPr>
        <w:t>Tab. 6.5  Paired-samples t-test of the Three Nature-of-Science Dimensions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400"/>
        <w:gridCol w:w="1760"/>
        <w:gridCol w:w="1760"/>
        <w:gridCol w:w="1760"/>
        <w:gridCol w:w="1958"/>
      </w:tblGrid>
      <w:tr>
        <w:trPr>
          <w:tblHeader/>
        </w:trPr>
        <w:tc>
          <w:tcPr>
            <w:tcW w:w="2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维度</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前测均值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后测均值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 值</w:t>
            </w:r>
          </w:p>
        </w:tc>
        <w:tc>
          <w:tcPr>
            <w:tcW w:w="195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显著性 p</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一、科学知识本质观维度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〔填写：该维度前后测均值、t检验结果与解读，结合任务一（凯库勒式修正）说明学生对科学知识暂定性、创造性、累积性认识的变化。〕</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二、科学探究本质观维度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〔填写：该维度前后测均值、t检验结果与解读，结合任务二（证据获取与论证）说明学生对实证性、方法多样性、逻辑推理性认识的变化。〕</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三、科学事业本质观维度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〔填写：该维度前后测均值、t检验结果与解读，结合任务三（模拟听证会）说明学生对科学与技术、科学与社会、科学共同体认识的变化；注意该维度转变周期较长，可结合质性证据说明。〕</w:t>
      </w:r>
    </w:p>
    <w:p>
      <w:pPr>
        <w:pStyle w:val="5"/>
        <w:numPr>
          <w:ilvl w:val="1"/>
          <w:numId w:val="0"/>
        </w:numPr>
        <w:spacing w:beforeLines="30" w:afterLines="20"/>
        <w:ind w:firstLine="0"/>
        <w:jc w:val="center"/>
        <w:rPr>
          <w:rFonts w:hint="eastAsia"/>
        </w:rPr>
      </w:pPr>
      <w:r>
        <w:rPr>
          <w:rFonts w:hint="eastAsia"/>
        </w:rPr>
        <w:t>第四节　质性证据分析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一、学习任务成果分析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〔填写：选取凯库勒式缺陷分析报告、苯环结构证据链论证报告、苯的社会应用建议书等典型成果，分析学生认识转变的具体表现，与问卷结果相互印证。〕</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二、课堂访谈分析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〔填写：整理课前课后半结构化访谈的典型片段，从三个维度呈现学生观念的转变，尤其用于追踪科学事业维度这类量化上不易显现的变化。〕</w:t>
      </w:r>
    </w:p>
    <w:p>
      <w:pPr>
        <w:pStyle w:val="5"/>
        <w:numPr>
          <w:ilvl w:val="1"/>
          <w:numId w:val="0"/>
        </w:numPr>
        <w:spacing w:beforeLines="30" w:afterLines="20"/>
        <w:ind w:firstLine="0"/>
        <w:jc w:val="center"/>
        <w:rPr>
          <w:rFonts w:hint="eastAsia"/>
        </w:rPr>
      </w:pPr>
      <w:r>
        <w:rPr>
          <w:rFonts w:hint="eastAsia"/>
        </w:rPr>
        <w:t>第五节　本章小结</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〔填写：综合量化与质性结果，总结本节HPS教学对学生科学本质观三维度的促进作用及各维度差异，并说明存在的不足，为结论与改进提供依据。〕</w:t>
      </w: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附录A　科学本质观调查问卷</w:t>
      </w:r>
    </w:p>
    <w:p>
      <w:pPr>
        <w:widowControl/>
        <w:spacing w:after="120" w:line="400" w:lineRule="exact"/>
        <w:ind w:firstLine="482"/>
        <w:jc w:val="both"/>
      </w:pPr>
      <w:r>
        <w:rPr>
          <w:rFonts w:hint="eastAsia"/>
        </w:rPr>
        <w:t>亲爱的同学您好！这是一项有关科学本质观的调查，希望得到您的配合与支持。本测试共28道题，请您按照实际情况进行作答，本测试结果不记名并只做研究使用，您的如实作答对我的研究十分重要，感谢您的参与！</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5" w:type="dxa"/>
          <w:bottom w:w="0" w:type="dxa"/>
          <w:right w:w="55" w:type="dxa"/>
        </w:tblCellMar>
      </w:tblPr>
      <w:tblGrid>
        <w:gridCol w:w="1000"/>
        <w:gridCol w:w="4318"/>
        <w:gridCol w:w="864"/>
        <w:gridCol w:w="864"/>
        <w:gridCol w:w="864"/>
        <w:gridCol w:w="864"/>
        <w:gridCol w:w="864"/>
      </w:tblGrid>
      <w:tr>
        <w:trPr>
          <w:tblHeader/>
        </w:trP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编号</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题目</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非常不同意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不太同意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不能决定</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基本同意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非常同意</w:t>
            </w: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科学定律（如质量守恒定律）是科学家创造发明出来的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科学家会因为受到已有理论的影响，而对同一现象产生不同的观察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科学知识的获得要经过观察、假设、检验、归纳、形成理论等一系列过程</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科学知识会随着新证据的出现产生新的解释，原有理论的正确性可能随之改变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科学定律是完全被证实的、确定的，而科学理论没有被完全证实、是不确定的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想象力在提出假设的过程中有很重要的作用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科学知识在不同的时代背景下的解释都是一成不变的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实验并不是发展科学的唯一方法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实验结果的解释是固定的，不会因研究者不同而有所不同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在处理社会公共事务问题时，科学家的判断总是比普通公民更客观、更可靠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尽管科学对技术影响重大，但技术不会对科学产生重大影响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由于科学家身份特殊，他们对任何社会议题提出的意见都应受到特别重视</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只要科学知识足够，科学家就可以进行诸如克隆人这样的研究，而不必受道德约束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科学家不使用想象力和创造力，因为这会干扰研究结果的准确性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大多数科学家不愿意从事与自己的宗教信仰或伦理相违背的研究</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一个科学问题通常只有一种恰当的研究方法可以解决</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当两种理论都能解释同一现象时，科学家往往更倾向于接受学术上更有权威者提出的理论</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不同的科学家观察同一结果，可能会得出不同的意见、证据和解释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收集证据是支持对同一自然现象作出多种解释的有效方法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公众及政府会对科学研究的方向产生较大的影响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科学家是客观地收集实验数据的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理论（如原子论）本来就存在于自然界中，科学家只是借助实验数据把它发现出来</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用神话、个人信念、宗教价值观或权威来解释自然现象是不科学的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只要科学家研究得准确无误，所得到的科学理论就永远不会改变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科学模型（如原子结构模型）只是对真实微观结构的照搬，并不包含科学家的想象与创造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科学研究不会受到社会文化的影响，因为科学家都受过公正、良好的训练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科学发现的过程会受到科学家个人的性格、情感以及知识背景的影响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科学研究应当受到普遍的道德规范的约束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bl>
    <w:p>
      <w:pPr>
        <w:widowControl/>
        <w:spacing w:before="120" w:after="120" w:line="360" w:lineRule="exact"/>
        <w:ind w:firstLine="482"/>
        <w:jc w:val="both"/>
        <w:rPr>
          <w:sz w:val="18"/>
          <w:szCs w:val="18"/>
        </w:rPr>
      </w:pPr>
      <w:r>
        <w:rPr>
          <w:rFonts w:hint="eastAsia"/>
          <w:sz w:val="18"/>
          <w:szCs w:val="18"/>
        </w:rPr>
        <w:t>注：本问卷在石晓宇《基于ADI模式的高中化学科学本质观教学实践研究》（哈尔滨师范大学，2024）附录2的基础上改编，主要结合化学学科情境替换了部分题目的例证，并对个别题目的表述作了修订。</w:t>
      </w:r>
      <w:r>
        <w:rPr>
          <w:rFonts w:hint="eastAsia"/>
          <w:vertAlign w:val="superscript"/>
          <w:sz w:val="18"/>
          <w:szCs w:val="18"/>
        </w:rPr>
        <w:t>［］</w:t>
      </w: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附录B　学习任务表现性评价表</w:t>
      </w:r>
    </w:p>
    <w:p>
      <w:pPr>
        <w:widowControl/>
        <w:spacing w:after="80" w:line="400" w:lineRule="exact"/>
        <w:ind w:firstLine="0" w:firstLineChars="0"/>
        <w:jc w:val="both"/>
        <w:rPr>
          <w:rFonts w:hint="eastAsia"/>
        </w:rPr>
      </w:pPr>
      <w:r>
        <w:rPr>
          <w:rFonts w:hint="eastAsia"/>
        </w:rPr>
        <w:t>说明：本表用于对学生在“苯”教学案例三大学习任务中产出的过程性成果及课堂表现进行评价，采用“优秀、良好、合格、不合格”四级标准，并由学生自评、小组互评与教师评价相结合。</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0" w:type="dxa"/>
          <w:bottom w:w="0" w:type="dxa"/>
          <w:right w:w="50" w:type="dxa"/>
        </w:tblCellMar>
      </w:tblPr>
      <w:tblGrid>
        <w:gridCol w:w="1500"/>
        <w:gridCol w:w="1620"/>
        <w:gridCol w:w="1620"/>
        <w:gridCol w:w="1620"/>
        <w:gridCol w:w="1618"/>
        <w:gridCol w:w="553"/>
        <w:gridCol w:w="553"/>
        <w:gridCol w:w="554"/>
      </w:tblGrid>
      <w:tr>
        <w:trPr>
          <w:tblHeader/>
        </w:trP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评价内容</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优秀</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良好</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合格</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不合格</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自评</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组评</w:t>
            </w: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师评</w:t>
            </w: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凯库勒式缺陷分析报告与结构演变脉络图</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能完整梳理凯库勒式可解释与不可解释的证据，准确指出旧模型缺陷并提出合理修正；脉络图清晰、逻辑严密，能自觉说明科学知识的暂定性与累积性。</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能指出旧模型的主要缺陷并作出基本合理的修正，脉络图较清晰，对科学知识的可修正性有一定认识。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能列举部分反常证据，脉络图基本完整，但对缺陷的分析较浅、结论较简单。</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未能指出旧模型缺陷，脉络图缺失或混乱，仅复述史实。</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苯环结构证据链论证报告</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能规范记录实验现象，综合定性现象与键长、氢化热等定量证据，形成“现象—证据—结论”完整证据链，论证严密、能用证据回应质疑。</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能记录实验现象并结合部分定量数据得出结论，证据链较完整，论证基本合理。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能完成实验并记录现象，但证据与结论的联系较松散，论证不够充分。</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实验现象记录缺失或有误，结论缺乏证据支撑。</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苯的社会应用建议书与听证会观点摘要</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能从多方立场辩证分析苯的工业价值与健康危害，权衡经济、健康、环保等因素，提出合理的决策建议，体现对科学与社会关系的全面认识。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能从不同角度分析苯的利与弊，提出较合理的建议，对科学的社会属性有一定认识。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能列举苯的用途与危害，但分析较片面，建议较笼统。</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仅罗列现象，缺乏权衡与判断。</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课堂参与与反思</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积极参与探究与讨论，能主动质疑与反思，清晰表达对科学本质认识的转变。</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能参与探究与讨论，有一定的质疑、反思与表达。</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能完成基本学习任务，参与与反思较被动。</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参与度低，缺乏反思。</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bl>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附录C　师生访谈提纲</w:t>
      </w:r>
    </w:p>
    <w:p>
      <w:pPr>
        <w:widowControl/>
        <w:spacing w:after="80" w:line="400" w:lineRule="exact"/>
        <w:ind w:firstLine="0" w:firstLineChars="0"/>
        <w:jc w:val="both"/>
        <w:rPr>
          <w:rFonts w:hint="eastAsia"/>
          <w:b/>
        </w:rPr>
      </w:pPr>
      <w:r>
        <w:rPr>
          <w:rFonts w:hint="eastAsia"/>
          <w:b/>
        </w:rPr>
        <w:t>学生访谈提纲：</w:t>
      </w:r>
    </w:p>
    <w:p>
      <w:pPr>
        <w:widowControl/>
        <w:spacing w:after="80" w:line="400" w:lineRule="exact"/>
        <w:ind w:firstLine="482"/>
        <w:jc w:val="both"/>
        <w:rPr>
          <w:rFonts w:hint="eastAsia"/>
        </w:rPr>
      </w:pPr>
      <w:r>
        <w:rPr>
          <w:rFonts w:hint="eastAsia"/>
        </w:rPr>
        <w:t>问题一：你对这节以化学史为线索、探索苯分子结构的学习方式感兴趣吗？它对你的学习有哪些帮助？</w:t>
      </w:r>
    </w:p>
    <w:p>
      <w:pPr>
        <w:widowControl/>
        <w:spacing w:after="80" w:line="400" w:lineRule="exact"/>
        <w:ind w:firstLine="482"/>
        <w:jc w:val="both"/>
        <w:rPr>
          <w:rFonts w:hint="eastAsia"/>
        </w:rPr>
      </w:pPr>
      <w:r>
        <w:rPr>
          <w:rFonts w:hint="eastAsia"/>
        </w:rPr>
        <w:t>问题二：在整个学习过程中，你印象最深或觉得最有意思的是哪一个环节（如凯库勒式的提出与修正、苯环结构的实验探究、苯的社会应用听证会）？为什么？</w:t>
      </w:r>
    </w:p>
    <w:p>
      <w:pPr>
        <w:widowControl/>
        <w:spacing w:after="80" w:line="400" w:lineRule="exact"/>
        <w:ind w:firstLine="482"/>
        <w:jc w:val="both"/>
        <w:rPr>
          <w:rFonts w:hint="eastAsia"/>
        </w:rPr>
      </w:pPr>
      <w:r>
        <w:rPr>
          <w:rFonts w:hint="eastAsia"/>
        </w:rPr>
        <w:t>问题三：学过这节课后，你怎么看“科学知识会不会被修正”这个问题？能否结合凯库勒式的例子谈谈你的想法？</w:t>
      </w:r>
    </w:p>
    <w:p>
      <w:pPr>
        <w:widowControl/>
        <w:spacing w:after="80" w:line="400" w:lineRule="exact"/>
        <w:ind w:firstLine="482"/>
        <w:jc w:val="both"/>
        <w:rPr>
          <w:rFonts w:hint="eastAsia"/>
        </w:rPr>
      </w:pPr>
      <w:r>
        <w:rPr>
          <w:rFonts w:hint="eastAsia"/>
        </w:rPr>
        <w:t>问题四：在探究苯环结构时，你是怎么理解“证据”的作用的？你认为一个科学结论要靠什么才能确立？</w:t>
      </w:r>
    </w:p>
    <w:p>
      <w:pPr>
        <w:widowControl/>
        <w:spacing w:after="80" w:line="400" w:lineRule="exact"/>
        <w:ind w:firstLine="482"/>
        <w:jc w:val="both"/>
        <w:rPr>
          <w:rFonts w:hint="eastAsia"/>
        </w:rPr>
      </w:pPr>
      <w:r>
        <w:rPr>
          <w:rFonts w:hint="eastAsia"/>
        </w:rPr>
        <w:t>问题五：关于苯的工业价值与毒性、致癌性，你怎么看待科学技术对社会的影响？经过这节课，你在观念上有什么改变？</w:t>
      </w:r>
    </w:p>
    <w:p>
      <w:pPr>
        <w:widowControl/>
        <w:spacing w:after="80" w:line="400" w:lineRule="exact"/>
        <w:ind w:firstLine="0" w:firstLineChars="0"/>
        <w:jc w:val="both"/>
        <w:rPr>
          <w:rFonts w:hint="eastAsia"/>
          <w:b/>
        </w:rPr>
      </w:pPr>
      <w:r>
        <w:rPr>
          <w:rFonts w:hint="eastAsia"/>
          <w:b/>
        </w:rPr>
        <w:t>教师访谈提纲：</w:t>
      </w:r>
    </w:p>
    <w:p>
      <w:pPr>
        <w:widowControl/>
        <w:spacing w:after="80" w:line="400" w:lineRule="exact"/>
        <w:ind w:firstLine="482"/>
        <w:jc w:val="both"/>
        <w:rPr>
          <w:rFonts w:hint="eastAsia"/>
        </w:rPr>
      </w:pPr>
      <w:r>
        <w:rPr>
          <w:rFonts w:hint="eastAsia"/>
        </w:rPr>
        <w:t>问题一：您认为这节以化学史为主线、指向科学本质观的HPS化学教学的开展效果怎么样？</w:t>
      </w:r>
    </w:p>
    <w:p>
      <w:pPr>
        <w:widowControl/>
        <w:spacing w:after="80" w:line="400" w:lineRule="exact"/>
        <w:ind w:firstLine="482"/>
        <w:jc w:val="both"/>
        <w:rPr>
          <w:rFonts w:hint="eastAsia"/>
        </w:rPr>
      </w:pPr>
      <w:r>
        <w:rPr>
          <w:rFonts w:hint="eastAsia"/>
        </w:rPr>
        <w:t>问题二：未来您是否愿意将这种HPS教学方式应用到其他化学主题或日常教学中？</w:t>
      </w:r>
    </w:p>
    <w:p>
      <w:pPr>
        <w:widowControl/>
        <w:spacing w:after="80" w:line="400" w:lineRule="exact"/>
        <w:ind w:firstLine="482"/>
        <w:jc w:val="both"/>
        <w:rPr>
          <w:rFonts w:hint="eastAsia"/>
        </w:rPr>
      </w:pPr>
      <w:r>
        <w:rPr>
          <w:rFonts w:hint="eastAsia"/>
        </w:rPr>
        <w:t>问题三：您认为本次教学活动还有哪些需要改进的地方？</w:t>
      </w: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