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9E616" w14:textId="77777777" w:rsidR="00024A47" w:rsidRDefault="00417668">
      <w:pPr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高压客户供电方案</w:t>
      </w:r>
    </w:p>
    <w:p w14:paraId="40F13843" w14:textId="77777777" w:rsidR="00215669" w:rsidRDefault="00215669">
      <w:pPr>
        <w:spacing w:line="440" w:lineRule="exact"/>
        <w:rPr>
          <w:b/>
        </w:rPr>
      </w:pPr>
    </w:p>
    <w:p w14:paraId="40DA5511" w14:textId="66BEFD7A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 w:rsidRPr="00A87FAA">
        <w:rPr>
          <w:rFonts w:ascii="仿宋_GB2312" w:eastAsia="仿宋_GB2312" w:hAnsi="宋体" w:hint="eastAsia"/>
          <w:sz w:val="30"/>
          <w:szCs w:val="30"/>
        </w:rPr>
        <w:t>根据</w:t>
      </w:r>
      <w:r w:rsidRPr="00A87FAA"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 w:rsidR="00125CCC">
        <w:rPr>
          <w:rFonts w:ascii="仿宋_GB2312" w:eastAsia="仿宋_GB2312" w:hAnsi="宋体" w:hint="eastAsia"/>
          <w:sz w:val="30"/>
          <w:szCs w:val="30"/>
          <w:u w:val="single"/>
        </w:rPr>
        <w:t>张三</w:t>
      </w:r>
      <w:r w:rsidRPr="00A87FAA">
        <w:rPr>
          <w:rFonts w:ascii="仿宋_GB2312" w:eastAsia="仿宋_GB2312" w:hAnsi="宋体" w:hint="eastAsia"/>
          <w:sz w:val="30"/>
          <w:szCs w:val="30"/>
          <w:u w:val="single"/>
        </w:rPr>
        <w:t xml:space="preserve">     </w:t>
      </w:r>
      <w:r w:rsidRPr="00A87FAA">
        <w:rPr>
          <w:rFonts w:ascii="仿宋_GB2312" w:eastAsia="仿宋_GB2312" w:hAnsi="宋体" w:hint="eastAsia"/>
          <w:sz w:val="30"/>
          <w:szCs w:val="30"/>
        </w:rPr>
        <w:t>客户的用电申请，</w:t>
      </w:r>
      <w:r w:rsidR="00F70D39" w:rsidRPr="00A87FAA">
        <w:rPr>
          <w:rFonts w:ascii="仿宋_GB2312" w:eastAsia="仿宋_GB2312" w:hAnsi="宋体" w:hint="eastAsia"/>
          <w:sz w:val="30"/>
          <w:szCs w:val="30"/>
        </w:rPr>
        <w:t>用电设备总容量为</w:t>
      </w:r>
      <w:r w:rsidRPr="00A87FAA">
        <w:rPr>
          <w:rFonts w:ascii="仿宋_GB2312" w:eastAsia="仿宋_GB2312" w:hAnsi="宋体" w:hint="eastAsia"/>
          <w:sz w:val="30"/>
          <w:szCs w:val="30"/>
        </w:rPr>
        <w:t>（业扩申请信息--合计运行容量？）</w:t>
      </w:r>
      <w:r w:rsidRPr="00A87FAA"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125CCC">
        <w:rPr>
          <w:rFonts w:ascii="仿宋_GB2312" w:eastAsia="仿宋_GB2312" w:hAnsi="宋体"/>
          <w:sz w:val="30"/>
          <w:szCs w:val="30"/>
          <w:u w:val="single"/>
        </w:rPr>
        <w:t>20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</w:rPr>
        <w:t>千伏安（千瓦视同千伏安）。按照安全、经济、合理的原则，结合供电条件及客户用电负荷性质，经现场勘察，确定供电方案如下：</w:t>
      </w:r>
    </w:p>
    <w:p w14:paraId="12FE3B8E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一、供电容量</w:t>
      </w:r>
    </w:p>
    <w:p w14:paraId="3E3F69EA" w14:textId="42714F51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根据客户提供的用电设备技术参数，计算负荷为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 w:rsidR="00125CCC">
        <w:rPr>
          <w:rFonts w:ascii="仿宋_GB2312" w:eastAsia="仿宋_GB2312" w:hAnsi="宋体"/>
          <w:sz w:val="30"/>
          <w:szCs w:val="30"/>
          <w:u w:val="single"/>
        </w:rPr>
        <w:t>20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</w:rPr>
        <w:t>千瓦，确定的供用电容量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125CCC">
        <w:rPr>
          <w:rFonts w:ascii="仿宋_GB2312" w:eastAsia="仿宋_GB2312" w:hAnsi="宋体"/>
          <w:sz w:val="30"/>
          <w:szCs w:val="30"/>
          <w:u w:val="single"/>
        </w:rPr>
        <w:t>20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千伏安，其中，一级负荷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125CCC">
        <w:rPr>
          <w:rFonts w:ascii="仿宋_GB2312" w:eastAsia="仿宋_GB2312" w:hAnsi="宋体"/>
          <w:sz w:val="30"/>
          <w:szCs w:val="30"/>
          <w:u w:val="single"/>
        </w:rPr>
        <w:t>16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千瓦，二级负荷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 w:rsidR="00125CCC">
        <w:rPr>
          <w:rFonts w:ascii="仿宋_GB2312" w:eastAsia="仿宋_GB2312" w:hAnsi="宋体"/>
          <w:sz w:val="30"/>
          <w:szCs w:val="30"/>
          <w:u w:val="single"/>
        </w:rPr>
        <w:t>4</w:t>
      </w:r>
      <w:r>
        <w:rPr>
          <w:rFonts w:ascii="仿宋_GB2312" w:eastAsia="仿宋_GB2312" w:hAnsi="宋体" w:hint="eastAsia"/>
          <w:sz w:val="30"/>
          <w:szCs w:val="30"/>
        </w:rPr>
        <w:t>千瓦。</w:t>
      </w:r>
    </w:p>
    <w:p w14:paraId="21CEF9BF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二、供电方式</w:t>
      </w:r>
    </w:p>
    <w:p w14:paraId="1C4FCFA8" w14:textId="0371BDE9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根据供电条件和客户用电需求，采</w:t>
      </w:r>
      <w:r w:rsidRPr="00A87FAA">
        <w:rPr>
          <w:rFonts w:ascii="仿宋_GB2312" w:eastAsia="仿宋_GB2312" w:hAnsi="宋体" w:hint="eastAsia"/>
          <w:sz w:val="30"/>
          <w:szCs w:val="30"/>
        </w:rPr>
        <w:t>用单（双、</w:t>
      </w:r>
      <w:r>
        <w:rPr>
          <w:rFonts w:ascii="仿宋_GB2312" w:eastAsia="仿宋_GB2312" w:hAnsi="宋体" w:hint="eastAsia"/>
          <w:sz w:val="30"/>
          <w:szCs w:val="30"/>
        </w:rPr>
        <w:t>多）电源供电方式，主供电源采用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125CCC">
        <w:rPr>
          <w:rFonts w:ascii="仿宋_GB2312" w:eastAsia="仿宋_GB2312" w:hAnsi="宋体"/>
          <w:sz w:val="30"/>
          <w:szCs w:val="30"/>
          <w:u w:val="single"/>
        </w:rPr>
        <w:t>38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kV电压等级（可重复），备用电源采用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125CCC">
        <w:rPr>
          <w:rFonts w:ascii="仿宋_GB2312" w:eastAsia="仿宋_GB2312" w:hAnsi="宋体"/>
          <w:sz w:val="30"/>
          <w:szCs w:val="30"/>
          <w:u w:val="single"/>
        </w:rPr>
        <w:t>38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kV电压等级。其中：</w:t>
      </w:r>
    </w:p>
    <w:p w14:paraId="3CDE2D82" w14:textId="5545F393" w:rsidR="00024A47" w:rsidRDefault="00417668">
      <w:pPr>
        <w:widowControl/>
        <w:jc w:val="left"/>
        <w:rPr>
          <w:rFonts w:ascii="仿宋_GB2312" w:eastAsia="仿宋_GB2312" w:hAnsi="宋体"/>
          <w:sz w:val="30"/>
          <w:szCs w:val="30"/>
          <w:highlight w:val="yellow"/>
        </w:rPr>
      </w:pPr>
      <w:r>
        <w:rPr>
          <w:rFonts w:ascii="仿宋_GB2312" w:eastAsia="仿宋_GB2312" w:hAnsi="宋体" w:hint="eastAsia"/>
          <w:sz w:val="30"/>
          <w:szCs w:val="30"/>
          <w:highlight w:val="yellow"/>
        </w:rPr>
        <w:t>以下标黄部分</w:t>
      </w:r>
      <w:r>
        <w:rPr>
          <w:rFonts w:ascii="仿宋_GB2312" w:eastAsia="仿宋_GB2312" w:hAnsi="仿宋_GB2312" w:cs="仿宋_GB2312"/>
          <w:b/>
          <w:color w:val="000000"/>
          <w:kern w:val="0"/>
          <w:sz w:val="24"/>
          <w:highlight w:val="yellow"/>
          <w:lang w:bidi="ar"/>
        </w:rPr>
        <w:t>受电点的供电电源信息</w:t>
      </w:r>
    </w:p>
    <w:p w14:paraId="3284A706" w14:textId="5D1DD830" w:rsidR="00024A47" w:rsidRDefault="00417668">
      <w:pPr>
        <w:adjustRightInd w:val="0"/>
        <w:snapToGrid w:val="0"/>
        <w:spacing w:line="440" w:lineRule="exact"/>
        <w:ind w:left="1"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主供电源Ⅰ为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 w:rsidR="00D355FC">
        <w:rPr>
          <w:rFonts w:ascii="仿宋_GB2312" w:eastAsia="仿宋_GB2312" w:hAnsi="宋体" w:hint="eastAsia"/>
          <w:sz w:val="30"/>
          <w:szCs w:val="30"/>
          <w:u w:val="single"/>
        </w:rPr>
        <w:t>鱼化寨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</w:rPr>
        <w:t>变电所Ⅰ（Ⅱ）段母线的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D355FC">
        <w:rPr>
          <w:rFonts w:ascii="仿宋_GB2312" w:eastAsia="仿宋_GB2312" w:hAnsi="宋体" w:hint="eastAsia"/>
          <w:sz w:val="30"/>
          <w:szCs w:val="30"/>
          <w:u w:val="single"/>
        </w:rPr>
        <w:t>环普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</w:rPr>
        <w:t>开关，采用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</w:t>
      </w:r>
      <w:r w:rsidR="00D355FC">
        <w:rPr>
          <w:rFonts w:ascii="仿宋_GB2312" w:eastAsia="仿宋_GB2312" w:hAnsi="宋体" w:hint="eastAsia"/>
          <w:sz w:val="30"/>
          <w:szCs w:val="30"/>
          <w:u w:val="single"/>
        </w:rPr>
        <w:t>专线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Ansi="宋体" w:hint="eastAsia"/>
          <w:sz w:val="30"/>
          <w:szCs w:val="30"/>
        </w:rPr>
        <w:t>（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公配线路“T“接/专线</w:t>
      </w:r>
      <w:r>
        <w:rPr>
          <w:rFonts w:ascii="仿宋_GB2312" w:eastAsia="仿宋_GB2312" w:hAnsi="宋体" w:hint="eastAsia"/>
          <w:sz w:val="30"/>
          <w:szCs w:val="30"/>
        </w:rPr>
        <w:t>）方式，供电线路采用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 w:rsidR="00D355FC">
        <w:rPr>
          <w:rFonts w:ascii="仿宋_GB2312" w:eastAsia="仿宋_GB2312" w:hAnsi="宋体" w:hint="eastAsia"/>
          <w:sz w:val="30"/>
          <w:szCs w:val="30"/>
          <w:u w:val="single"/>
        </w:rPr>
        <w:t>架空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（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架空/电缆）</w:t>
      </w:r>
      <w:r>
        <w:rPr>
          <w:rFonts w:ascii="仿宋_GB2312" w:eastAsia="仿宋_GB2312" w:hAnsi="宋体" w:hint="eastAsia"/>
          <w:sz w:val="30"/>
          <w:szCs w:val="30"/>
        </w:rPr>
        <w:t>方式敷设，线路的型号与参数为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proofErr w:type="spellStart"/>
      <w:r w:rsidR="00D355FC">
        <w:rPr>
          <w:rFonts w:ascii="仿宋_GB2312" w:eastAsia="仿宋_GB2312" w:hAnsi="宋体" w:hint="eastAsia"/>
          <w:sz w:val="30"/>
          <w:szCs w:val="30"/>
          <w:u w:val="single"/>
        </w:rPr>
        <w:t>x</w:t>
      </w:r>
      <w:r w:rsidR="00D355FC">
        <w:rPr>
          <w:rFonts w:ascii="仿宋_GB2312" w:eastAsia="仿宋_GB2312" w:hAnsi="宋体"/>
          <w:sz w:val="30"/>
          <w:szCs w:val="30"/>
          <w:u w:val="single"/>
        </w:rPr>
        <w:t>xxPPPxx</w:t>
      </w:r>
      <w:proofErr w:type="spellEnd"/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Ansi="宋体" w:hint="eastAsia"/>
          <w:sz w:val="30"/>
          <w:szCs w:val="30"/>
        </w:rPr>
        <w:t>，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供电容量为</w:t>
      </w:r>
      <w:r>
        <w:rPr>
          <w:rFonts w:ascii="仿宋_GB2312" w:eastAsia="仿宋_GB2312" w:hAnsi="宋体" w:hint="eastAsia"/>
          <w:sz w:val="30"/>
          <w:szCs w:val="30"/>
          <w:highlight w:val="yellow"/>
          <w:u w:val="single"/>
        </w:rPr>
        <w:t xml:space="preserve">  </w:t>
      </w:r>
      <w:r w:rsidR="00D355FC">
        <w:rPr>
          <w:rFonts w:ascii="仿宋_GB2312" w:eastAsia="仿宋_GB2312" w:hAnsi="宋体"/>
          <w:sz w:val="30"/>
          <w:szCs w:val="30"/>
          <w:highlight w:val="yellow"/>
          <w:u w:val="single"/>
        </w:rPr>
        <w:t>10</w:t>
      </w:r>
      <w:r>
        <w:rPr>
          <w:rFonts w:ascii="仿宋_GB2312" w:eastAsia="仿宋_GB2312" w:hAnsi="宋体" w:hint="eastAsia"/>
          <w:sz w:val="30"/>
          <w:szCs w:val="30"/>
          <w:highlight w:val="yellow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千</w:t>
      </w:r>
      <w:r>
        <w:rPr>
          <w:rFonts w:ascii="仿宋_GB2312" w:eastAsia="仿宋_GB2312" w:hAnsi="宋体" w:hint="eastAsia"/>
          <w:sz w:val="30"/>
          <w:szCs w:val="30"/>
        </w:rPr>
        <w:t>伏安；（可重复）</w:t>
      </w:r>
    </w:p>
    <w:p w14:paraId="2A57E380" w14:textId="05FBC96E" w:rsidR="00024A47" w:rsidRDefault="00417668" w:rsidP="00110905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备用电源为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 w:rsidR="00D355FC">
        <w:rPr>
          <w:rFonts w:ascii="仿宋_GB2312" w:eastAsia="仿宋_GB2312" w:hAnsi="宋体" w:hint="eastAsia"/>
          <w:sz w:val="30"/>
          <w:szCs w:val="30"/>
          <w:u w:val="single"/>
        </w:rPr>
        <w:t>鱼化寨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sz w:val="30"/>
          <w:szCs w:val="30"/>
        </w:rPr>
        <w:t>变电所Ⅰ（Ⅱ）段母线的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开关，采用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</w:t>
      </w:r>
      <w:r>
        <w:rPr>
          <w:rFonts w:ascii="仿宋_GB2312" w:eastAsia="仿宋_GB2312" w:hAnsi="宋体" w:hint="eastAsia"/>
          <w:sz w:val="30"/>
          <w:szCs w:val="30"/>
        </w:rPr>
        <w:t>（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公配线路“T“接/</w:t>
      </w:r>
      <w:r>
        <w:rPr>
          <w:rFonts w:ascii="仿宋_GB2312" w:eastAsia="仿宋_GB2312" w:hAnsi="宋体" w:hint="eastAsia"/>
          <w:sz w:val="30"/>
          <w:szCs w:val="30"/>
        </w:rPr>
        <w:t>专线）方式，供电线路采用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</w:rPr>
        <w:t>（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架空/电缆）</w:t>
      </w:r>
      <w:r>
        <w:rPr>
          <w:rFonts w:ascii="仿宋_GB2312" w:eastAsia="仿宋_GB2312" w:hAnsi="宋体" w:hint="eastAsia"/>
          <w:sz w:val="30"/>
          <w:szCs w:val="30"/>
        </w:rPr>
        <w:t>方式敷设，</w:t>
      </w:r>
      <w:r w:rsidR="00110905">
        <w:rPr>
          <w:rFonts w:ascii="仿宋_GB2312" w:eastAsia="仿宋_GB2312" w:hAnsi="宋体" w:hint="eastAsia"/>
          <w:sz w:val="30"/>
          <w:szCs w:val="30"/>
        </w:rPr>
        <w:t>线路的型号与参数为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</w:t>
      </w:r>
      <w:r>
        <w:rPr>
          <w:rFonts w:ascii="仿宋_GB2312" w:eastAsia="仿宋_GB2312" w:hAnsi="宋体" w:hint="eastAsia"/>
          <w:sz w:val="30"/>
          <w:szCs w:val="30"/>
        </w:rPr>
        <w:t>，供电容量为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千伏安。</w:t>
      </w:r>
    </w:p>
    <w:p w14:paraId="08BF76E0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三、受电方式</w:t>
      </w:r>
    </w:p>
    <w:p w14:paraId="34402CE4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1、受电点及变压器：</w:t>
      </w:r>
    </w:p>
    <w:p w14:paraId="1D07058A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用电人共有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Ansi="宋体" w:hint="eastAsia"/>
          <w:sz w:val="30"/>
          <w:szCs w:val="30"/>
        </w:rPr>
        <w:t>个受电点，用电总容量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千伏安。</w:t>
      </w:r>
    </w:p>
    <w:p w14:paraId="316C4963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受电点Ⅰ配置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</w:t>
      </w:r>
      <w:r>
        <w:rPr>
          <w:rFonts w:ascii="仿宋_GB2312" w:eastAsia="仿宋_GB2312" w:hAnsi="宋体" w:hint="eastAsia"/>
          <w:sz w:val="30"/>
          <w:szCs w:val="30"/>
        </w:rPr>
        <w:t>（干变/油变/箱变）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变压器</w:t>
      </w:r>
      <w:r>
        <w:rPr>
          <w:rFonts w:ascii="仿宋_GB2312" w:eastAsia="仿宋_GB2312" w:hAnsi="宋体" w:hint="eastAsia"/>
          <w:sz w:val="30"/>
          <w:szCs w:val="30"/>
          <w:highlight w:val="yellow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台</w:t>
      </w:r>
      <w:r>
        <w:rPr>
          <w:rFonts w:ascii="仿宋_GB2312" w:eastAsia="仿宋_GB2312" w:hAnsi="宋体" w:hint="eastAsia"/>
          <w:sz w:val="30"/>
          <w:szCs w:val="30"/>
        </w:rPr>
        <w:t>，其中：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</w:rPr>
        <w:t>千伏安变压器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Ansi="宋体" w:hint="eastAsia"/>
          <w:sz w:val="30"/>
          <w:szCs w:val="30"/>
        </w:rPr>
        <w:t>台；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</w:rPr>
        <w:t>千伏安变压器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Ansi="宋体" w:hint="eastAsia"/>
          <w:sz w:val="30"/>
          <w:szCs w:val="30"/>
        </w:rPr>
        <w:t>台；（可重复）</w:t>
      </w:r>
    </w:p>
    <w:p w14:paraId="22483508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用电人一、二级负荷所需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保安容量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千伏安(千瓦)由客</w:t>
      </w:r>
      <w:r>
        <w:rPr>
          <w:rFonts w:ascii="仿宋_GB2312" w:eastAsia="仿宋_GB2312" w:hAnsi="宋体" w:hint="eastAsia"/>
          <w:sz w:val="30"/>
          <w:szCs w:val="30"/>
        </w:rPr>
        <w:lastRenderedPageBreak/>
        <w:t>户自备，自备应急保安容量不低于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千伏安(千瓦)。</w:t>
      </w:r>
    </w:p>
    <w:p w14:paraId="4727341F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2、配电装置：</w:t>
      </w:r>
    </w:p>
    <w:p w14:paraId="4607564A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高压部分配置：进线柜（总柜）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台，计量柜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台，PT柜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台，馈电柜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台，电容柜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台，其它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台；</w:t>
      </w:r>
    </w:p>
    <w:p w14:paraId="2286243C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低压部分配置：根据用电人需求进行设计。</w:t>
      </w:r>
    </w:p>
    <w:p w14:paraId="0F28D2FD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3、接线方式：</w:t>
      </w:r>
    </w:p>
    <w:p w14:paraId="2C32E870" w14:textId="0B8CC865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受电变压器电源侧采用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</w:t>
      </w:r>
      <w:r>
        <w:rPr>
          <w:rFonts w:ascii="仿宋_GB2312" w:eastAsia="仿宋_GB2312" w:hAnsi="宋体" w:hint="eastAsia"/>
          <w:sz w:val="30"/>
          <w:szCs w:val="30"/>
        </w:rPr>
        <w:t>（线路-变压器组/单母线/单母线分段/…）接线，与供电电源连接的控制设备应采用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</w:t>
      </w:r>
      <w:r>
        <w:rPr>
          <w:rFonts w:ascii="仿宋_GB2312" w:eastAsia="仿宋_GB2312" w:hAnsi="宋体" w:hint="eastAsia"/>
          <w:sz w:val="30"/>
          <w:szCs w:val="30"/>
        </w:rPr>
        <w:t>（跌落式熔断器/负荷开关/断路器/…）。</w:t>
      </w:r>
    </w:p>
    <w:p w14:paraId="380BD0D4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4、运行方式：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         </w:t>
      </w:r>
    </w:p>
    <w:p w14:paraId="38571B13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5、保护装置：</w:t>
      </w:r>
    </w:p>
    <w:p w14:paraId="00B67B60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接地、继电保护应按相关电气规程进行设计。</w:t>
      </w:r>
    </w:p>
    <w:p w14:paraId="73A7D2AF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客户受电装置电源侧的主备电源间应设置可靠的闭锁装置；客户应急保安电源应与主备电源间加装可靠的闭锁装置。</w:t>
      </w:r>
    </w:p>
    <w:p w14:paraId="084A885A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6、污染源监测及治理要求：</w:t>
      </w:r>
    </w:p>
    <w:p w14:paraId="2E5D9E9E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 w:cs="仿宋_GB2312"/>
          <w:sz w:val="30"/>
          <w:szCs w:val="30"/>
        </w:rPr>
      </w:pPr>
      <w:r>
        <w:rPr>
          <w:rFonts w:ascii="仿宋_GB2312" w:eastAsia="仿宋_GB2312" w:hAnsi="宋体" w:cs="仿宋_GB2312" w:hint="eastAsia"/>
          <w:sz w:val="30"/>
          <w:szCs w:val="30"/>
        </w:rPr>
        <w:t>用电人应按相关规定安装谐波监测及电能质量监测装置，其注入电网谐波应符合国家标准。用电人用电设备产生的谐波，应按照“谁污染、谁治理”的原则进行治理，治理装置与工程同步设计、同步施工、同步投运。</w:t>
      </w:r>
    </w:p>
    <w:p w14:paraId="589AD688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cs="仿宋_GB2312" w:hint="eastAsia"/>
          <w:sz w:val="30"/>
          <w:szCs w:val="30"/>
        </w:rPr>
        <w:t>7、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产权及维护责任分界点划分：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                       </w:t>
      </w:r>
    </w:p>
    <w:p w14:paraId="47251605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四、计量</w:t>
      </w:r>
    </w:p>
    <w:p w14:paraId="74CA85E5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客户的用电类别分别为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Ansi="宋体" w:hint="eastAsia"/>
          <w:sz w:val="30"/>
          <w:szCs w:val="30"/>
        </w:rPr>
        <w:t>。电能计量装置按用电类别分别对应配置、安装。</w:t>
      </w:r>
    </w:p>
    <w:p w14:paraId="187F985B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计量点1：用于计量用电人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类别</w:t>
      </w:r>
      <w:r>
        <w:rPr>
          <w:rFonts w:ascii="仿宋_GB2312" w:eastAsia="仿宋_GB2312" w:hAnsi="宋体" w:hint="eastAsia"/>
          <w:sz w:val="30"/>
          <w:szCs w:val="30"/>
        </w:rPr>
        <w:t>用电量，计量装置设在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</w:t>
      </w:r>
      <w:r>
        <w:rPr>
          <w:rFonts w:ascii="仿宋_GB2312" w:eastAsia="仿宋_GB2312" w:hAnsi="宋体" w:hint="eastAsia"/>
          <w:sz w:val="30"/>
          <w:szCs w:val="30"/>
        </w:rPr>
        <w:t>处，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计量方式</w:t>
      </w:r>
      <w:r>
        <w:rPr>
          <w:rFonts w:ascii="仿宋_GB2312" w:eastAsia="仿宋_GB2312" w:hAnsi="宋体" w:hint="eastAsia"/>
          <w:sz w:val="30"/>
          <w:szCs w:val="30"/>
        </w:rPr>
        <w:t>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</w:t>
      </w:r>
      <w:r>
        <w:rPr>
          <w:rFonts w:ascii="仿宋_GB2312" w:eastAsia="仿宋_GB2312" w:hAnsi="宋体" w:hint="eastAsia"/>
          <w:sz w:val="30"/>
          <w:szCs w:val="30"/>
        </w:rPr>
        <w:t>，接线方式为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Ansi="宋体" w:hint="eastAsia"/>
          <w:sz w:val="30"/>
          <w:szCs w:val="30"/>
        </w:rPr>
        <w:t>；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电能表规格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</w:t>
      </w:r>
      <w:r>
        <w:rPr>
          <w:rFonts w:ascii="仿宋_GB2312" w:eastAsia="仿宋_GB2312" w:hAnsi="宋体" w:hint="eastAsia"/>
          <w:sz w:val="30"/>
          <w:szCs w:val="30"/>
        </w:rPr>
        <w:t>，精度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；电压互感器规格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，精度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</w:t>
      </w:r>
      <w:r>
        <w:rPr>
          <w:rFonts w:ascii="仿宋_GB2312" w:eastAsia="仿宋_GB2312" w:hAnsi="宋体" w:hint="eastAsia"/>
          <w:sz w:val="30"/>
          <w:szCs w:val="30"/>
        </w:rPr>
        <w:t>；电流互感器规格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，精度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</w:rPr>
        <w:t>。电量采集系统采用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</w:t>
      </w:r>
      <w:r>
        <w:rPr>
          <w:rFonts w:ascii="仿宋_GB2312" w:eastAsia="仿宋_GB2312" w:hAnsi="宋体" w:hint="eastAsia"/>
          <w:sz w:val="30"/>
          <w:szCs w:val="30"/>
        </w:rPr>
        <w:t>，与电能计量装置同步安装。（可重复）</w:t>
      </w:r>
    </w:p>
    <w:p w14:paraId="72049FC4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五、业务收费</w:t>
      </w:r>
    </w:p>
    <w:p w14:paraId="367211B3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1、根据客户的用电分类，客户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执行</w:t>
      </w:r>
      <w:r>
        <w:rPr>
          <w:rFonts w:ascii="仿宋_GB2312" w:eastAsia="仿宋_GB2312" w:hAnsi="宋体" w:hint="eastAsia"/>
          <w:sz w:val="30"/>
          <w:szCs w:val="30"/>
          <w:highlight w:val="yellow"/>
          <w:u w:val="single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制</w:t>
      </w:r>
      <w:r>
        <w:rPr>
          <w:rFonts w:ascii="仿宋_GB2312" w:eastAsia="仿宋_GB2312" w:hAnsi="宋体" w:hint="eastAsia"/>
          <w:sz w:val="30"/>
          <w:szCs w:val="30"/>
        </w:rPr>
        <w:t>电价，包</w:t>
      </w:r>
      <w:r>
        <w:rPr>
          <w:rFonts w:ascii="仿宋_GB2312" w:eastAsia="仿宋_GB2312" w:hAnsi="宋体" w:hint="eastAsia"/>
          <w:sz w:val="30"/>
          <w:szCs w:val="30"/>
        </w:rPr>
        <w:lastRenderedPageBreak/>
        <w:t>括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</w:t>
      </w:r>
      <w:r>
        <w:rPr>
          <w:rFonts w:ascii="仿宋_GB2312" w:eastAsia="仿宋_GB2312" w:hAnsi="宋体" w:hint="eastAsia"/>
          <w:sz w:val="30"/>
          <w:szCs w:val="30"/>
        </w:rPr>
        <w:t>、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</w:t>
      </w:r>
      <w:r>
        <w:rPr>
          <w:rFonts w:ascii="仿宋_GB2312" w:eastAsia="仿宋_GB2312" w:hAnsi="宋体" w:hint="eastAsia"/>
          <w:sz w:val="30"/>
          <w:szCs w:val="30"/>
        </w:rPr>
        <w:t xml:space="preserve"> 、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   </w:t>
      </w:r>
      <w:r>
        <w:rPr>
          <w:rFonts w:ascii="仿宋_GB2312" w:eastAsia="仿宋_GB2312" w:hAnsi="宋体" w:hint="eastAsia"/>
          <w:sz w:val="30"/>
          <w:szCs w:val="30"/>
        </w:rPr>
        <w:t xml:space="preserve"> 电价类别</w:t>
      </w:r>
    </w:p>
    <w:p w14:paraId="511DBE4B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2、功率因数考核标准及无功补偿装置：</w:t>
      </w:r>
    </w:p>
    <w:p w14:paraId="7D1A1AE9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根据用电人用电性质应执行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  <w:highlight w:val="yellow"/>
          <w:u w:val="single"/>
        </w:rPr>
        <w:t xml:space="preserve">  </w:t>
      </w:r>
      <w:r>
        <w:rPr>
          <w:rFonts w:ascii="仿宋_GB2312" w:eastAsia="仿宋_GB2312" w:hAnsi="宋体" w:hint="eastAsia"/>
          <w:sz w:val="30"/>
          <w:szCs w:val="30"/>
          <w:highlight w:val="yellow"/>
        </w:rPr>
        <w:t>功率因数考</w:t>
      </w:r>
      <w:r>
        <w:rPr>
          <w:rFonts w:ascii="仿宋_GB2312" w:eastAsia="仿宋_GB2312" w:hAnsi="宋体" w:hint="eastAsia"/>
          <w:sz w:val="30"/>
          <w:szCs w:val="30"/>
        </w:rPr>
        <w:t>核标准，为保证电能质量，用电人配制的无功补偿装置应采用成套装置，且</w:t>
      </w:r>
      <w:r>
        <w:rPr>
          <w:rFonts w:ascii="仿宋_GB2312" w:eastAsia="仿宋_GB2312" w:hAnsi="宋体" w:hint="eastAsia"/>
          <w:color w:val="333333"/>
          <w:sz w:val="30"/>
          <w:szCs w:val="30"/>
        </w:rPr>
        <w:t>具备自动投切功能，</w:t>
      </w:r>
      <w:r>
        <w:rPr>
          <w:rFonts w:ascii="仿宋_GB2312" w:eastAsia="仿宋_GB2312" w:hAnsi="宋体" w:hint="eastAsia"/>
          <w:sz w:val="30"/>
          <w:szCs w:val="30"/>
        </w:rPr>
        <w:t>总容量按不低于</w:t>
      </w:r>
      <w:r>
        <w:rPr>
          <w:rFonts w:ascii="仿宋_GB2312" w:eastAsia="仿宋_GB2312" w:hAnsi="宋体" w:hint="eastAsia"/>
          <w:sz w:val="30"/>
          <w:szCs w:val="30"/>
          <w:u w:val="single"/>
        </w:rPr>
        <w:t xml:space="preserve">      </w:t>
      </w:r>
      <w:r>
        <w:rPr>
          <w:rFonts w:ascii="仿宋_GB2312" w:eastAsia="仿宋_GB2312" w:hAnsi="宋体" w:hint="eastAsia"/>
          <w:sz w:val="30"/>
          <w:szCs w:val="30"/>
        </w:rPr>
        <w:t>配制。</w:t>
      </w:r>
    </w:p>
    <w:p w14:paraId="6D874A69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 w:cs="仿宋_GB2312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3、根据相关规定，</w:t>
      </w: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双（多）电源客户应缴纳高可靠性供电费</w:t>
      </w:r>
      <w:r>
        <w:rPr>
          <w:rFonts w:ascii="仿宋_GB2312" w:eastAsia="仿宋_GB2312" w:hAnsi="宋体" w:cs="仿宋_GB2312" w:hint="eastAsia"/>
          <w:color w:val="000000"/>
          <w:sz w:val="30"/>
          <w:szCs w:val="30"/>
          <w:u w:val="single"/>
        </w:rPr>
        <w:t xml:space="preserve">     </w:t>
      </w:r>
      <w:r>
        <w:rPr>
          <w:rFonts w:ascii="仿宋_GB2312" w:eastAsia="仿宋_GB2312" w:hAnsi="宋体" w:hint="eastAsia"/>
          <w:sz w:val="30"/>
          <w:szCs w:val="30"/>
        </w:rPr>
        <w:t>元</w:t>
      </w: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。</w:t>
      </w:r>
    </w:p>
    <w:p w14:paraId="7A3EA264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4、根据相关规定，临时施工用电的客户应交纳</w:t>
      </w:r>
      <w:r>
        <w:rPr>
          <w:rFonts w:ascii="仿宋_GB2312" w:eastAsia="仿宋_GB2312" w:hAnsi="宋体" w:cs="仿宋_GB2312" w:hint="eastAsia"/>
          <w:color w:val="000000"/>
          <w:sz w:val="30"/>
          <w:szCs w:val="30"/>
          <w:u w:val="single"/>
        </w:rPr>
        <w:t xml:space="preserve">         </w:t>
      </w: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元临时接电费。</w:t>
      </w:r>
    </w:p>
    <w:p w14:paraId="4FE8C718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六、其他说明</w:t>
      </w:r>
    </w:p>
    <w:p w14:paraId="302ACBCC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 xml:space="preserve">1、供配电设施建设应委托有电气设计资质的单位，依据供电公司答复的供电方案及相关设计规范进行设计，设计方案须经供电公司审核同意后方可施工； </w:t>
      </w:r>
    </w:p>
    <w:p w14:paraId="74D9100C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2、工程施工应委托有相应电气安装施工资质及电监会颁发的“承装（修、试）电力设施许可证”的企业进行施工；</w:t>
      </w:r>
    </w:p>
    <w:p w14:paraId="46498C61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3、电气设备应选择具有生产许可证、产品合格证及入网许可证的产品；</w:t>
      </w:r>
    </w:p>
    <w:p w14:paraId="0E9B2DFF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 w:cs="仿宋_GB2312"/>
          <w:color w:val="000000"/>
          <w:sz w:val="30"/>
          <w:szCs w:val="30"/>
        </w:rPr>
      </w:pPr>
      <w:r>
        <w:rPr>
          <w:rFonts w:ascii="仿宋_GB2312" w:eastAsia="仿宋_GB2312" w:hAnsi="宋体" w:cs="仿宋_GB2312" w:hint="eastAsia"/>
          <w:color w:val="000000"/>
          <w:sz w:val="30"/>
          <w:szCs w:val="30"/>
        </w:rPr>
        <w:t>4、请在电缆线路敷设、接地装置埋设等隐蔽工程施工前，通知供电公司进行中间检查；</w:t>
      </w:r>
    </w:p>
    <w:p w14:paraId="7240516C" w14:textId="77777777" w:rsidR="00024A47" w:rsidRDefault="00417668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5、设计、施工单位资质应在设计、施工前送供电公司审核确认。</w:t>
      </w:r>
    </w:p>
    <w:p w14:paraId="425F8042" w14:textId="78F8F2A1" w:rsidR="00024A47" w:rsidRPr="0080418B" w:rsidRDefault="00417668" w:rsidP="0080418B">
      <w:pPr>
        <w:adjustRightInd w:val="0"/>
        <w:snapToGrid w:val="0"/>
        <w:spacing w:line="440" w:lineRule="exact"/>
        <w:ind w:firstLineChars="200" w:firstLine="600"/>
        <w:rPr>
          <w:rFonts w:ascii="仿宋_GB2312" w:eastAsia="仿宋_GB2312" w:hAnsi="宋体"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color w:val="000000"/>
          <w:sz w:val="30"/>
          <w:szCs w:val="30"/>
        </w:rPr>
        <w:t>本方案有效期自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</w:t>
      </w:r>
      <w:r w:rsidR="00C77997">
        <w:rPr>
          <w:rFonts w:ascii="仿宋_GB2312" w:eastAsia="仿宋_GB2312" w:hAnsi="宋体"/>
          <w:color w:val="000000"/>
          <w:sz w:val="30"/>
          <w:szCs w:val="30"/>
          <w:u w:val="single"/>
        </w:rPr>
        <w:t>2021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年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</w:t>
      </w:r>
      <w:r w:rsidR="00C77997">
        <w:rPr>
          <w:rFonts w:ascii="仿宋_GB2312" w:eastAsia="仿宋_GB2312" w:hAnsi="宋体"/>
          <w:color w:val="000000"/>
          <w:sz w:val="30"/>
          <w:szCs w:val="30"/>
          <w:u w:val="single"/>
        </w:rPr>
        <w:t>1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月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</w:t>
      </w:r>
      <w:r w:rsidR="00C77997">
        <w:rPr>
          <w:rFonts w:ascii="仿宋_GB2312" w:eastAsia="仿宋_GB2312" w:hAnsi="宋体"/>
          <w:color w:val="000000"/>
          <w:sz w:val="30"/>
          <w:szCs w:val="30"/>
          <w:u w:val="single"/>
        </w:rPr>
        <w:t>1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日至</w:t>
      </w:r>
      <w:r w:rsidR="00C77997">
        <w:rPr>
          <w:rFonts w:ascii="仿宋_GB2312" w:eastAsia="仿宋_GB2312" w:hAnsi="宋体"/>
          <w:color w:val="000000"/>
          <w:sz w:val="30"/>
          <w:szCs w:val="30"/>
          <w:u w:val="single"/>
        </w:rPr>
        <w:t>2021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年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</w:t>
      </w:r>
      <w:r w:rsidR="00C77997">
        <w:rPr>
          <w:rFonts w:ascii="仿宋_GB2312" w:eastAsia="仿宋_GB2312" w:hAnsi="宋体"/>
          <w:color w:val="000000"/>
          <w:sz w:val="30"/>
          <w:szCs w:val="30"/>
          <w:u w:val="single"/>
        </w:rPr>
        <w:t>12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月</w:t>
      </w:r>
      <w:r w:rsidR="00C77997">
        <w:rPr>
          <w:rFonts w:ascii="仿宋_GB2312" w:eastAsia="仿宋_GB2312" w:hAnsi="宋体"/>
          <w:color w:val="000000"/>
          <w:sz w:val="30"/>
          <w:szCs w:val="30"/>
          <w:u w:val="single"/>
        </w:rPr>
        <w:t>31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日止，有效期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 </w:t>
      </w:r>
      <w:r w:rsidR="00C77997">
        <w:rPr>
          <w:rFonts w:ascii="仿宋_GB2312" w:eastAsia="仿宋_GB2312" w:hAnsi="宋体"/>
          <w:color w:val="000000"/>
          <w:sz w:val="30"/>
          <w:szCs w:val="30"/>
          <w:u w:val="single"/>
        </w:rPr>
        <w:t>1</w:t>
      </w:r>
      <w:r>
        <w:rPr>
          <w:rFonts w:ascii="仿宋_GB2312" w:eastAsia="仿宋_GB2312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仿宋_GB2312" w:eastAsia="仿宋_GB2312" w:hAnsi="宋体" w:hint="eastAsia"/>
          <w:color w:val="000000"/>
          <w:sz w:val="30"/>
          <w:szCs w:val="30"/>
        </w:rPr>
        <w:t>年，逾期注销。本方案如需变更，应经供电公司重新审核确认。</w:t>
      </w:r>
    </w:p>
    <w:sectPr w:rsidR="00024A47" w:rsidRPr="0080418B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B4CE0" w14:textId="77777777" w:rsidR="001B1761" w:rsidRDefault="001B1761">
      <w:r>
        <w:separator/>
      </w:r>
    </w:p>
  </w:endnote>
  <w:endnote w:type="continuationSeparator" w:id="0">
    <w:p w14:paraId="748DDDF5" w14:textId="77777777" w:rsidR="001B1761" w:rsidRDefault="001B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28E77" w14:textId="77777777" w:rsidR="00024A47" w:rsidRDefault="00417668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6303CAE" w14:textId="77777777" w:rsidR="00024A47" w:rsidRDefault="00024A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8BE41" w14:textId="77777777" w:rsidR="00024A47" w:rsidRDefault="00417668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1F878E3F" w14:textId="77777777" w:rsidR="00024A47" w:rsidRDefault="00024A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D51A9" w14:textId="77777777" w:rsidR="001B1761" w:rsidRDefault="001B1761">
      <w:r>
        <w:separator/>
      </w:r>
    </w:p>
  </w:footnote>
  <w:footnote w:type="continuationSeparator" w:id="0">
    <w:p w14:paraId="6ACD8B7F" w14:textId="77777777" w:rsidR="001B1761" w:rsidRDefault="001B1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5EF"/>
    <w:rsid w:val="00013FC9"/>
    <w:rsid w:val="00024A47"/>
    <w:rsid w:val="00100FB0"/>
    <w:rsid w:val="00110905"/>
    <w:rsid w:val="00125CCC"/>
    <w:rsid w:val="001B1761"/>
    <w:rsid w:val="00215669"/>
    <w:rsid w:val="0022087E"/>
    <w:rsid w:val="002335EF"/>
    <w:rsid w:val="00275DBE"/>
    <w:rsid w:val="00283EB1"/>
    <w:rsid w:val="003904E8"/>
    <w:rsid w:val="00417668"/>
    <w:rsid w:val="00556E7B"/>
    <w:rsid w:val="00582A8F"/>
    <w:rsid w:val="005B6C54"/>
    <w:rsid w:val="00612E86"/>
    <w:rsid w:val="00633587"/>
    <w:rsid w:val="00675D6E"/>
    <w:rsid w:val="006A1F48"/>
    <w:rsid w:val="0080418B"/>
    <w:rsid w:val="00A87FAA"/>
    <w:rsid w:val="00B42712"/>
    <w:rsid w:val="00C77997"/>
    <w:rsid w:val="00CE77A2"/>
    <w:rsid w:val="00D355FC"/>
    <w:rsid w:val="00F70D39"/>
    <w:rsid w:val="216D16B6"/>
    <w:rsid w:val="29487617"/>
    <w:rsid w:val="31D5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5ABE7F"/>
  <w15:docId w15:val="{9CBC3ED1-2B44-CD4F-81F8-82EBE65E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</w:style>
  <w:style w:type="character" w:customStyle="1" w:styleId="a5">
    <w:name w:val="页眉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985</Words>
  <Characters>996</Characters>
  <Application>Microsoft Office Word</Application>
  <DocSecurity>0</DocSecurity>
  <Lines>49</Lines>
  <Paragraphs>45</Paragraphs>
  <ScaleCrop>false</ScaleCrop>
  <Company>WWW.YlmF.CoM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附件五、供电方案模板</dc:title>
  <dc:creator>雨林木风</dc:creator>
  <cp:lastModifiedBy>孙 嘉伟</cp:lastModifiedBy>
  <cp:revision>10</cp:revision>
  <dcterms:created xsi:type="dcterms:W3CDTF">2021-03-12T07:05:00Z</dcterms:created>
  <dcterms:modified xsi:type="dcterms:W3CDTF">2021-06-30T12:28:00Z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