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експерта з галузі</w:t>
      </w:r>
    </w:p>
    <w:p>
      <w:pPr>
        <w:spacing w:after="0" w:before="0" w:line="240" w:lineRule="auto"/>
        <w:jc w:val="center"/>
      </w:pPr>
      <w:r>
        <w:rPr>
          <w:b/>
        </w:rPr>
        <w:t>Годлевського Михайла Дмитровича</w:t>
      </w:r>
      <w:r>
        <w:t>,</w:t>
      </w:r>
    </w:p>
    <w:p>
      <w:pPr>
        <w:spacing w:after="0" w:before="0" w:line="240" w:lineRule="auto"/>
        <w:jc w:val="center"/>
      </w:pPr>
      <w:r>
        <w:t>доктора технічних наук, професора,</w:t>
      </w:r>
    </w:p>
    <w:p>
      <w:pPr>
        <w:spacing w:after="0" w:before="0" w:line="240" w:lineRule="auto"/>
        <w:jc w:val="center"/>
      </w:pPr>
      <w:r>
        <w:t>директора навчально-наукового інституту комп’ютерних наук та інформаційних технологій</w:t>
      </w:r>
    </w:p>
    <w:p>
      <w:pPr>
        <w:spacing w:after="0" w:before="0" w:line="240" w:lineRule="auto"/>
        <w:jc w:val="center"/>
      </w:pPr>
      <w:r>
        <w:t>Національного технічного університету «Харківський політехнічний інститут»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актуальній для галузі інформаційних технологій задачі дистанційної ідентифікації параметрів динамічних об’єктів. Сучасні системи комп’ютерного зору повинні працювати з відеоданими в умовах невизначеності, шумів, оклюзій та змін освітлення, а тому потребують не окремих алгоритмічних рішень, а цілісних технологій обробки, здатних поєднувати детектування, оцінювання руху, реконструкцію глибини й перевірку якості результатів.</w:t>
      </w:r>
    </w:p>
    <w:p>
      <w:pPr>
        <w:spacing w:after="0" w:before="0" w:line="240" w:lineRule="auto"/>
        <w:jc w:val="both"/>
      </w:pPr>
      <w:r>
        <w:t xml:space="preserve">Актуальність дослідження полягає також у тому, що воно розташоване на перетині комп’ютерного зору, машинного навчання, обчислювального інтелекту та програмної реалізації інформаційних технологій. Такий міждисциплінарний характер є важливим для підготовки фахівців і дослідників за спеціальністю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Зв’язок роботи з науковими дослідженнями НТУ «ХПІ»</w:t>
      </w:r>
    </w:p>
    <w:p>
      <w:pPr>
        <w:spacing w:after="0" w:before="0" w:line="240" w:lineRule="auto"/>
        <w:jc w:val="both"/>
      </w:pPr>
      <w:r>
        <w:t>Дисертацію виконано в межах наукових робіт НТУ «ХПІ», пов’язаних із розробкою математичних моделей, програмних додатків і методів обчислювального інтелекту для складних систем. Тематика роботи відповідає напряму розвитку інституту комп’ютерних наук та інформаційних технологій і має як наукову, так і освітню цінність.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результатів</w:t>
      </w:r>
    </w:p>
    <w:p>
      <w:pPr>
        <w:spacing w:after="0" w:before="0" w:line="240" w:lineRule="auto"/>
        <w:jc w:val="both"/>
      </w:pPr>
      <w:r>
        <w:t>Наукові положення, висновки та рекомендації дисертації є обґрунтованими. Автор чітко визначив мету, об’єкт, предмет і задачі дослідження, а структура дисертації демонструє послідовне виконання поставлених завдань. Важливо, що робота містить не лише концептуальний опис технології, а й програмну реалізацію та експериментальну перевірку.</w:t>
      </w:r>
    </w:p>
    <w:p>
      <w:pPr>
        <w:spacing w:after="0" w:before="0" w:line="240" w:lineRule="auto"/>
        <w:jc w:val="both"/>
      </w:pPr>
      <w:r>
        <w:t xml:space="preserve">Достовірність результатів підтверджується використанням сучасних методів комп’ютерного зору, трансформерних архітектур, алгоритмів оптичного потоку, моделей оцінювання глибини та ансамблевих підходів. У роботі виконано порівняльний аналіз </w:t>
      </w:r>
      <w:r>
        <w:rPr>
          <w:b/>
        </w:rPr>
        <w:t>35 комбінацій</w:t>
      </w:r>
      <w:r>
        <w:t xml:space="preserve"> методів оптичного потоку й оцінювання глибини та використано систему метрик </w:t>
      </w:r>
      <w:r>
        <w:rPr>
          <w:b/>
        </w:rPr>
        <w:t>EPE, AAE, RMSE, MAE, PSNR, IoU та Dice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Наукова новизна та теоретична цінність</w:t>
      </w:r>
    </w:p>
    <w:p>
      <w:pPr>
        <w:spacing w:after="0" w:before="0" w:line="240" w:lineRule="auto"/>
        <w:jc w:val="both"/>
      </w:pPr>
      <w:r>
        <w:t>Наукова новизна дисертації визначається цілісністю запропонованого підходу до аналізу динамічних об’єктів. Автор не обмежився застосуванням відомих моделей комп’ютерного зору, а сформував логіку їх взаємодії в межах інформаційної технології дистанційної ідентифікації. Саме ця цілісність є важливою для дисертаційного дослідження, оскільки дає можливість перейти від окремих алгоритмічних операцій до науково обґрунтованої системи обробки відеоданих.</w:t>
      </w:r>
    </w:p>
    <w:p>
      <w:pPr>
        <w:spacing w:after="0" w:before="0" w:line="240" w:lineRule="auto"/>
        <w:jc w:val="both"/>
      </w:pPr>
      <w:r>
        <w:t>До найбільш вагомих результатів належать метод інтеграції трансформерного детектування з оптичним потоком, структура інформаційної технології, підхід до комбінування моделей оцінювання глибини, ансамблева корекція результатів та комплексна система метрик. У сукупності ці результати розвивають наукові основи побудови інтелектуальних систем аналізу динамічних сцен.</w:t>
      </w:r>
    </w:p>
    <w:p>
      <w:pPr>
        <w:spacing w:after="0" w:before="0" w:line="240" w:lineRule="auto"/>
        <w:jc w:val="both"/>
      </w:pPr>
      <w:r>
        <w:t>Теоретична цінність роботи полягає в тому, що вона задає узгоджену схему переходу від відеопотоку до параметричного опису рухомого об’єкта. Такий результат має значення не лише для конкретної програмної реалізації, а й для подальших досліджень у сфері комп’ютерного зору, обчислювального інтелекту та інформаційних технологій.</w:t>
      </w:r>
    </w:p>
    <w:p>
      <w:pPr>
        <w:spacing w:after="0" w:before="0" w:line="240" w:lineRule="auto"/>
        <w:jc w:val="left"/>
      </w:pPr>
      <w:r>
        <w:rPr>
          <w:b/>
        </w:rPr>
        <w:t>Практичне значення та впровадження</w:t>
      </w:r>
    </w:p>
    <w:p>
      <w:pPr>
        <w:spacing w:after="0" w:before="0" w:line="240" w:lineRule="auto"/>
        <w:jc w:val="both"/>
      </w:pPr>
      <w:r>
        <w:t>Практичне значення роботи полягає у можливості застосування отриманих результатів у системах відеоспостереження, автономного транспорту, робототехніки, промислового моніторингу, підтримки прийняття рішень і спеціалізованих наукових досліджень. Окремо слід відзначити міждисциплінарний потенціал роботи, підтверджений використанням результатів у Радіоастрономічному інституті НАН України.</w:t>
      </w:r>
    </w:p>
    <w:p>
      <w:pPr>
        <w:spacing w:after="0" w:before="0" w:line="240" w:lineRule="auto"/>
        <w:jc w:val="both"/>
      </w:pPr>
      <w:r>
        <w:t>Результати дисертації також впроваджено у навчальний процес НТУ «ХПІ» та ТОВ «Технічний університет «Метінвест Політехніка», що свідчить про їх корисність для підготовки фахівців у галузі інформаційних технологій.</w:t>
      </w:r>
    </w:p>
    <w:p>
      <w:pPr>
        <w:spacing w:after="0" w:before="0" w:line="240" w:lineRule="auto"/>
        <w:jc w:val="left"/>
      </w:pPr>
      <w:r>
        <w:rPr>
          <w:b/>
        </w:rPr>
        <w:t>Повнота викладення результатів у публікаціях</w:t>
      </w:r>
    </w:p>
    <w:p>
      <w:pPr>
        <w:spacing w:after="0" w:before="0" w:line="240" w:lineRule="auto"/>
        <w:jc w:val="both"/>
      </w:pPr>
      <w:r>
        <w:t xml:space="preserve">Основні результати дослідження оприлюднено у </w:t>
      </w:r>
      <w:r>
        <w:rPr>
          <w:b/>
        </w:rPr>
        <w:t>15 наукових працях</w:t>
      </w:r>
      <w:r>
        <w:t>. Публікації відповідають тематиці дисертації, відображають її основні положення та підтверджують належний рівень апробації результатів.</w:t>
      </w:r>
    </w:p>
    <w:p>
      <w:pPr>
        <w:spacing w:after="0" w:before="0" w:line="240" w:lineRule="auto"/>
        <w:jc w:val="left"/>
      </w:pPr>
      <w:r>
        <w:rPr>
          <w:b/>
        </w:rPr>
        <w:t>Оцінка змісту роботи та академічної доброчесності</w:t>
      </w:r>
    </w:p>
    <w:p>
      <w:pPr>
        <w:spacing w:after="0" w:before="0" w:line="240" w:lineRule="auto"/>
        <w:jc w:val="both"/>
      </w:pPr>
      <w:r>
        <w:t>Дисертаційна робота має логічну структуру, містить вступ, чотири розділи, висновки, список використаних джерел і додатки. Структура роботи відповідає поставленій меті та демонструє послідовність наукового пошуку здобувача: від аналізу сучасного стану проблеми до формування власних методичних положень, програмної реалізації та перевірки результатів.</w:t>
      </w:r>
    </w:p>
    <w:p>
      <w:pPr>
        <w:spacing w:after="0" w:before="0" w:line="240" w:lineRule="auto"/>
        <w:jc w:val="both"/>
      </w:pPr>
      <w:r>
        <w:t>У вступі обґрунтовано актуальність теми, визначено мету, задачі, об’єкт і предмет дослідження, наведено наукову новизну та практичне значення одержаних результатів. Перший розділ формує необхідну аналітичну базу дослідження і показує, що задача дистанційної ідентифікації параметрів динамічних об’єктів є важливою для сучасних інформаційних технологій.</w:t>
      </w:r>
    </w:p>
    <w:p>
      <w:pPr>
        <w:spacing w:after="0" w:before="0" w:line="240" w:lineRule="auto"/>
        <w:jc w:val="both"/>
      </w:pPr>
      <w:r>
        <w:t>У наступних розділах послідовно розкрито методичну основу дослідження, запропоновані моделі та методи, а також структуру інформаційної технології. Автор демонструє здатність поєднувати сучасні методи комп’ютерного зору, машинного навчання та програмного моделювання в межах єдиного дослідницького задуму. Експериментальна частина підтверджує, що отримані результати не залишаються на рівні теоретичних положень, а мають прикладне підтвердження.</w:t>
      </w:r>
    </w:p>
    <w:p>
      <w:pPr>
        <w:spacing w:after="0" w:before="0" w:line="240" w:lineRule="auto"/>
        <w:jc w:val="both"/>
      </w:pPr>
      <w:r>
        <w:t>Висновки дисертації загалом відповідають поставленим задачам і змісту розділів. Матеріал викладено на належному науковому рівні, із достатнім поєднанням теоретичної, алгоритмічної та експериментальної складових.</w:t>
      </w:r>
    </w:p>
    <w:p>
      <w:pPr>
        <w:spacing w:after="0" w:before="0" w:line="240" w:lineRule="auto"/>
        <w:jc w:val="both"/>
      </w:pPr>
      <w:r>
        <w:t xml:space="preserve">Зміст роботи відповідає спеціальності </w:t>
      </w:r>
      <w:r>
        <w:rPr>
          <w:b/>
        </w:rPr>
        <w:t>122 – Комп’ютерні науки</w:t>
      </w:r>
      <w:r>
        <w:t>. Порушень академічної доброчесності в дисертації та публікаціях здобувача не виявлено. Основні результати, винесені на захист, отримано автором особисто, а внесок у співавторські праці визначено коректно.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>1. У підсумкових висновках доцільно ще виразніше показати відповідність між поставленими задачами дослідження та конкретними науковими результатами, отриманими автором.</w:t>
      </w:r>
    </w:p>
    <w:p>
      <w:pPr>
        <w:spacing w:after="0" w:before="0" w:line="240" w:lineRule="auto"/>
        <w:ind w:left="0" w:firstLine="0"/>
        <w:jc w:val="left"/>
      </w:pPr>
      <w:r>
        <w:t>2. У блоці наукової новизни бажано чіткіше відокремити результати, що мають характер нових моделей і методів, від результатів, які стосуються архітектури або структури інформаційної технології.</w:t>
      </w:r>
    </w:p>
    <w:p>
      <w:pPr>
        <w:spacing w:after="0" w:before="0" w:line="240" w:lineRule="auto"/>
        <w:ind w:left="0" w:firstLine="0"/>
        <w:jc w:val="left"/>
      </w:pPr>
      <w:r>
        <w:t>3. Для кращого сприйняття комплексної технології корисною була б узагальнювальна схема або таблиця, де компактно зіставлено модулі, їх вхідні та вихідні дані, а також відповідні метрики оцінювання.</w:t>
      </w:r>
    </w:p>
    <w:p>
      <w:pPr>
        <w:spacing w:after="0" w:before="0" w:line="240" w:lineRule="auto"/>
        <w:ind w:left="0" w:firstLine="0"/>
        <w:jc w:val="left"/>
      </w:pPr>
      <w:r>
        <w:t xml:space="preserve">4. Було б доцільно більш явно виділити авторський внесок саме у вибір оптимальних конфігурацій серед досліджених </w:t>
      </w:r>
      <w:r>
        <w:rPr>
          <w:b/>
        </w:rPr>
        <w:t>35 комбінацій</w:t>
      </w:r>
      <w:r>
        <w:t xml:space="preserve"> методів.</w:t>
      </w:r>
    </w:p>
    <w:p>
      <w:pPr>
        <w:spacing w:after="0" w:before="0" w:line="240" w:lineRule="auto"/>
        <w:ind w:left="0" w:firstLine="0"/>
        <w:jc w:val="left"/>
      </w:pPr>
      <w:r>
        <w:t>5. У роботі трапляються окремі стилістичні та термінологічні неточності, які можна усунути в остаточній редакції.</w:t>
      </w:r>
    </w:p>
    <w:p>
      <w:pPr>
        <w:spacing w:after="0" w:before="0" w:line="240" w:lineRule="auto"/>
        <w:jc w:val="both"/>
      </w:pPr>
      <w:r>
        <w:t>Зазначені зауваження не знижують загальної позитивної оцінки дисертаційної роботи.</w:t>
      </w:r>
    </w:p>
    <w:p>
      <w:pPr>
        <w:spacing w:after="0" w:before="0" w:line="240" w:lineRule="auto"/>
        <w:jc w:val="left"/>
      </w:pPr>
      <w:r>
        <w:rPr>
          <w:b/>
        </w:rPr>
        <w:t>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завершеним самостійним науковим дослідженням, виконаним на належному теоретичному та прикладному рівнях. Робота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both"/>
      </w:pPr>
      <w:r>
        <w:t xml:space="preserve">Подана дисертація відповідає вимогам до дисертацій на здобуття ступеня доктора філософії,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 Дисертаційна робота може бути рекомендована до публічного захисту.</w:t>
      </w:r>
    </w:p>
    <w:p>
      <w:pPr>
        <w:spacing w:after="0" w:before="0" w:line="240" w:lineRule="auto"/>
        <w:jc w:val="left"/>
      </w:pPr>
      <w:r>
        <w:rPr>
          <w:b/>
        </w:rPr>
        <w:t>Експерт з галузі</w:t>
      </w:r>
    </w:p>
    <w:p>
      <w:pPr>
        <w:spacing w:after="0" w:before="0" w:line="240" w:lineRule="auto"/>
        <w:jc w:val="both"/>
      </w:pPr>
      <w:r>
        <w:t>директор навчально-наукового інституту комп’ютерних наук</w:t>
      </w:r>
    </w:p>
    <w:p>
      <w:pPr>
        <w:spacing w:after="0" w:before="0" w:line="240" w:lineRule="auto"/>
        <w:jc w:val="both"/>
      </w:pPr>
      <w:r>
        <w:t>та інформаційних технологій НТУ «ХПІ»,</w:t>
      </w:r>
    </w:p>
    <w:p>
      <w:pPr>
        <w:spacing w:after="0" w:before="0" w:line="240" w:lineRule="auto"/>
        <w:jc w:val="both"/>
      </w:pPr>
      <w:r>
        <w:t>доктор технічних наук, професор</w:t>
      </w:r>
    </w:p>
    <w:p>
      <w:pPr>
        <w:spacing w:after="0" w:before="0" w:line="240" w:lineRule="auto"/>
        <w:jc w:val="left"/>
      </w:pPr>
      <w:r>
        <w:rPr>
          <w:b/>
        </w:rPr>
        <w:t>Михайло ГОДЛЕВСЬКИЙ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