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Times New Roman"/>
          <w:sz w:val="24"/>
        </w:rPr>
        <w:t>Spline Nonlinearity Analysis</w:t>
      </w:r>
    </w:p>
    <w:p>
      <w:pPr>
        <w:pStyle w:val="Heading2"/>
      </w:pPr>
      <w:r>
        <w:rPr>
          <w:rFonts w:ascii="Times New Roman" w:hAnsi="Times New Roman" w:eastAsia="Times New Roman"/>
          <w:sz w:val="24"/>
        </w:rPr>
        <w:t>1. Empirical Specification</w:t>
      </w:r>
    </w:p>
    <w:p>
      <w:pPr/>
      <w:r>
        <w:rPr>
          <w:rFonts w:ascii="Times New Roman" w:hAnsi="Times New Roman" w:eastAsia="Times New Roman"/>
          <w:sz w:val="24"/>
        </w:rPr>
        <w:t>This section evaluates whether the relationship between index ownership and market quality is nonlinear when the functional form is allowed to vary more flexibly than in the quadratic benchmark. The estimating equation is a panel fixed-effects model in which each outcome is regressed on a natural cubic spline in index ownership, together with the standard controls, firm fixed effects, and time fixed effects. Standard errors are two-way clustered by firm and date. The spline uses three interior knots located at the 10th, 50th, and 90th percentiles of the full-sample ownership distribution, corresponding to index ownership values of 0.0161, 0.0510, and 0.1507.</w:t>
      </w:r>
    </w:p>
    <w:p>
      <w:pPr/>
      <w:r>
        <w:rPr>
          <w:rFonts w:ascii="Times New Roman" w:hAnsi="Times New Roman" w:eastAsia="Times New Roman"/>
          <w:sz w:val="24"/>
        </w:rPr>
        <w:t>This specification should be interpreted as reduced-form evidence rather than as a causal design. Its main value is that it relaxes the quadratic restriction and therefore allows the data to determine whether the estimated optimum is driven by genuine curvature or by an overly restrictive parametric form. Accordingly, the spline results are best viewed as a robustness check on the earlier nonlinear fixed-effects estimates. If the implied high-quality range remains similar, that would strengthen the conclusion that moderate index ownership is associated with better market quality.</w:t>
      </w:r>
    </w:p>
    <w:p>
      <w:pPr>
        <w:pStyle w:val="Heading2"/>
      </w:pPr>
      <w:r>
        <w:rPr>
          <w:rFonts w:ascii="Times New Roman" w:hAnsi="Times New Roman" w:eastAsia="Times New Roman"/>
          <w:sz w:val="24"/>
        </w:rPr>
        <w:t>2. Composite Market-Quality Result</w:t>
      </w:r>
    </w:p>
    <w:p>
      <w:pPr/>
      <w:r>
        <w:rPr>
          <w:rFonts w:ascii="Times New Roman" w:hAnsi="Times New Roman" w:eastAsia="Times New Roman"/>
          <w:sz w:val="24"/>
        </w:rPr>
        <w:t>The spline estimates imply a composite optimum at an index ownership level of approximately 0.0451. In addition, the top 5 percent of the composite market-quality score is attained over a relatively narrow interval from 0.0408 to 0.0511. This pattern is economically informative because it indicates that the best market-quality outcomes are concentrated in a moderate interior region of the ownership distribution rather than at either extreme. The spline specification therefore reinforces the broader conclusion that the relation between indexing and market quality is nonlinear.</w:t>
      </w:r>
    </w:p>
    <w:p>
      <w:pPr/>
      <w:r>
        <w:rPr>
          <w:rFonts w:ascii="Times New Roman" w:hAnsi="Times New Roman" w:eastAsia="Times New Roman"/>
          <w:sz w:val="24"/>
        </w:rPr>
        <w:t>The estimated optimum from the spline model is close to, though somewhat higher than, the optimum implied by the quadratic benchmark. This similarity is important because it suggests that the main reduced-form finding is not merely an artifact of the quadratic functional form. At the same time, the narrowness of the top-score interval indicates that market quality changes meaningfully as ownership moves away from this interior region. Thus, the flexible spline specification preserves the basic economic message of the parametric results while allowing greater shape flexibility.</w:t>
      </w:r>
    </w:p>
    <w:p>
      <w:pPr>
        <w:pStyle w:val="Heading2"/>
      </w:pPr>
      <w:r>
        <w:rPr>
          <w:rFonts w:ascii="Times New Roman" w:hAnsi="Times New Roman" w:eastAsia="Times New Roman"/>
          <w:sz w:val="24"/>
        </w:rPr>
        <w:t>3. Outcome-Specific Patterns</w:t>
      </w:r>
    </w:p>
    <w:p>
      <w:pPr/>
      <w:r>
        <w:rPr>
          <w:rFonts w:ascii="Times New Roman" w:hAnsi="Times New Roman" w:eastAsia="Times New Roman"/>
          <w:sz w:val="24"/>
        </w:rPr>
        <w:t>The outcome-specific spline optima differ across the three market-quality dimensions. For Amihud illiquidity, the implied optimum occurs at an index ownership level of approximately 0.0408, with a within R-squared of 0.0901 and a sample size of 241,199 observations. Since lower Amihud illiquidity corresponds to greater liquidity, this estimate suggests that moderate passive ownership is associated with the strongest liquidity conditions in the reduced-form spline model. The location of this optimum is also close to the composite optimum, which indicates that the liquidity channel contributes materially to the aggregate market-quality score.</w:t>
      </w:r>
    </w:p>
    <w:p>
      <w:pPr/>
      <w:r>
        <w:rPr>
          <w:rFonts w:ascii="Times New Roman" w:hAnsi="Times New Roman" w:eastAsia="Times New Roman"/>
          <w:sz w:val="24"/>
        </w:rPr>
        <w:t>For volatility, the implied optimum occurs at a higher ownership level, approximately 0.1020, with a within R-squared of 0.2200 and 240,515 observations. Because lower volatility is interpreted as an improvement in market quality, this estimate implies that the volatility-reducing effect of indexing persists over a broader ownership range than the liquidity effect. This result is broadly consistent with the earlier quadratic evidence showing economically meaningful curvature in volatility. It also suggests that the volatility channel may remain favorable even after the liquidity channel has already reached its local optimum.</w:t>
      </w:r>
    </w:p>
    <w:p>
      <w:pPr/>
      <w:r>
        <w:rPr>
          <w:rFonts w:ascii="Times New Roman" w:hAnsi="Times New Roman" w:eastAsia="Times New Roman"/>
          <w:sz w:val="24"/>
        </w:rPr>
        <w:t>For price informativeness, the implied optimum occurs at a much lower ownership level, approximately 0.0104, with a within R-squared of 0.0115 and 239,758 observations. Since higher values of the informativeness measure are interpreted as better market quality, this estimate suggests that the information environment may respond differently from liquidity and volatility. In particular, the low explanatory power of the spline model for this outcome cautions against placing too much weight on the precise location of the estimated optimum. The price-informativeness channel therefore appears less stable and less quantitatively important than the liquidity and volatility channels in this reduced-form exercise.</w:t>
      </w:r>
    </w:p>
    <w:p>
      <w:pPr>
        <w:pStyle w:val="Heading2"/>
      </w:pPr>
      <w:r>
        <w:rPr>
          <w:rFonts w:ascii="Times New Roman" w:hAnsi="Times New Roman" w:eastAsia="Times New Roman"/>
          <w:sz w:val="24"/>
        </w:rPr>
        <w:t>4. Interpretation</w:t>
      </w:r>
    </w:p>
    <w:p>
      <w:pPr/>
      <w:r>
        <w:rPr>
          <w:rFonts w:ascii="Times New Roman" w:hAnsi="Times New Roman" w:eastAsia="Times New Roman"/>
          <w:sz w:val="24"/>
        </w:rPr>
        <w:t>Taken together, the spline results support the view that the effect of index ownership on market quality is nonlinear and that the economically favorable region lies at moderate levels of passive ownership. The composite optimum near 4.5 percent and the top-score interval from roughly 4.1 percent to 5.1 percent are consistent with an interior range in which the joint liquidity, volatility, and information outcomes are strongest. While the precise optima differ across outcomes, the general pattern is that neither very low nor very high levels of index ownership are associated with the best overall market conditions. The spline evidence therefore strengthens the interpretation that the reduced-form relation between indexing and market quality is not well summarized by a single linear slope.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