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A365D"/>
          <w:sz w:val="36"/>
        </w:rPr>
        <w:t>YANG LI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color w:val="2C5F8A"/>
          <w:sz w:val="22"/>
        </w:rPr>
        <w:t>Lead Software Engineer | Java · Python · AWS · Distributed Systems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color w:val="333333"/>
          <w:sz w:val="19"/>
        </w:rPr>
        <w:t xml:space="preserve">victorlee2012.vl@gmail.com | Glasgow, UK | </w:t>
      </w:r>
      <w:hyperlink r:id="rId9">
        <w:r>
          <w:rPr>
            <w:color w:val="0056B3"/>
            <w:u w:val="single"/>
            <w:rFonts w:ascii="Calibri" w:hAnsi="Calibri"/>
            <w:sz w:val="19"/>
          </w:rPr>
          <w:t>LinkedIn</w:t>
        </w:r>
      </w:hyperlink>
    </w:p>
    <w:p>
      <w:pPr>
        <w:keepNext/>
        <w:spacing w:before="220" w:after="80" w:line="240" w:lineRule="auto"/>
        <w:pBdr>
          <w:bottom w:val="single" w:sz="8" w:space="4" w:color="1A365D"/>
        </w:pBdr>
      </w:pPr>
      <w:r>
        <w:rPr>
          <w:rFonts w:ascii="Calibri" w:hAnsi="Calibri"/>
          <w:b/>
          <w:color w:val="1A365D"/>
          <w:sz w:val="24"/>
        </w:rPr>
        <w:t>PROFILE</w:t>
      </w:r>
    </w:p>
    <w:p>
      <w:pPr>
        <w:spacing w:before="40" w:after="80" w:line="276" w:lineRule="auto"/>
      </w:pPr>
      <w:r>
        <w:rPr>
          <w:rFonts w:ascii="Calibri" w:hAnsi="Calibri"/>
          <w:b w:val="0"/>
          <w:color w:val="333333"/>
          <w:sz w:val="19"/>
        </w:rPr>
        <w:t>Lead Software engineer with 20+ years building resilient production systems across fintech, wealth management, and energy sectors — now specialising in GitLab CI/CD platform engineering and GenAI adoption. Currently serving 50+ engineering teams at Barclays Global Functions and Enterprise Data as a platform engineer. Combines deep backend engineering experience with hands-on GenAI integration (RAG, MCP, agentic workflows) and SRE automation.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365D"/>
          <w:sz w:val="19"/>
        </w:rPr>
        <w:t>Specialised in:</w:t>
      </w:r>
      <w:r>
        <w:rPr>
          <w:rFonts w:ascii="Calibri" w:hAnsi="Calibri"/>
          <w:b w:val="0"/>
          <w:color w:val="1A365D"/>
          <w:sz w:val="19"/>
        </w:rPr>
        <w:t xml:space="preserve"> GitLab CI/CD Platform Architecture | Python &amp; DevOps Automation | Java Enterprise Distributed Systems | SRE &amp; Release Engineering | GenAI Integration (LangFlow, Ollama, RAG, MCP,  Claude SKILL) | Developer Experience &amp; Productivity</w:t>
      </w:r>
    </w:p>
    <w:p>
      <w:pPr>
        <w:keepNext/>
        <w:spacing w:before="220" w:after="80" w:line="240" w:lineRule="auto"/>
        <w:pBdr>
          <w:bottom w:val="single" w:sz="8" w:space="4" w:color="1A365D"/>
        </w:pBdr>
      </w:pPr>
      <w:r>
        <w:rPr>
          <w:rFonts w:ascii="Calibri" w:hAnsi="Calibri"/>
          <w:b/>
          <w:color w:val="1A365D"/>
          <w:sz w:val="24"/>
        </w:rPr>
        <w:t>TECHNICAL SKILLS</w:t>
      </w:r>
    </w:p>
    <w:p>
      <w:pPr>
        <w:keepNext/>
        <w:spacing w:before="120" w:after="40" w:line="240" w:lineRule="auto"/>
      </w:pPr>
      <w:r>
        <w:rPr>
          <w:rFonts w:ascii="Calibri" w:hAnsi="Calibri"/>
          <w:b/>
          <w:color w:val="111111"/>
          <w:sz w:val="20"/>
        </w:rPr>
        <w:t>Languages &amp; Core Engineering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Languages: Java (10+ years), Python (4+ years, recent focus), C/C++, SQL; (Proficient) TypeScript, Rust (learning)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API Architecture: RESTful API design (Swagger/OpenAPI), distributed messaging, event-driven architectures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Distributed Systems &amp; Messaging: Microservices, Kafka (basic knowledge), high-frequency trading platforms, resilient service design</w:t>
      </w:r>
    </w:p>
    <w:p>
      <w:pPr>
        <w:keepNext/>
        <w:spacing w:before="120" w:after="40" w:line="240" w:lineRule="auto"/>
      </w:pPr>
      <w:r>
        <w:rPr>
          <w:rFonts w:ascii="Calibri" w:hAnsi="Calibri"/>
          <w:b/>
          <w:color w:val="111111"/>
          <w:sz w:val="20"/>
        </w:rPr>
        <w:t>Cloud &amp; Infrastructure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Cloud: AWS (EC2, RDS, S3, Lambda, ECS, EKS, ECR)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Infrastructure as Code: Terraform (hands-on/proficient), CloudFormation (learning)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Containerisation: Docker, Kubernetes, Red Hat OpenShift</w:t>
      </w:r>
    </w:p>
    <w:p>
      <w:pPr>
        <w:keepNext/>
        <w:spacing w:before="120" w:after="40" w:line="240" w:lineRule="auto"/>
      </w:pPr>
      <w:r>
        <w:rPr>
          <w:rFonts w:ascii="Calibri" w:hAnsi="Calibri"/>
          <w:b/>
          <w:color w:val="111111"/>
          <w:sz w:val="20"/>
        </w:rPr>
        <w:t>CI/CD &amp; Automation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CI/CD Platforms: GitLab CI/CD (proficient), GitHub Actions, Jenkins, TeamCity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Automation: Python, Bash, Groovy, PowerShell</w:t>
      </w:r>
    </w:p>
    <w:p>
      <w:pPr>
        <w:keepNext/>
        <w:spacing w:before="120" w:after="40" w:line="240" w:lineRule="auto"/>
      </w:pPr>
      <w:r>
        <w:rPr>
          <w:rFonts w:ascii="Calibri" w:hAnsi="Calibri"/>
          <w:b/>
          <w:color w:val="111111"/>
          <w:sz w:val="20"/>
        </w:rPr>
        <w:t>Agentic AI &amp; ML Tooling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Agentic ADLC: Claude Code, MCP tool development, custom AI agent &amp; SKILL development, Copilot-style developer workflows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AI Integration: LLM API orchestration, RAG systems, LangFlow, Ollama (Llama 3, Mistral)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Vector Databases: FAISS, Weaviate, ChromaDB, Pinecone, AWS OpenSearch</w:t>
      </w:r>
    </w:p>
    <w:p>
      <w:pPr>
        <w:keepNext/>
        <w:spacing w:before="120" w:after="40" w:line="240" w:lineRule="auto"/>
      </w:pPr>
      <w:r>
        <w:rPr>
          <w:rFonts w:ascii="Calibri" w:hAnsi="Calibri"/>
          <w:b/>
          <w:color w:val="111111"/>
          <w:sz w:val="20"/>
        </w:rPr>
        <w:t>Observability &amp; Reliability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Monitoring &amp; Logging: ELK Stack, Prometheus, Grafana, Tableau, OpenTelemetry (OTEL)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Databases: MS SQL Server, Oracle, AWS RDS, vector databases; Liquibase (schema migrations)</w:t>
      </w:r>
    </w:p>
    <w:p>
      <w:pPr>
        <w:keepNext/>
        <w:spacing w:before="220" w:after="80" w:line="240" w:lineRule="auto"/>
        <w:pBdr>
          <w:bottom w:val="single" w:sz="8" w:space="4" w:color="1A365D"/>
        </w:pBdr>
      </w:pPr>
      <w:r>
        <w:rPr>
          <w:rFonts w:ascii="Calibri" w:hAnsi="Calibri"/>
          <w:b/>
          <w:color w:val="1A365D"/>
          <w:sz w:val="24"/>
        </w:rPr>
        <w:t>WORK EXPERIENCE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1"/>
        </w:rPr>
        <w:t>BARCLAYS | Glasgow, UK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Platform Engineer / Senior Software Developer | May 2025 – Present (12+ months)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Build and maintain GitLab CI/CD developer platform serving 50+ engineering teams with 500+ daily pipeline executions, reducing deployment failure investigation time by 85% (2+ hours → &lt;15 minutes) through automated log analysis and intelligent root cause detection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Delivered production agentic ADLC tooling using Claude Code, custom MCP integrations, and AI SKILL development, accelerating developer productivity and automating deployment workflows across engineering teams — directly aligned with JPMorganChase's agentic pipeline engineering practice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Developed Python-based release automation framework, cutting evidence collection and audit trail generation from 3.5 hours to 1 hour per release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Co-developed Python-based security automation integrating Wiz vulnerability scanning covering 5,000+ repositories, reducing critical security exposure window from 14 days to &lt;48 hours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Provisioned Coder cloud development environments via Terraform on AWS EC2; optimised Docker workspace images from 11+ GB to 500 MB (UBI9-micro base), reducing per-workspace cloud resource consumption by ~95%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Project-managed CIO deck automation for GFED Technology (Jun–Aug 2025), leading a team of interns from requirements to implementation; reduced manual effort from 20 hours to 2 hours (90%) and navigation clicks from ~215 to 50 (76%)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Senior Software Developer | Enterprise Architect | Nov 2024 – Apr 2025 (6 months)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Led GenAI experimentation initiative using locally-hosted Ollama models (Llama 3, Mistral), eliminating cloud API costs (~$5K/month) while maintaining data security compliance in a regulated banking environment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Automated weekly assets dependency mapping across 15 business units using Python, eliminating manual tracking efforts and reducing architectural audit cycle times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Developed POC LangFlow-based AI workflows for automated tech asset discovery across 500+ enterprise applications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Promoted AI-native development practices through demos and knowledge-sharing, upskilling engineers on prompt engineering, RAG systems, and local LLM deployment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Senior Developer &amp; Technical Team Lead | Plan &amp; Invest | Apr 2022 – Nov 2024 (2.5 years)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Accelerated backend release cadence from quarterly to monthly (4× improvement) by designing decoupled distributed service architecture for the Plan and Invest platform serving 100K+ wealth management clients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Designed an API monitoring framework using Java AOP + OTEL + ELK to link logs from different services together and trace requests end to end, reducing L3 support response time from 45 min to &lt;10 min and eliminating 80% of test environment outages through proactive alerting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Led a GenAI hackathon team of 8 engineers to prototype a personalised wealth management assistant orchestrating LLMs on AWS to automate complex banking workflows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Recruited and onboarded hire-to-desk engineers with zero prior system knowledge, achieving full productivity within 1 quarter through structured knowledge transfer and training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Senior Java Developer &amp; Technical Team Lead | Little Book of Wonders, Barclays One | Nov 2016 – Apr 2022 (5.5 years)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Drove AWS cloud migration for Little Book of Wonders testing environments, achieving 99.8% deployment success rate and reducing environment spin-up time from 2 days to 4 hours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Led development of critical Java backend features growing customer base 3× (30K → 90K users) while maintaining 99.9% uptime and sub-200ms API response times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Promoted to dual-team technical lead (2018) managing 12 engineers across public websites and backend Java microservices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1"/>
        </w:rPr>
        <w:t>J.P. MORGAN | Glasgow, UK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Senior Associate &amp; Tech Lead | Jan 2007 – Apr 2015 (8 years)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Architected Java-based high-frequency trading platforms for equity and credit derivatives, processing 10,000+ transactions/day with &lt;5ms latency SLA — prime finance domain expertise directly applicable to Prime Finance Services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Led Platform Trading System (PTS) team as junior Tech Lead (2013–2015), managing 4 developers and delivering 12+ major features annually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Designed and maintained resilient distributed applications across global infrastructure, contributing to performance tuning, fault tolerance, and operational stability in high-stakes financial systems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Acquired Financial Derivatives Certification (Charted Institue For Securities &amp; Investment), building domain expertise spanning technical implementation and business requirements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Promoted twice (2008 Professional → Associate; 2013 Associate → Senior Associate) for exceptional technical delivery in a fast-paced, high-volume financial engineering environment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1"/>
        </w:rPr>
        <w:t>ADVANTAGE ENERGY SOLUTIONS LTD (AESL) | Edinburgh, UK</w:t>
      </w:r>
    </w:p>
    <w:p>
      <w:pPr>
        <w:keepNext/>
        <w:spacing w:before="40" w:after="60" w:line="240" w:lineRule="auto"/>
      </w:pPr>
      <w:r>
        <w:rPr>
          <w:rFonts w:ascii="Calibri" w:hAnsi="Calibri"/>
          <w:b/>
          <w:color w:val="555555"/>
          <w:sz w:val="20"/>
        </w:rPr>
        <w:t>Software Engineer | Feb 2004 – Jan 2007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Drove software development process maturity by implementing version control (SVN), CI pipelines, and localisation framework, reducing deployment errors by 60%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 w:val="0"/>
          <w:color w:val="333333"/>
          <w:sz w:val="19"/>
        </w:rPr>
        <w:t>Built and maintained customer-facing web platform using C++, XML, XSLT on Windows Server, serving 500+ energy consulting clients across 5 countries</w:t>
      </w:r>
    </w:p>
    <w:p>
      <w:pPr>
        <w:keepNext/>
        <w:spacing w:before="220" w:after="80" w:line="240" w:lineRule="auto"/>
        <w:pBdr>
          <w:bottom w:val="single" w:sz="8" w:space="4" w:color="1A365D"/>
        </w:pBdr>
      </w:pPr>
      <w:r>
        <w:rPr>
          <w:rFonts w:ascii="Calibri" w:hAnsi="Calibri"/>
          <w:b/>
          <w:color w:val="1A365D"/>
          <w:sz w:val="24"/>
        </w:rPr>
        <w:t>EDUCATION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0"/>
        </w:rPr>
        <w:t>University of Strathclyde | Glasgow, UK</w:t>
      </w:r>
    </w:p>
    <w:p>
      <w:pPr>
        <w:keepNext/>
        <w:spacing w:before="20" w:after="40" w:line="240" w:lineRule="auto"/>
      </w:pPr>
      <w:r>
        <w:rPr>
          <w:rFonts w:ascii="Calibri" w:hAnsi="Calibri"/>
          <w:i/>
          <w:color w:val="555555"/>
          <w:sz w:val="19"/>
        </w:rPr>
        <w:t>Master of Business Administration (MBA) – Distinction | Oct 2018 – Jul 2022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Research: Hybrid workforce productivity optimisation post-pandemic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0"/>
        </w:rPr>
        <w:t>University of Glasgow | Glasgow, UK</w:t>
      </w:r>
    </w:p>
    <w:p>
      <w:pPr>
        <w:keepNext/>
        <w:spacing w:before="20" w:after="40" w:line="240" w:lineRule="auto"/>
      </w:pPr>
      <w:r>
        <w:rPr>
          <w:rFonts w:ascii="Calibri" w:hAnsi="Calibri"/>
          <w:i/>
          <w:color w:val="555555"/>
          <w:sz w:val="19"/>
        </w:rPr>
        <w:t>MSc, Electrical &amp; Electronic Engineering | Oct 2002 – Jul 2003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Thesis: Autonomous robot fleet for disaster recovery using C/C++ (legOS)</w:t>
      </w:r>
    </w:p>
    <w:p>
      <w:pPr>
        <w:keepNext/>
        <w:spacing w:before="160" w:after="40" w:line="240" w:lineRule="auto"/>
      </w:pPr>
      <w:r>
        <w:rPr>
          <w:rFonts w:ascii="Calibri" w:hAnsi="Calibri"/>
          <w:b/>
          <w:color w:val="111111"/>
          <w:sz w:val="20"/>
        </w:rPr>
        <w:t>Donghua University | Shanghai, China</w:t>
      </w:r>
    </w:p>
    <w:p>
      <w:pPr>
        <w:keepNext/>
        <w:spacing w:before="20" w:after="40" w:line="240" w:lineRule="auto"/>
      </w:pPr>
      <w:r>
        <w:rPr>
          <w:rFonts w:ascii="Calibri" w:hAnsi="Calibri"/>
          <w:i/>
          <w:color w:val="555555"/>
          <w:sz w:val="19"/>
        </w:rPr>
        <w:t>BSc, Industrial Automation Engineering | Oct 1998 – Jul 2002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color w:val="333333"/>
          <w:sz w:val="19"/>
        </w:rPr>
        <w:t>Capstone: Fuzzy logic control system outperforming neural network approach</w:t>
      </w:r>
    </w:p>
    <w:p>
      <w:pPr>
        <w:keepNext/>
        <w:spacing w:before="220" w:after="80" w:line="240" w:lineRule="auto"/>
        <w:pBdr>
          <w:bottom w:val="single" w:sz="8" w:space="4" w:color="1A365D"/>
        </w:pBdr>
      </w:pPr>
      <w:r>
        <w:rPr>
          <w:rFonts w:ascii="Calibri" w:hAnsi="Calibri"/>
          <w:b/>
          <w:color w:val="1A365D"/>
          <w:sz w:val="24"/>
        </w:rPr>
        <w:t>KEY ACHIEVEMENTS &amp; CERTIFICATIONS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3333"/>
          <w:sz w:val="19"/>
        </w:rPr>
        <w:t>J.P. Morgan Alumni:</w:t>
      </w:r>
      <w:r>
        <w:rPr>
          <w:rFonts w:ascii="Calibri" w:hAnsi="Calibri"/>
          <w:b w:val="0"/>
          <w:color w:val="333333"/>
          <w:sz w:val="19"/>
        </w:rPr>
        <w:t xml:space="preserve"> 8-year tenure at JPMC building Java distributed trading systems for equity and credit derivatives; returning with 10+ additional years of cloud, AI/ML, and platform engineering leadership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3333"/>
          <w:sz w:val="19"/>
        </w:rPr>
        <w:t>Agentic ADLC (Production):</w:t>
      </w:r>
      <w:r>
        <w:rPr>
          <w:rFonts w:ascii="Calibri" w:hAnsi="Calibri"/>
          <w:b w:val="0"/>
          <w:color w:val="333333"/>
          <w:sz w:val="19"/>
        </w:rPr>
        <w:t xml:space="preserve"> Built Claude Code integrations, MCP tooling, and custom AI agents (Claude SKILL) at Barclays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3333"/>
          <w:sz w:val="19"/>
        </w:rPr>
        <w:t>GitLab CI/CD at Scale:</w:t>
      </w:r>
      <w:r>
        <w:rPr>
          <w:rFonts w:ascii="Calibri" w:hAnsi="Calibri"/>
          <w:b w:val="0"/>
          <w:color w:val="333333"/>
          <w:sz w:val="19"/>
        </w:rPr>
        <w:t xml:space="preserve"> Designed and scaled CI/CD automation serving 50+ engineering teams at Barclays; contributed to enterprise-wide GitLab Ultimate migration. </w:t>
      </w:r>
      <w:hyperlink r:id="rId10">
        <w:r>
          <w:rPr>
            <w:color w:val="0056B3"/>
            <w:u w:val="single"/>
            <w:rFonts w:ascii="Calibri" w:hAnsi="Calibri"/>
            <w:sz w:val="19"/>
          </w:rPr>
          <w:t>Barclays PLC case study</w:t>
        </w:r>
      </w:hyperlink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3333"/>
          <w:sz w:val="19"/>
        </w:rPr>
        <w:t>Financial Derivatives Certification</w:t>
      </w:r>
      <w:r>
        <w:rPr>
          <w:rFonts w:ascii="Calibri" w:hAnsi="Calibri"/>
          <w:b w:val="0"/>
          <w:color w:val="333333"/>
          <w:sz w:val="19"/>
        </w:rPr>
        <w:t xml:space="preserve"> (CISI, 2010)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3333"/>
          <w:sz w:val="19"/>
        </w:rPr>
        <w:t>Speaker/Blogger:</w:t>
      </w:r>
      <w:r>
        <w:rPr>
          <w:rFonts w:ascii="Calibri" w:hAnsi="Calibri"/>
          <w:b w:val="0"/>
          <w:color w:val="333333"/>
          <w:sz w:val="19"/>
        </w:rPr>
        <w:t xml:space="preserve"> Active technology blog since 2016 — </w:t>
      </w:r>
      <w:hyperlink r:id="rId11">
        <w:r>
          <w:rPr>
            <w:color w:val="0056B3"/>
            <w:u w:val="single"/>
            <w:rFonts w:ascii="Calibri" w:hAnsi="Calibri"/>
            <w:sz w:val="19"/>
          </w:rPr>
          <w:t>edisonideas.wordpress.com</w:t>
        </w:r>
      </w:hyperlink>
      <w:r>
        <w:rPr>
          <w:rFonts w:ascii="Calibri" w:hAnsi="Calibri"/>
          <w:b w:val="0"/>
          <w:color w:val="333333"/>
          <w:sz w:val="19"/>
        </w:rPr>
        <w:t xml:space="preserve"> — covering AI, DevOps, and platform engineering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ang-li-78917021/" TargetMode="External"/><Relationship Id="rId10" Type="http://schemas.openxmlformats.org/officeDocument/2006/relationships/hyperlink" Target="https://about.gitlab.com/customers/barclays-plc/" TargetMode="External"/><Relationship Id="rId11" Type="http://schemas.openxmlformats.org/officeDocument/2006/relationships/hyperlink" Target="https://edisonideas.wordpre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