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黑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Next/>
              <w:spacing w:after="12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一、拟采取的设计方案及可行性分析（包括主要设计方法和手段，已有的主要设备、软件、资料等说明；本稿于2026年10月10日调整）</w:t>
            </w:r>
          </w:p>
          <w:p w14:paraId="166409B4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[1]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配方执行重复性不足、数据分散以及异常不易及时识别等问题，提出温控、定量注水与过程管理相结合的设计方案。</w:t>
            </w:r>
          </w:p>
          <w:p w14:paraId="257DCE3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温度PID、流量PID、称重反馈定量控制、过程记录、云端配方和微信小程序整合起来。异常检测采用本地规则保护、分阶段残差、MAD/分位数阈值和EWMA。课题贯通传感器应用、嵌入式控制、无线通信和数据管理，体现物联网三层架构；控制性能和异常效果均以实际测试为依据。</w:t>
            </w:r>
          </w:p>
          <w:p w14:paraId="54B316D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研究内容包括硬件电路与样机制作、STM32嵌入式程序、两路PID与称重定量控制、云端服务及微信小程序。系统拟实现以下功能：</w:t>
            </w:r>
          </w:p>
          <w:p w14:paraId="191B70D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①水温闭环：利用DS18B20采集水温，采用PID算法调节加热输出，并通过NTC记录环境温度，为温度补偿和运行分析提供依据。</w:t>
            </w:r>
          </w:p>
          <w:p w14:paraId="68DE2D4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经适配和标定的流量信号，采用PID跟踪阶段目标流量，通过可调速泵或已验证的调流机构调节出水。原清单的YF-S201和普通电磁阀先作为候选验证；若不适配，须在任务书冻结前向导师确认替换方案，不以固定通断时序冒充有效流量PID。</w:t>
            </w:r>
          </w:p>
          <w:p w14:paraId="1FE3DD1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反馈定量控制：利用HX711及称重传感器测量粉重和注水增重，根据配方计算目标注水量；接近目标时按分段规则降低流量给定，达到目标或补偿关断点后停止出水。不承诺第三个重量PID或重量轨迹跟踪。</w:t>
            </w:r>
          </w:p>
          <w:p w14:paraId="312A142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过程记录与配方重复执行：记录水温—时间、流量—时间和重量—时间曲线，保存目标值、实际值和执行状态；重新执行保存的分段水温、流量、阶段注水量及等待时间，并比较重复运行结果。不承诺逐点跟踪历史实际曲线或建立物理数字孪生模型。</w:t>
            </w:r>
          </w:p>
          <w:p w14:paraId="404AA444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⑦云端配方与档案：同步配方、冲煮记录和异常事件，建立用户萃取档案，支持半个月至一个月范围的历史查询；是否必须实际连续采集该时长仍待导师确认，不用生成数据冒充实测。</w:t>
            </w:r>
          </w:p>
          <w:p w14:paraId="407618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⑨异常处理：以阶段规则、分阶段残差、MAD/分位数阈值、EWMA、持续时间/迟滞和参数一致性检查识别已定义的温度、流量及称重异常，保存事件并展示可能原因。本地保护独立执行。</w:t>
            </w:r>
          </w:p>
          <w:p w14:paraId="0D74B09F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⑩离线运行与安全管理：使用RTC和Flash保存必要的时间、配方与过程数据，断网时仍由设备端完成控制；异常时关闭加热或出水，网络恢复后补传记录。</w:t>
            </w:r>
          </w:p>
          <w:p w14:paraId="36C270E3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PID、流量PID与称重终止如何通过状态机协调；低流量传感器和调流机构是否适配；如何处理关断余水并区分注水量与成品液重；如何在断网时保证本地控制；如何区分正常预热、闷蒸和停水与真正异常。</w:t>
            </w:r>
          </w:p>
          <w:p w14:paraId="1CC0F88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特色拟体现在三方面：一是温度与流量两路PID配合称重终止，实现温控和定量注水协同；二是关联保存分段配方、实际曲线和执行状态，提高过程可追溯与重复执行能力；三是形成设备端规则保护、阶段化统计检测与云端事件管理、参数一致性检查的链路。</w:t>
            </w:r>
          </w:p>
          <w:p w14:paraId="145ED42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及异常处理资料[1-3]，建立“应用问题—系统需求—功能模块—验证方法”的对应关系；开展传感器标定和执行器适配，在可测、可控的基础上实现两路PID、称重终止与状态机，随后完成联网和真实测试。异常检测主线采用阶段规则、MAD与EWMA。总体方案如下图所示。</w:t>
            </w:r>
          </w:p>
          <w:p w14:paraId="44D23D9E">
            <w:pPr>
              <w:keepNext/>
              <w:spacing w:before="80" w:line="240" w:lineRule="auto"/>
              <w:jc w:val="center"/>
            </w:pPr>
            <w:r>
              <w:drawing>
                <wp:inline distT="0" distB="0" distL="114300" distR="114300">
                  <wp:extent cx="5003800" cy="2922905"/>
                  <wp:effectExtent l="0" t="0" r="1016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0" cy="2923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spacing w:after="8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系统总体结构框图</w:t>
            </w:r>
          </w:p>
          <w:p w14:paraId="4B5E8975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感知层由STM32完成温度、流量、重量采集及本地控制；网络层通过WiFi连接设备与服务器，拟采用MQTT上传遥测和下发命令，采用HTTPS提供小程序业务接口；应用层完成配方管理、历史查询、可视化和异常分析。实时闭环在STM32本地运行，云端与小程序不直接承担周期性PID运算。STM32具体型号根据外设接口、存储空间和程序规模确定[3]。</w:t>
            </w:r>
          </w:p>
          <w:p w14:paraId="6B87D9D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原始材料列出的15项作为硬件候选清单，不宣称其量程、驱动或高级模块认定已经满足要求。STM32和WiFi另计，最终数量与高级模块口径由导师确认。流量PID需要适配的调流执行器；是否新增或替换为可调速泵须先验证并确认，不以本稿擅自改变最终清单。候选模块用途如下：</w:t>
            </w:r>
          </w:p>
          <w:p w14:paraId="42FE46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①DS18B20：水温采集；②YF-S201：待验证的流量脉冲采集；③HX711：粉重、注水增重及分阶段液重测量；④12V微型电磁阀：通断及终止控制，不默认支持连续调流；⑤12V PTC：待验证功率与安装条件的加热模块。</w:t>
            </w:r>
          </w:p>
          <w:p w14:paraId="07654683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⑪NTC热敏电阻：环境温度检测及补偿参考；⑫5V继电器×2：加热与执行器电源通断、运行使能和故障切断；⑬电位器：手动参数调节；⑭TP4056：低功耗逻辑备用电池的充电管理；⑮AMS1117-3.3V：逻辑电路稳压。</w:t>
            </w:r>
          </w:p>
          <w:p w14:paraId="6D37322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（2）两路PID与称重反馈定量控制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温度环以目标水温与实测水温的偏差为输入，采用离散PID计算加热输出。PID的基本表达式为</w:t>
            </w:r>
            <m:oMath>
              <m:r>
                <m:rPr>
                  <m:sty m:val="p"/>
                </m:rPr>
                <w:rPr>
                  <w:rFonts w:ascii="Cambria Math" w:hAnsi="Cambria Math" w:eastAsia="宋体" w:cstheme="minorBidi"/>
                  <w:sz w:val="24"/>
                  <w:szCs w:val="22"/>
                  <w:lang w:val="en-US" w:bidi="ar-SA"/>
                </w:rPr>
                <m:t>u(t)=Kp·e(t)+Ki·∫e(t)dt+Kd·de(t)/dt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  <w:t>，实际程序根据采样周期离散化，并加入输出限幅、积分抗饱和和测量滤波[2]。依据加热器及驱动能力选择功率调节方式，机械继电器仅用于低频通断或安全切断，不直接执行高频PWM。</w:t>
            </w:r>
          </w:p>
          <w:p w14:paraId="7A29110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标定系数获得实测流量，采用离散PID与阶段目标比较后调节适配的执行器。优先验证可调速泵或其他可调流机构；若使用开关阀时间调制，必须验证测量窗口、动作频率、响应和寿命，不等同于比例阀。停水或测量无效时冻结/复位控制状态，避免无效误差持续积分。</w:t>
            </w:r>
          </w:p>
          <w:p w14:paraId="45FC6AF7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称重定量采用终点与分段规则，不设重量PID外环。根据阶段累计目标与实测增重，在接近目标时降低流量给定，达到目标或提前关断补偿点时关闭出水。温度环设置温度就绪条件，流量PID执行阶段流量目标，状态机负责协调。先分别整定温度与流量环，再验证余水补偿和重复性，不声称三重PID。</w:t>
            </w:r>
          </w:p>
          <w:p w14:paraId="1018519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粉重为mp、目标粉水比为1:r，则目标注水质量为r·mp。将滤杯与接液杯作为整体称重时，增重主要用于反馈累计加水量，不能直接称为成品液重；成品液重拟在滴滤完成后移除滤杯并单独称量接液杯得到。单通道称重采用分阶段测量，流量积分用于交叉校验，实验时考虑滴漏、余水和蒸发等误差。</w:t>
            </w:r>
          </w:p>
          <w:p w14:paraId="6D067AAE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，以定时任务组织采集、两路PID、称重终止、状态机、显示、存储和通信。状态机包括待机、参数确认、预热、闷蒸、分段注水、滴滤等待、完成及故障。配方保存阶段参数和版本号；记录统一采用时间戳、设备编号、会话编号和阶段编号，避免重复计入或调用错误配方。</w:t>
            </w:r>
          </w:p>
          <w:p w14:paraId="154B485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（4）规则与稳健统计异常处理</w:t>
            </w:r>
          </w:p>
          <w:p w14:paraId="5BCE372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异常检测采用阶段规则、分阶段残差、MAD/分位数阈值和EWMA。通过阶段基线、稳健尺度、持续时间判定、迟滞恢复及参数一致性检查，区分传感器硬故障与过程偏离；本地超温、测量失效等保护独立执行，云端负责事件记录和结果展示。</w:t>
            </w:r>
          </w:p>
          <w:p w14:paraId="2C03A9A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/>
            </w:r>
          </w:p>
          <w:p w14:paraId="01D58B6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/>
            </w:r>
          </w:p>
          <w:p w14:paraId="2945FE73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给出的精度为±0.5℃，不能将该精度直接外推至所有冲煮温度[5]。拟在使用温区对安装后的探头进行多点比对，评估封装滞后和温差。YF-S201常见资料给出的工作流量为1～30L/min[6]，可能与手冲的小流量需求不匹配，故先开展低流量标定及脉冲稳定性实验，并核对实物耐温、材质及食品接触适用性；若不满足控制要求，应在保持课题方向的前提下向导师确认选型调整，不能仅靠软件假定测量有效。</w:t>
            </w:r>
          </w:p>
          <w:p w14:paraId="1A6DD73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区分本地紧急保护与云端分析，采用阶段规则、MAD/EWMA、持续判定和迟滞降低误报。优先采用信号模拟或限功率、冷水测试，不通过真实干烧等方式制造故障；完成电源防护、线缆固定、防溅水和散热检查后再联调。</w:t>
            </w:r>
          </w:p>
          <w:p w14:paraId="316321B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承担采集、两路PID、称重终止及保护，WiFi承担传输，服务器承担记录与事件分析。PID有公开方法资料[2]；异常检测采用阶段规则、MAD与EWMA。小流量测量、加热能力、调流响应、供电及称重结构须经前期实验验证，不能由模块清单推断性能达标。</w:t>
            </w:r>
          </w:p>
          <w:p w14:paraId="4878A9A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需求整理稿、导师要求和两份开题格式参考，可查阅器件、控制与开源资料。拟使用STM32开发工具、Python后台、微信开发者工具和数据库。器件、执行器、电源、焊接与校准工具按方案准备，不将未确认设备写成已全部具备。</w:t>
            </w:r>
          </w:p>
          <w:p w14:paraId="4DFE6F4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采取“单模块适配—本地控制—网络与配方—重复测试—可选算法”的路线，先保证主干稳定再考虑模型。初试前完成学校要求的开题、范围确认和采购准备，主要制作计划安排在初试后；七天仅为主干冲刺目标，不保证实验、论文和整改全部结束。自行焊接与调试，保留过程照片和测试记录。</w:t>
            </w:r>
          </w:p>
          <w:p w14:paraId="401FD6F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和标准砝码，开展分阶段注水与完整冲煮。固定滤杯、咖啡粉及研磨条件，同条件进行不少于5次重复试验，评估温控误差/超调/稳定时间、流量误差/响应、称重与最终注水量误差、同配方重复性、通信与断网恢复。异常按事件评价检出、误报及延迟，并对MAD/EWMA参数进行标定。重复性不等于口感一致；阈值由标定和导师确认，不写未测试的达标结论。</w:t>
            </w:r>
          </w:p>
          <w:p w14:paraId="210BAEFC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预期形成可演示的手冲咖啡控制样机、连接图、固件、后台与小程序、配方和历史记录、规则保护及异常检测测试报告，提交论文与归档材料。</w:t>
            </w:r>
          </w:p>
          <w:p w14:paraId="6D067B9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以下为开题通过后的相对教学周安排，具体节点以学院正式通知为准，不沿用往年日期。初试前优先完成规定材料和方案准备，实物制作拟集中在初试后；不以七天冲刺替代完整测试与论文修改。</w:t>
            </w:r>
          </w:p>
          <w:p w14:paraId="5E671FDE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第5—7周：实现状态机、温度PID、流量PID和称重终止，整定参数、余水补偿、基本保护与本地配方，整理测试记录。</w:t>
            </w:r>
          </w:p>
          <w:p w14:paraId="52930C0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第11—12周：完成阶段基线、MAD/EWMA参数标定、安全异常模拟与同配方重复运行测试。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41E5E4B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/>
            </w:r>
          </w:p>
          <w:p w14:paraId="258AA653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[3] STMICROELECTRONICS. STM32F103x8/STM32F103xB: Medium-density performance line Arm-based 32-bit MCU[EB/OL]. [2026-10-03].</w:t>
            </w:r>
            <w:r>
              <w:fldChar w:fldCharType="begin"/>
            </w:r>
            <w:r>
              <w:instrText xml:space="preserve"> HYPERLINK "https://www.st.com/resource/en/datasheet/stm32f103c8.pdf"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549A511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[4] ANALOG DEVICES. DS18B20: Programmable Resolution 1-Wire Digital Thermometer[EB/OL]. [2026-10-03].</w:t>
            </w:r>
            <w:r>
              <w:fldChar w:fldCharType="begin"/>
            </w:r>
            <w:r>
              <w:instrText xml:space="preserve"> HYPERLINK "https://www.analog.com/media/en/technical-documentation/data-sheets/DS18B20.pdf"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608B0EEB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[5] SEEED STUDIO. Water Flow Sensor: YF-S201 specifications and usage[EB/OL]. [2026-10-03].</w:t>
            </w:r>
            <w:r>
              <w:fldChar w:fldCharType="begin"/>
            </w:r>
            <w:r>
              <w:instrText xml:space="preserve"> HYPERLINK "https://wiki.seeedstudio.com/Water-Flow-Sensor/"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7366C18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/>
            <w:r/>
            <w:r/>
            <w:r>
              <w:rPr>
                <w:rFonts w:ascii="Times New Roman" w:eastAsia="宋体"/>
                <w:sz w:val="21"/>
              </w:rPr>
            </w:r>
            <w:r>
              <w:rPr>
                <w:rFonts w:ascii="Times New Roman" w:eastAsia="宋体"/>
                <w:sz w:val="21"/>
              </w:rPr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