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412D1">
      <w:pPr>
        <w:spacing w:after="200" w:line="276" w:lineRule="auto"/>
        <w:jc w:val="center"/>
      </w:pPr>
      <w:r>
        <w:rPr>
          <w:rFonts w:ascii="Times New Roman" w:hAnsi="Times New Roman" w:eastAsia="宋体"/>
          <w:b w:val="0"/>
          <w:sz w:val="44"/>
        </w:rPr>
        <w:t>莆田学院毕业设计开题报告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75" w:type="dxa"/>
          <w:left w:w="108" w:type="dxa"/>
          <w:bottom w:w="75" w:type="dxa"/>
          <w:right w:w="108" w:type="dxa"/>
        </w:tblCellMar>
      </w:tblPr>
      <w:tblGrid>
        <w:gridCol w:w="1049"/>
        <w:gridCol w:w="1389"/>
        <w:gridCol w:w="737"/>
        <w:gridCol w:w="1786"/>
        <w:gridCol w:w="737"/>
        <w:gridCol w:w="2608"/>
      </w:tblGrid>
      <w:tr w14:paraId="034E6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049" w:type="dxa"/>
            <w:vAlign w:val="center"/>
          </w:tcPr>
          <w:p w14:paraId="18BB7B96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学生姓名</w:t>
            </w:r>
          </w:p>
        </w:tc>
        <w:tc>
          <w:tcPr>
            <w:tcW w:w="1389" w:type="dxa"/>
            <w:vAlign w:val="center"/>
          </w:tcPr>
          <w:p w14:paraId="25B2AEBC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</w:t>
            </w:r>
          </w:p>
        </w:tc>
        <w:tc>
          <w:tcPr>
            <w:tcW w:w="737" w:type="dxa"/>
            <w:vAlign w:val="center"/>
          </w:tcPr>
          <w:p w14:paraId="05D5056D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专业</w:t>
            </w:r>
          </w:p>
        </w:tc>
        <w:tc>
          <w:tcPr>
            <w:tcW w:w="1786" w:type="dxa"/>
            <w:vAlign w:val="center"/>
          </w:tcPr>
          <w:p w14:paraId="59F1E148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物联网工程</w:t>
            </w:r>
          </w:p>
        </w:tc>
        <w:tc>
          <w:tcPr>
            <w:tcW w:w="737" w:type="dxa"/>
            <w:vAlign w:val="center"/>
          </w:tcPr>
          <w:p w14:paraId="0E853944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学号</w:t>
            </w:r>
          </w:p>
        </w:tc>
        <w:tc>
          <w:tcPr>
            <w:tcW w:w="2608" w:type="dxa"/>
            <w:vAlign w:val="center"/>
          </w:tcPr>
          <w:p w14:paraId="53A29DFB">
            <w:pPr>
              <w:spacing w:line="40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____________</w:t>
            </w:r>
          </w:p>
        </w:tc>
      </w:tr>
      <w:tr w14:paraId="7578A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1384" w:type="dxa"/>
            <w:vAlign w:val="center"/>
          </w:tcPr>
          <w:p w14:paraId="1FF72F8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设计题目</w:t>
            </w:r>
          </w:p>
        </w:tc>
        <w:tc>
          <w:tcPr>
            <w:tcW w:w="6920" w:type="dxa"/>
            <w:gridSpan w:val="5"/>
            <w:vAlign w:val="center"/>
          </w:tcPr>
          <w:p w14:paraId="35400046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基于STM32的手冲咖啡温控与定量注水及萃取管理系统设计与实现</w:t>
            </w:r>
          </w:p>
        </w:tc>
      </w:tr>
      <w:tr w14:paraId="144D0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jc w:val="center"/>
        </w:trPr>
        <w:tc>
          <w:tcPr>
            <w:tcW w:w="8304" w:type="dxa"/>
            <w:gridSpan w:val="6"/>
            <w:vAlign w:val="top"/>
          </w:tcPr>
          <w:p w14:paraId="11AF3CCC">
            <w:pPr>
              <w:keepLines/>
              <w:spacing w:after="60" w:before="12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一、拟采取的设计方案及可行性分析（包括主要设计方法和手段，已有的主要设备、软件、资料等说明）</w:t>
            </w:r>
          </w:p>
          <w:p w14:paraId="166409B4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1、选题的目的和意义</w:t>
            </w:r>
          </w:p>
          <w:p w14:paraId="59F2984D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手冲咖啡的冲煮过程涉及水温、注水流量、注水量、咖啡粉质量和时间等参数。已有研究表明，讨论冲煮温度对感官品质的作用时，还需要同时考虑饮料浓度与萃取率，不能将单一温度参数直接等同于咖啡品质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[1]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。面向咖啡爱好者和小型咖啡馆，本课题不以自动判定口感为目标，而是通过多参数测量、闭环调节和过程记录，降低人工操作差异，为配方对比和重复冲煮提供可量化的依据。</w:t>
            </w:r>
          </w:p>
          <w:p w14:paraId="48CACFE5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由温控壶、电子秤和计时工具组成的分散式手冲流程中，操作者需要自行协调温度、流量、粉水比及分段注水时间，过程记录也往往依赖人工。仅控制水温难以同步约束注水流量和总注水量；仅保存配方数值，也难以反映实际执行过程中的变化。因此，本课题针对参数协同不足、配方执行重复性不足、数据分散以及异常不易及时识别等问题，提出温控、定量注水与过程管理相结合的设计方案。</w:t>
            </w:r>
          </w:p>
          <w:p w14:paraId="257DCE3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以STM32为核心，将温度PID、流量PID、称重反馈定量控制、过程记录、云端配方和微信小程序整合起来。异常检测采用本地规则保护、分阶段残差、MAD/分位数阈值和EWMA。课题贯通传感器应用、嵌入式控制、无线通信和数据管理，体现物联网三层架构；控制性能和异常效果均以实际测试为依据。</w:t>
            </w:r>
          </w:p>
          <w:p w14:paraId="54B316DB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2、研究的基本内容，拟解决的主要问题</w:t>
            </w:r>
          </w:p>
          <w:p w14:paraId="372666C6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研究内容包括硬件电路与样机制作、STM32嵌入式程序、两路PID与称重定量控制、云端服务及微信小程序。系统拟实现以下功能：</w:t>
            </w:r>
          </w:p>
          <w:p w14:paraId="191B70DC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①水温闭环：利用DS18B20采集水温，采用PID算法调节加热输出，并通过NTC记录环境温度，分析环境变化与控温误差的关系；是否加入补偿项由标定结果决定。</w:t>
            </w:r>
          </w:p>
          <w:p w14:paraId="68DE2D4B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流量闭环：采集经适配和标定的流量信号，采用PID跟踪阶段目标流量，通过可调速泵或经验证的调流机构调节出水。YF-S201与普通电磁阀作为候选器件，需先验证小流量测量和调节能力；不适配时，经导师确认后调整选型。</w:t>
            </w:r>
          </w:p>
          <w:p w14:paraId="1FE3DD12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粉水比与称重反馈定量控制：利用HX711及称重传感器分阶段测量粉重和注水增重，根据配方计算目标注水质量。接近目标时降低流量给定，到达补偿关断点后停止出水；称重控制采用终点与分段规则，不设置第三个PID回路。</w:t>
            </w:r>
          </w:p>
          <w:p w14:paraId="312A142C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④配方与流程管理：保存目标水温、粉水比、阶段注水量、流量和时间等参数，支持预热、闷蒸、分段注水、等待滴滤及完成提醒。</w:t>
            </w:r>
          </w:p>
          <w:p w14:paraId="1B35A03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过程记录与配方重复执行：记录水温、流量和重量随时间变化的曲线，关联保存目标值、实际值及执行状态；重复执行保存的阶段水温、流量、注水质量和等待时间，并比较各次运行结果。研究范围为分段配方执行与过程追溯，不包括历史曲线逐点跟踪或物理数字孪生建模。</w:t>
            </w:r>
          </w:p>
          <w:p w14:paraId="404AA444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⑥本地操作：通过OLED显示水温、流量、重量、计时和工作状态，利用触摸按键及电位器设置参数，通过蜂鸣器完成提示和告警。</w:t>
            </w:r>
          </w:p>
          <w:p w14:paraId="043D76B7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⑦云端配方与档案：同步配方、冲煮记录和异常事件，建立用户萃取档案，支持15～30天日期范围内的历史查询。展示数据区分实测记录和明确标识的测试数据，实际连续采集时长按导师确认的验收要求安排。</w:t>
            </w:r>
          </w:p>
          <w:p w14:paraId="407618C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⑧微信小程序：实现实时数据显示、设备状态查看、配方编辑、远程启停及历史曲线对比，分别展示温度、流量和重量的变化。</w:t>
            </w:r>
          </w:p>
          <w:p w14:paraId="5CABC97B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⑨异常处理：以阶段规则、分阶段残差、MAD/分位数阈值、EWMA、持续时间/迟滞和参数一致性检查识别已定义的温度、流量及称重异常，保存事件并展示可能原因。本地保护独立执行。</w:t>
            </w:r>
          </w:p>
          <w:p w14:paraId="0D74B09F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⑩离线运行与安全管理：使用RTC和Flash保存时间、配方与必要的过程数据；断网时，本地状态机、闭环控制和规则保护继续运行，网络恢复后补传记录。超温或关键测量失效时进入故障态，按故障类型切断加热、出水或两者，并要求本地确认后复位。</w:t>
            </w:r>
          </w:p>
          <w:p w14:paraId="36C270E3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解决的主要问题是：温度PID、流量PID与称重终止如何通过状态机协调；低流量传感器和调流机构是否适配；如何处理关断余水并区分注水量与成品液重；如何在断网时保证本地控制；如何区分正常预热、闷蒸和停水与真正异常。</w:t>
            </w:r>
          </w:p>
          <w:p w14:paraId="1CC0F88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的特色拟体现在三方面：一是温度与流量两路PID配合称重终止，实现温控和定量注水协同；二是关联保存分段配方、实际曲线和执行状态，提高过程可追溯与重复执行能力；三是形成设备端规则保护、阶段化统计检测与云端事件管理、参数一致性检查的链路。</w:t>
            </w:r>
          </w:p>
          <w:p w14:paraId="145ED42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3、研究思路、步骤、方法和措施</w:t>
            </w:r>
          </w:p>
          <w:p w14:paraId="23191F2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首先查阅咖啡冲煮参数、PID控制、STM32外设及异常处理资料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[1-3,6-7]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建立“应用问题—系统需求—功能—实现模块—验证方法”的对应关系。需求、功能与模块的映射见图1，总体架构见图2。研究按传感器与执行器适配、本地控制、联网管理和实测评价逐步开展，异常检测采用阶段规则、MAD与EWMA。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keepLines/>
              <w:spacing w:after="120" w:line="240" w:lineRule="auto" w:before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图1 需求—功能—模块图</w:t>
            </w:r>
          </w:p>
          <w:p w14:paraId="44D23D9E">
            <w:pPr>
              <w:keepNext/>
              <w:keepLines/>
              <w:spacing w:before="120" w:after="60" w:line="240" w:lineRule="auto"/>
              <w:jc w:val="center"/>
            </w:pPr>
            <w:r>
              <w:drawing>
                <wp:inline distT="0" distB="0" distL="114300" distR="114300">
                  <wp:extent cx="4980000" cy="4279688"/>
                  <wp:effectExtent l="0" t="0" r="10160" b="3175"/>
                  <wp:docPr id="1" name="Picture 1" descr="以STM32为中心的输入、输出、供电与联网系统架构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427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1E5A6">
            <w:pPr>
              <w:keepLines/>
              <w:spacing w:after="120" w:line="240" w:lineRule="auto" w:before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图2 系统总体架构图</w:t>
            </w:r>
          </w:p>
          <w:p w14:paraId="4B5E8975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（1）系统架构与硬件组成</w:t>
            </w:r>
          </w:p>
          <w:p w14:paraId="68955B3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按感知与控制层、网络层和应用层组织，如图2所示。感知与控制层以STM32为核心，完成温度、流量和重量采集，两路PID、称重终止与本地保护；网络层通过WiFi及MQTT传输遥测、命令和确认消息；应用层由云端服务、数据库和微信小程序组成，通过HTTPS提供配方管理、历史查询和可视化接口。实时闭环与安全联锁均在设备端运行，云端不承担周期性PID运算。STM32型号根据接口、存储空间和程序规模确定，STM32F103系列资料作为选型参考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[3]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 w14:paraId="6B87D9D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依据导师要求，硬件应覆盖不少于13个功能模块（STM32与WiFi除外），其中高级模块不少于4个，具体认定口径须由导师确认。原始清单的15项作为候选方案，不能直接等同于已满足模块数量或高级模块要求。最终清单需结合功能必要性、器件适配结果和导师认定核定；流量调节执行器的新增或替换须先验证并确认。候选模块用途如下：</w:t>
            </w:r>
          </w:p>
          <w:p w14:paraId="42FE46C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①DS18B20：水温采集；②YF-S201：待验证的流量脉冲采集；③称重传感器与HX711：粉重、注水增重及分阶段成品液重测量；④12V微型电磁阀：出水通断及定量终止，不默认具备连续调流能力；⑤12V PTC：待验证功率、升温能力与安装条件的加热模块。</w:t>
            </w:r>
          </w:p>
          <w:p w14:paraId="07654683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⑥0.96寸OLED：本地状态显示；⑦TTP223触摸按键×4：模式选择及参数设置；⑧DS3231 RTC：时间与记录授时；⑨W25Q64 Flash：配方与离线数据存储；⑩有源蜂鸣器：完成提醒及异常告警。</w:t>
            </w:r>
          </w:p>
          <w:p w14:paraId="75C57B0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⑪NTC热敏电阻：环境温度检测及补偿评估；⑫5V继电器×2：加热与执行器的运行使能和故障切断，不用于高频PWM功率调节；⑬电位器：手动参数调节；⑭TP4056：逻辑备用电池充电管理候选；⑮AMS1117-3.3V：逻辑电路稳压候选。上述器件仍需配套匹配的主电源、驱动、续流与保护电路。</w:t>
            </w:r>
          </w:p>
          <w:p w14:paraId="6D373222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机拟采用洞洞板自行焊接，完成供电、传感器接口及执行器驱动等配套电路，形成可展示个人制作过程的实物。外观围绕加热、注水和称重结构设计，采用纸板结构样件或3D打印外壳，分隔水路、电源和控制电路，并预留检修及散热位置。</w:t>
            </w:r>
          </w:p>
          <w:p w14:paraId="5B99DAB1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（2）两路PID与称重反馈定量控制</w:t>
            </w:r>
            <w:bookmarkStart w:id="0" w:name="_GoBack"/>
            <w:bookmarkEnd w:id="0"/>
          </w:p>
          <w:p w14:paraId="602E4C1E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温度环以目标水温与实测水温的偏差为输入，采用离散PID计算加热输出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。拟采用的位置式表达式如下，程序中还需配置输出限幅、积分抗饱和及测量滤波。功率调节方式依据加热器和驱动能力确定，机械继电器仅承担低频通断或安全切断。</w:t>
            </w:r>
          </w:p>
          <w:p>
            <w:pPr>
              <w:spacing w:before="120" w:after="120"/>
              <w:jc w:val="center"/>
            </w:pPr>
            <m:oMathPara>
              <m:oMath>
                <m:r>
                  <m:t>uₖ = Kₚeₖ + KᵢTₛ∑ⱼ₌₀ᵏeⱼ + K𝒹(eₖ − eₖ₋₁)/Tₛ</m:t>
                </m:r>
              </m:oMath>
            </m:oMathPara>
          </w:p>
          <w:p w14:paraId="1018519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其中，eₖ为第k次采样的温度偏差，uₖ为限幅前的加热控制量，Tₛ为采样周期，Kₚ、Kᵢ与K𝒹分别为比例、积分和微分系数；采样周期与参数根据响应试验确定。</w:t>
            </w:r>
          </w:p>
          <w:p w14:paraId="7A291109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流量环根据标定系数获得实测流量，采用离散PID与阶段目标比较后调节适配的执行器。优先验证可调速泵或其他可调流机构；若使用开关阀时间调制，必须验证测量窗口、动作频率、响应和寿命，不等同于比例阀。停水或测量无效时冻结/复位控制状态，避免无效误差持续积分。</w:t>
            </w:r>
          </w:p>
          <w:p w14:paraId="45FC6AF7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称重定量控制采用终点与分段规则，不设置重量PID外环。状态机根据阶段累计注水目标与实测增重，在接近目标时降低流量给定，到达提前关断补偿点后关闭出水。温度就绪条件控制注水许可，流量PID跟踪阶段给定，称重反馈决定阶段结束。先分别整定两路PID，再验证关断余水补偿与同配方重复性。</w:t>
            </w:r>
          </w:p>
          <w:p w14:paraId="1018519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明确称重口径：设咖啡粉质量为mₚ，目标粉水比为1:r，则目标注水质量为m*＝r·mₚ。将滤杯与接液杯整体置于秤台，并在加入咖啡粉后去皮，冲煮增重主要用于反馈累计加水质量，而非成品液重；滴滤完成后移除滤杯，单独称量接液杯并扣除杯重，得到成品液重。单通道称重按阶段进行，控制称量边界、管路拉力与滴漏等误差；流量积分换算的水量仅用于交叉校验。</w:t>
            </w:r>
          </w:p>
          <w:p w14:paraId="6D067AAE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（3）嵌入式软件、云端与小程序</w:t>
            </w:r>
          </w:p>
          <w:p w14:paraId="6D2D2CDA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TM32软件拟使用C语言，以定时任务组织采集、两路PID、称重终止、状态机、显示、存储和通信。状态机包括待机、参数确认、预热、闷蒸、分段注水、滴滤等待、完成及故障。配方保存阶段参数和版本号；记录统一采用时间戳、设备编号、会话编号和阶段编号，避免重复计入或调用错误配方。</w:t>
            </w:r>
          </w:p>
          <w:p w14:paraId="154B485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WiFi通信采用遥测与命令分离的消息结构；远程命令附带命令编号、有效期和设备响应，避免重复或过期命令再次启动。小程序远程启动前要求设备处于已完成本地准备确认的可启动状态，设备端再次检查关键传感器、温度和故障状态，不能将联网等同于允许无人看护加热。断网时维持本地控制与缓存，重新连接后补传，不补执行过期启动命令。</w:t>
            </w:r>
          </w:p>
          <w:p w14:paraId="5D85C254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云端拟使用Python构建接口和数据处理服务，通过数据库存储设备、用户、配方、过程采样及异常事件。微信小程序提供实时监控、配方管理、历史档案和异常记录页面，实时曲线与历史曲线分别组织，支持按日期、配方或单次过程查询，并区分下发目标与设备实际反馈。</w:t>
            </w:r>
          </w:p>
          <w:p w14:paraId="1368C587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（4）规则与稳健统计异常处理</w:t>
            </w:r>
          </w:p>
          <w:p w14:paraId="5BCE372B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异常处理分为本地安全保护与阶段化统计检测。设备端依据超温、关键测量失效和阶段超时等规则执行联锁；云端在接收阶段标签、设定值和实测值后，开展残差统计检测与事件管理。统计结果用于提示偏离及可能原因，不作为故障概率、确定根因或本地安全联锁的替代。中位数绝对偏差（MAD）用于描述残差的稳健离散尺度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[6]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，指数加权移动平均（EWMA）用于监测持续的小幅偏离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[7]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</w:t>
            </w:r>
          </w:p>
          <w:p w14:paraId="2C03A9A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阶段残差分别由温度偏差、流量偏差和累计注水质量偏差构成。预热阶段不沿用稳态温度阈值；等待滴滤与正常停水阶段不判定“有流量给定但无出水”，流量检测仅在有效注水窗口内启用。阶段切换设置过渡屏蔽时间，并冻结或重置EWMA统计量。正常标定数据按阶段建立残差中位数与MAD，其中MAD＝median(|eᵢ−median(e)|)，eᵢ为阶段残差样本；样本不足或MAD接近零时，采用经标定的尺度下限或经验分位数阈值，避免噪声放大。</w:t>
            </w:r>
          </w:p>
          <w:p w14:paraId="01D58B65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对中心化残差xₖ，采用zₖ＝λxₖ＋(1−λ)zₖ₋₁进行EWMA更新，其中0＜λ≤1。阈值、λ、持续时间和恢复迟滞通过独立标定数据确定，再在未参与标定的正常及安全模拟异常记录上评价；参数不写成未经试验确认的固定性能保证。事件记录保存阶段、触发规则、偏差幅度、持续时间与恢复状态。断网期间由本地规则保护设备，补传后的统计分析单独计入离线复核，不作为实时告警结果。</w:t>
            </w:r>
          </w:p>
          <w:p w14:paraId="2945FE73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4、关键问题及拟采取的解决措施</w:t>
            </w:r>
          </w:p>
          <w:p w14:paraId="61B4C878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①传感器适配与测量精度：DS18B20在−10～85℃范围内标称精度为±0.5℃，该精度不能直接外推至所有冲煮温度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[4]</w:t>
            </w:r>
            <w:r>
              <w:rPr>
                <w:rFonts w:ascii="Times New Roman" w:hAnsi="Times New Roman" w:eastAsia="宋体"/>
                <w:b w:val="0"/>
                <w:sz w:val="24"/>
              </w:rPr>
              <w:t>。拟在实际使用温区对安装后的探头进行多点比对，评估封装滞后与测温位置差异。YF-S201资料给出的工作流量为1～30 L/min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[5]</w:t>
            </w:r>
            <w:r>
              <w:rPr>
                <w:rFonts w:ascii="Times New Roman" w:hAnsi="Times New Roman" w:eastAsia="宋体"/>
                <w:b w:val="0"/>
                <w:sz w:val="24"/>
              </w:rPr>
              <w:t>，可能不适配手冲的小流量工况，需先验证低流量标定结果与脉冲稳定性，并核对实物耐温、材质及食品接触适用性；不满足要求时，经导师确认后调整选型。</w:t>
            </w:r>
          </w:p>
          <w:p w14:paraId="1A6DD732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②加热与电源约束：依据水量、PTC实际功率和热损耗估计预热时间并实测，确保12V主电源能够承担加热与阀门负载；5V和3.3V逻辑支路按功耗配置。TP4056与AMS1117不作为12V加热负载的升压或大功率供电方案，备用电池仅考虑逻辑维护与数据保存，并需匹配保护、切换及供电电路。</w:t>
            </w:r>
          </w:p>
          <w:p w14:paraId="5699BBF6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③称重与执行延迟：通过去皮、标准砝码标定、稳定底座及滤波降低称重噪声；测试阀门关闭延迟和管路余水，在终点控制中设置减速区与提前关断补偿。粉水比按实际注水质量计算，成品液重独立记录，避免混淆两种指标。</w:t>
            </w:r>
          </w:p>
          <w:p w14:paraId="1AF4E61D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④通信与数据一致性：采用本地状态机、Flash缓存、命令确认和时间戳同步，测试断网、重连和重复命令情形；实时采样与通信解耦，避免网络延迟影响控制周期。</w:t>
            </w:r>
          </w:p>
          <w:p w14:paraId="2B7A24C0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⑤异常与用水用电安全：本地规则保护与云端统计分析分开验证，以阶段窗口、持续判定和恢复迟滞控制误报。异常试验采用信号模拟、限功率或冷水工况，不通过真实干烧制造故障。温度传感器不能直接替代缺水检测，故需评估独立过温切断和必要的缺水联锁方案；完成电源防护、线缆固定、防溅水及散热检查后，方可开展热水联调。</w:t>
            </w:r>
          </w:p>
          <w:p w14:paraId="316321BB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5、可行性分析与测试方案</w:t>
            </w:r>
          </w:p>
          <w:p w14:paraId="2B51059D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技术可行性方面，STM32承担采集、两路PID、称重终止及保护，WiFi承担传输，服务器承担记录与事件分析。PID有公开方法资料</w:t>
            </w:r>
            <w:r>
              <w:rPr>
                <w:rFonts w:ascii="Times New Roman" w:hAnsi="Times New Roman" w:eastAsia="宋体"/>
                <w:b w:val="0"/>
                <w:sz w:val="24"/>
                <w:vertAlign w:val="superscript"/>
              </w:rPr>
              <w:t>[2]</w:t>
            </w:r>
            <w:r>
              <w:rPr>
                <w:rFonts w:ascii="Times New Roman" w:hAnsi="Times New Roman" w:eastAsia="宋体"/>
                <w:b w:val="0"/>
                <w:sz w:val="24"/>
              </w:rPr>
              <w:t>；异常检测采用阶段规则、MAD与EWMA。小流量测量、加热能力、调流响应、供电及称重结构须经前期实验验证，不能由模块清单推断性能达标。</w:t>
            </w:r>
          </w:p>
          <w:p w14:paraId="4878A9A9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软件与资料方面，已具备需求整理稿、导师要求和两份开题格式参考，可查阅器件、控制与开源资料。拟使用STM32开发工具、Python后台、微信开发者工具和数据库。器件、执行器、电源、焊接与校准工具按方案准备，不将未确认设备写成已全部具备。</w:t>
            </w:r>
          </w:p>
          <w:p w14:paraId="4DFE6F4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实施采用“单模块适配—本地控制—网络与配方—重复测试”的路线。先验证传感器、驱动和水路，再开展本地闭环与保护测试，随后联调网络服务及小程序。样机自行焊接与调试，保留制作照片、标定数据和测试记录；研究进度以学院节点与实验完成情况为准。</w:t>
            </w:r>
          </w:p>
          <w:p w14:paraId="401FD6F0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拟使用参考温度计、计时工具与标准砝码，先完成传感器及执行器标定，再开展分阶段注水和完整冲煮。固定滤杯、咖啡粉质量及研磨条件，同一配方进行不少于5次重复试验，报告温度稳态偏差、超调与稳定时间，阶段流量偏差与响应时间，以及最终注水质量偏差和重复试验标准差。统计检测使用独立于标定的数据，按事件报告检出率、正常运行每小时误报次数及在线检出延迟，并区分漏检与断网后复核。另测试重复命令、过期命令与断网恢复，记录采样周期、工况、参数版本和原始数据。验收阈值在前期验证后与导师确认；试验重复性不等同于口感一致性。</w:t>
            </w:r>
          </w:p>
          <w:p w14:paraId="210BAEFC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预期形成可演示的手冲咖啡控制样机、连接图、固件、后台与小程序、配方和历史记录、规则保护及异常检测测试报告，提交论文与归档材料。</w:t>
            </w:r>
          </w:p>
          <w:p w14:paraId="6D067B9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6、课题研究进度安排</w:t>
            </w:r>
          </w:p>
          <w:p w14:paraId="64A45086">
            <w:pPr>
              <w:widowControl/>
              <w:spacing w:line="400" w:lineRule="exact" w:before="0" w:after="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以下为开题通过后的相对教学周安排，具体时间节点以学院正式通知为准。方案确认、硬件制作、控制联调、联网管理和试验评价分阶段推进，并预留论文修改及整改时间。</w:t>
            </w:r>
          </w:p>
          <w:p w14:paraId="5E671FDE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第1—2周：完成资料检索、需求分析、总体方案和传感器及执行器适配验证，确认关键测量口径、供电方案与测试指标。</w:t>
            </w:r>
          </w:p>
          <w:p w14:paraId="1A5C8035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第3—4周：完成硬件电路设计、洞洞板焊接、结构初样、单模块测试以及温度、流量和称重标定。</w:t>
            </w:r>
          </w:p>
          <w:p w14:paraId="7055DD45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第5—7周：实现状态机、温度PID、流量PID和称重终止，整定参数、余水补偿、基本保护与本地配方，整理测试记录。</w:t>
            </w:r>
          </w:p>
          <w:p w14:paraId="52930C05">
            <w:pPr>
              <w:widowControl/>
              <w:spacing w:line="400" w:lineRule="exact" w:before="0" w:after="60"/>
              <w:ind w:left="0"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第8—10周：完成WiFi通信、云端接口与数据库、微信小程序及历史曲线展示，进行断网缓存和远程命令测试。</w:t>
            </w:r>
          </w:p>
          <w:p w14:paraId="7C5FE8A0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第11—12周：完成阶段基线、MAD/EWMA参数标定、安全异常模拟与同配方重复运行测试。</w:t>
            </w:r>
          </w:p>
          <w:p w14:paraId="0B238418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第13—14周：完成系统联调、外观完善和综合测试，形成结果分析与论文初稿，并按导师反馈整改。</w:t>
            </w:r>
          </w:p>
          <w:p w14:paraId="07446962">
            <w:pPr>
              <w:widowControl/>
              <w:spacing w:line="400" w:lineRule="exact"/>
              <w:ind w:left="0"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第15—16周：完成论文定稿、材料审核、答辩演示准备和代码、数据及实物资料归档。</w:t>
            </w:r>
          </w:p>
          <w:p w14:paraId="2644AE5D">
            <w:pPr>
              <w:keepNext/>
              <w:keepLines/>
              <w:widowControl/>
              <w:spacing w:before="120" w:line="400" w:lineRule="exact" w:after="6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7、主要参考文献</w:t>
            </w:r>
          </w:p>
          <w:p w14:paraId="613A4404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[1] BATALI M E, RISTENPART W D, GUINARD J X. Brew temperature, at fixed brew strength and extraction, has little impact on the sensory profile of drip brew coffee[J]. Scientific Reports, 2020, 10: 16450. DOI:10.1038/s41598-020-73341-4.</w:t>
            </w:r>
          </w:p>
          <w:p w14:paraId="62B2DFCE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[2] ÅSTRÖM K J, HÄGGLUND T. PID Controllers: Theory, Design, and Tuning[M]. 2nd ed. Research Triangle Park: Instrument Society of America, 1995.</w:t>
            </w:r>
          </w:p>
          <w:p w14:paraId="258AA653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[3] STMICROELECTRONICS. STM32F103x8/STM32F103xB: Medium-density performance line Arm-based 32-bit MCU[EB/OL]. [2026-10-10]. https://www.st.com/resource/en/datasheet/stm32f103c8.pdf.</w:t>
            </w:r>
          </w:p>
          <w:p w14:paraId="549A5115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[4] ANALOG DEVICES. DS18B20: Programmable Resolution 1-Wire Digital Thermometer[EB/OL]. [2026-10-10]. https://www.analog.com/media/en/technical-documentation/data-sheets/DS18B20.pdf.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[5] SEEED STUDIO. Water Flow Sensor[EB/OL]. [2026-10-10]. https://wiki.seeedstudio.com/Water-Flow-Sensor.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[6] NATIONAL INSTITUTE OF STANDARDS AND TECHNOLOGY. Measures of Scale[EB/OL]. [2026-10-10]. https://www.itl.nist.gov/div898/handbook/eda/section3/eda356.htm.</w:t>
            </w:r>
          </w:p>
          <w:p w14:paraId="608B0EEB">
            <w:pPr>
              <w:keepLines/>
              <w:widowControl/>
              <w:spacing w:line="300" w:lineRule="auto" w:before="0" w:after="60"/>
              <w:ind w:left="0"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[7] NATIONAL INSTITUTE OF STANDARDS AND TECHNOLOGY. EWMA Control Charts[EB/OL]. [2026-10-10]. https://www.itl.nist.gov/div898/handbook/pmc/section3/pmc324.htm.</w:t>
            </w:r>
          </w:p>
        </w:tc>
      </w:tr>
      <w:tr w14:paraId="07B4C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75" w:type="dxa"/>
            <w:left w:w="108" w:type="dxa"/>
            <w:bottom w:w="75" w:type="dxa"/>
            <w:right w:w="108" w:type="dxa"/>
          </w:tblCellMar>
        </w:tblPrEx>
        <w:trPr>
          <w:cantSplit/>
          <w:jc w:val="center"/>
        </w:trPr>
        <w:tc>
          <w:tcPr>
            <w:tcW w:w="8304" w:type="dxa"/>
            <w:gridSpan w:val="6"/>
            <w:vAlign w:val="top"/>
          </w:tcPr>
          <w:p w14:paraId="3C961C8B">
            <w:pPr>
              <w:keepNext/>
              <w:keepLines/>
              <w:spacing w:before="120" w:after="60" w:line="400" w:lineRule="exact"/>
              <w:ind w:firstLine="0"/>
            </w:pPr>
            <w:r>
              <w:rPr>
                <w:rFonts w:ascii="Times New Roman" w:hAnsi="Times New Roman" w:eastAsia="宋体"/>
                <w:b/>
                <w:sz w:val="24"/>
              </w:rPr>
              <w:t>二、指导教师意见</w:t>
            </w:r>
          </w:p>
          <w:p w14:paraId="050DA7BC">
            <w:pPr>
              <w:spacing w:line="400" w:lineRule="exact"/>
            </w:pPr>
          </w:p>
          <w:p w14:paraId="18FE5796">
            <w:pPr>
              <w:spacing w:line="400" w:lineRule="exact"/>
            </w:pPr>
          </w:p>
          <w:p w14:paraId="50CFBE42">
            <w:pPr>
              <w:spacing w:line="400" w:lineRule="exact"/>
            </w:pPr>
          </w:p>
          <w:p w14:paraId="7308BF6F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指导教师签名：________________</w:t>
            </w:r>
          </w:p>
          <w:p w14:paraId="29E44E4A"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_______年_____月_____日</w:t>
            </w:r>
          </w:p>
        </w:tc>
      </w:tr>
    </w:tbl>
    <w:p w14:paraId="41CFB81B"/>
    <w:sectPr>
      <w:footerReference r:id="rId5" w:type="default"/>
      <w:pgSz w:w="11906" w:h="16838"/>
      <w:pgMar w:top="1440" w:right="1800" w:bottom="1440" w:left="1800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F4C8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400" w:lineRule="exact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requirements-functions-module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5474</Words>
  <Characters>6610</Characters>
  <Lines>0</Lines>
  <Paragraphs>0</Paragraphs>
  <TotalTime>1</TotalTime>
  <ScaleCrop>false</ScaleCrop>
  <LinksUpToDate>false</LinksUpToDate>
  <CharactersWithSpaces>6724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辰</dc:creator>
  <dc:description>依据用户提供的两份格式参考及需求整理稿生成，身份及导师意见留待填写。</dc:description>
  <cp:keywords>STM32;手冲咖啡;PID;微信小程序;Isolation Forest</cp:keywords>
  <cp:lastModifiedBy>辰</cp:lastModifiedBy>
  <dcterms:modified xsi:type="dcterms:W3CDTF">2026-10-03T10:56:45Z</dcterms:modified>
  <dc:subject>莆田学院毕业设计开题报告</dc:subject>
  <dc:title>基于STM32的手冲咖啡多参数PID闭环控制与萃取管理系统设计与实现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