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（时幅连续）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（时幅离散）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和展缩</w:t>
      </w:r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高度无穷大，宽度无穷小，对称窄脉冲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(t)f(t)=f(0)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=f</w:t>
      </w:r>
      <w:r w:rsidR="00424C9F" w:rsidRPr="00150457">
        <w:rPr>
          <w:rFonts w:asciiTheme="minorEastAsia" w:hAnsiTheme="minorEastAsia"/>
        </w:rPr>
        <w:t>(0)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有n个</w:t>
      </w:r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单位阶跃序列：ε(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，输出仅</w:t>
      </w:r>
      <w:r w:rsidR="001B08B1" w:rsidRPr="00150457">
        <w:rPr>
          <w:rFonts w:asciiTheme="minorEastAsia" w:hAnsiTheme="minorEastAsia" w:hint="eastAsia"/>
        </w:rPr>
        <w:t>相应平移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有y</w:t>
      </w:r>
      <w:r w:rsidR="00463D3F" w:rsidRPr="00150457">
        <w:rPr>
          <w:rFonts w:asciiTheme="minorEastAsia" w:hAnsiTheme="minorEastAsia"/>
        </w:rPr>
        <w:t>zs</w:t>
      </w:r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多个基本信号作用于线性系统等效于各个基本信号引起响应之和</w:t>
      </w:r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CA3CE4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>
        <w:rPr>
          <w:rFonts w:asciiTheme="minorEastAsia" w:hAnsiTheme="minorEastAsia" w:hint="eastAsia"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</m:t>
        </m:r>
        <m:r>
          <m:rPr>
            <m:sty m:val="p"/>
          </m:rPr>
          <w:rPr>
            <w:rFonts w:ascii="Cambria Math" w:hAnsi="Cambria Math" w:hint="eastAsia"/>
            <w:szCs w:val="21"/>
          </w:rPr>
          <m:t>乘积：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f(t)δ (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 = f 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F29A7" w:rsidRPr="002F29A7" w:rsidRDefault="00F01401" w:rsidP="002F29A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  <w:r w:rsidR="002F29A7" w:rsidRPr="002F29A7">
        <w:rPr>
          <w:rFonts w:asciiTheme="minorEastAsia" w:hAnsiTheme="minorEastAsia" w:hint="eastAsia"/>
          <w:szCs w:val="21"/>
        </w:rPr>
        <w:t xml:space="preserve"> </w:t>
      </w:r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总系统冲激响应=各系统之和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系统级联：总系统冲激响应=各系统响应的卷积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 w:rsidRPr="005023B4">
        <w:rPr>
          <w:rFonts w:asciiTheme="minorEastAsia" w:hAnsiTheme="minorEastAsia" w:hint="eastAsia"/>
          <w:b/>
          <w:szCs w:val="21"/>
        </w:rPr>
        <w:t>相关函数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Δf(k)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7D303A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r w:rsidR="00590042">
        <w:rPr>
          <w:rFonts w:asciiTheme="minorEastAsia" w:hAnsiTheme="minorEastAsia" w:hint="eastAsia"/>
          <w:szCs w:val="21"/>
        </w:rPr>
        <w:t>齐次解（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7D303A">
        <w:rPr>
          <w:rFonts w:asciiTheme="minorEastAsia" w:hAnsiTheme="minorEastAsia" w:hint="eastAsia"/>
          <w:szCs w:val="21"/>
        </w:rPr>
        <w:t>（将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代入求特征根与C）</w:t>
      </w:r>
    </w:p>
    <w:p w:rsidR="007D303A" w:rsidRDefault="00590042" w:rsidP="007D30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零状态响应：齐次解+特解 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卷积法</w:t>
      </w:r>
      <w:r w:rsidR="007D303A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k&lt;0,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，求出齐次解与特解）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83B8E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不进位乘法：序列卷积使用大乘法，前后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为0（非零个数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01B03" w:rsidRDefault="008D5CE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</w:p>
    <w:p w:rsidR="00801B03" w:rsidRPr="00801B03" w:rsidRDefault="00801B03" w:rsidP="00E63B3C">
      <w:pPr>
        <w:rPr>
          <w:rFonts w:asciiTheme="minorEastAsia" w:hAnsiTheme="minorEastAsia"/>
          <w:sz w:val="23"/>
          <w:szCs w:val="21"/>
        </w:rPr>
      </w:pPr>
      <w:r w:rsidRPr="00801B03">
        <w:rPr>
          <w:rFonts w:asciiTheme="minorEastAsia" w:hAnsiTheme="minorEastAsia" w:hint="eastAsia"/>
          <w:b/>
          <w:i/>
          <w:sz w:val="25"/>
          <w:szCs w:val="21"/>
        </w:rPr>
        <w:t>傅里叶变换与频域分析：</w:t>
      </w:r>
    </w:p>
    <w:p w:rsidR="00194B17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3"/>
          <w:szCs w:val="21"/>
        </w:rPr>
        <w:tab/>
      </w:r>
      <w:r>
        <w:rPr>
          <w:rFonts w:asciiTheme="minorEastAsia" w:hAnsiTheme="minorEastAsia" w:hint="eastAsia"/>
          <w:szCs w:val="21"/>
        </w:rPr>
        <w:t>将任意输入信号分解为</w:t>
      </w:r>
      <w:r w:rsidR="00194B17">
        <w:rPr>
          <w:rFonts w:asciiTheme="minorEastAsia" w:hAnsiTheme="minorEastAsia" w:hint="eastAsia"/>
          <w:szCs w:val="21"/>
        </w:rPr>
        <w:t>不同频率正弦信号与虚指数信号和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F1740" w:rsidRPr="003D285D">
        <w:rPr>
          <w:rFonts w:asciiTheme="minorEastAsia" w:hAnsiTheme="minorEastAsia" w:hint="eastAsia"/>
          <w:szCs w:val="21"/>
        </w:rPr>
        <w:t>矢量正交</w:t>
      </w:r>
      <w:r w:rsidR="009F174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yi</m:t>
                </m:r>
              </m:sub>
            </m:sSub>
            <m:r>
              <w:rPr>
                <w:rFonts w:ascii="Cambria Math" w:hAnsi="Cambria Math"/>
                <w:szCs w:val="21"/>
              </w:rPr>
              <m:t>=0</m:t>
            </m:r>
            <m:r>
              <w:rPr>
                <w:rFonts w:ascii="Cambria Math" w:hAnsi="Cambria Math" w:hint="eastAsia"/>
                <w:szCs w:val="21"/>
              </w:rPr>
              <m:t>则</m:t>
            </m:r>
          </m:e>
        </m:nary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x3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正交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内两个信号正交：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194B17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194B17">
        <w:rPr>
          <w:rFonts w:asciiTheme="minorEastAsia" w:hAnsiTheme="minorEastAsia" w:hint="eastAsia"/>
          <w:szCs w:val="21"/>
        </w:rPr>
        <w:t>正交函数集：</w:t>
      </w:r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 (i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j)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 (i=j)</m:t>
                    </m:r>
                  </m:e>
                </m:eqArr>
              </m:e>
            </m:d>
          </m:e>
        </m:nary>
      </m:oMath>
      <w:r w:rsidR="006A1184">
        <w:rPr>
          <w:rFonts w:asciiTheme="minorEastAsia" w:hAnsiTheme="minorEastAsia" w:hint="eastAsia"/>
          <w:szCs w:val="21"/>
        </w:rPr>
        <w:t>（区间</w:t>
      </w:r>
      <w:r w:rsidR="006A1184">
        <w:rPr>
          <w:rFonts w:asciiTheme="minorEastAsia" w:hAnsiTheme="minorEastAsia"/>
          <w:szCs w:val="21"/>
        </w:rPr>
        <w:t>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6A1184">
        <w:rPr>
          <w:rFonts w:asciiTheme="minorEastAsia" w:hAnsiTheme="minorEastAsia"/>
          <w:szCs w:val="21"/>
        </w:rPr>
        <w:t>)）</w:t>
      </w:r>
    </w:p>
    <w:p w:rsidR="009F1740" w:rsidRDefault="009F1740" w:rsidP="00194B17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完备正交函数集：</w:t>
      </w:r>
      <w:r w:rsidR="006A1184">
        <w:rPr>
          <w:rFonts w:asciiTheme="minorEastAsia" w:hAnsiTheme="minorEastAsia" w:hint="eastAsia"/>
          <w:szCs w:val="21"/>
        </w:rPr>
        <w:t>不存在集合之外正交函数（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{</m:t>
        </m:r>
        <m:r>
          <m:rPr>
            <m:sty m:val="p"/>
          </m:rPr>
          <w:rPr>
            <w:rFonts w:ascii="Cambria Math" w:hAnsi="Cambria Math"/>
            <w:szCs w:val="21"/>
          </w:rPr>
          <m:t>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jΩt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2jΩt</m:t>
            </m:r>
          </m:sup>
        </m:sSup>
        <m:r>
          <w:rPr>
            <w:rFonts w:ascii="Cambria Math" w:hAnsi="Cambria Math"/>
            <w:szCs w:val="21"/>
          </w:rPr>
          <m:t>…}</m:t>
        </m:r>
      </m:oMath>
      <w:r w:rsidR="006A1184">
        <w:rPr>
          <w:rFonts w:asciiTheme="minorEastAsia" w:hAnsiTheme="minorEastAsia" w:hint="eastAsia"/>
          <w:szCs w:val="21"/>
        </w:rPr>
        <w:t>）</w:t>
      </w:r>
    </w:p>
    <w:p w:rsidR="009F1740" w:rsidRDefault="00DE143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均方误差：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6A1184">
        <w:rPr>
          <w:rFonts w:asciiTheme="minorEastAsia" w:hAnsiTheme="minorEastAsia" w:hint="eastAsia"/>
          <w:szCs w:val="21"/>
        </w:rPr>
        <w:t>（f</w:t>
      </w:r>
      <w:r w:rsidR="006A1184">
        <w:rPr>
          <w:rFonts w:asciiTheme="minorEastAsia" w:hAnsiTheme="minorEastAsia"/>
          <w:szCs w:val="21"/>
        </w:rPr>
        <w:t>(t)</w:t>
      </w:r>
      <w:r w:rsidR="006A1184">
        <w:rPr>
          <w:rFonts w:asciiTheme="minorEastAsia" w:hAnsiTheme="minorEastAsia" w:hint="eastAsia"/>
          <w:szCs w:val="21"/>
        </w:rPr>
        <w:t>与近似函数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A1184">
        <w:rPr>
          <w:rFonts w:asciiTheme="minorEastAsia" w:hAnsiTheme="minorEastAsia" w:hint="eastAsia"/>
          <w:szCs w:val="21"/>
        </w:rPr>
        <w:t>间误差）</w:t>
      </w:r>
    </w:p>
    <w:p w:rsidR="00C4361A" w:rsidRDefault="00C4361A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dt</m:t>
        </m:r>
      </m:oMath>
      <w:r w:rsidR="001B5904">
        <w:rPr>
          <w:rFonts w:asciiTheme="minorEastAsia" w:hAnsiTheme="minorEastAsia" w:hint="eastAsia"/>
          <w:szCs w:val="21"/>
        </w:rPr>
        <w:t>（方向）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dt</m:t>
        </m:r>
      </m:oMath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A1184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帕斯瓦尔能量：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（总能量=方向*分能量之和）</w:t>
      </w:r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D285D">
        <w:rPr>
          <w:rFonts w:asciiTheme="minorEastAsia" w:hAnsiTheme="minorEastAsia" w:hint="eastAsia"/>
          <w:b/>
          <w:szCs w:val="21"/>
        </w:rPr>
        <w:t>傅里叶级数</w:t>
      </w:r>
      <w:r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</m:e>
        </m:nary>
      </m:oMath>
      <w:r w:rsidR="00B76684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0,1..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(1,2..)</m:t>
        </m:r>
      </m:oMath>
      <w:r w:rsidR="00B7668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/>
          <w:szCs w:val="21"/>
        </w:rPr>
        <w:t xml:space="preserve"> </w:t>
      </w:r>
    </w:p>
    <w:p w:rsidR="008E41D7" w:rsidRDefault="00C0779B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其它形式：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rad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-arctan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Cs w:val="21"/>
          </w:rPr>
          <m:t xml:space="preserve">  </m:t>
        </m:r>
      </m:oMath>
      <w:r w:rsidR="005200D4">
        <w:rPr>
          <w:rFonts w:asciiTheme="minorEastAsia" w:hAnsiTheme="minorEastAsia"/>
          <w:szCs w:val="21"/>
        </w:rPr>
        <w:t>）</w:t>
      </w:r>
    </w:p>
    <w:p w:rsidR="005200D4" w:rsidRPr="005200D4" w:rsidRDefault="005200D4" w:rsidP="005200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周期信号可分解为：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直流分量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次谐波</m:t>
        </m:r>
      </m:oMath>
      <w:r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为基波）</w:t>
      </w:r>
    </w:p>
    <w:p w:rsidR="008072C1" w:rsidRDefault="008072C1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指数形式：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</m:nary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jnΩt</m:t>
            </m:r>
          </m:sup>
        </m:sSup>
      </m:oMath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/>
          <w:szCs w:val="21"/>
        </w:rPr>
        <w:tab/>
      </w:r>
      <w:r w:rsidR="00B76684">
        <w:rPr>
          <w:rFonts w:asciiTheme="minorEastAsia" w:hAnsiTheme="minorEastAsia" w:hint="eastAsia"/>
          <w:szCs w:val="21"/>
        </w:rPr>
        <w:t>复傅里叶系数：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B76684" w:rsidRPr="00B76684" w:rsidRDefault="00B76684" w:rsidP="00B766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偶函数：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,|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|</m:t>
        </m:r>
      </m:oMath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/>
          <w:b/>
          <w:szCs w:val="21"/>
        </w:rPr>
        <w:tab/>
      </w:r>
      <w:r w:rsidRPr="00B76684">
        <w:rPr>
          <w:rFonts w:asciiTheme="minorEastAsia" w:hAnsiTheme="minorEastAsia" w:hint="eastAsia"/>
          <w:b/>
          <w:szCs w:val="21"/>
        </w:rPr>
        <w:t>奇函数：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:rsidR="00B76684" w:rsidRPr="00B76684" w:rsidRDefault="00B76684" w:rsidP="00B766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周期信号平均功率：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/>
                <w:szCs w:val="21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</m:oMath>
    </w:p>
    <w:p w:rsidR="00F00C2F" w:rsidRPr="00886E76" w:rsidRDefault="008072C1" w:rsidP="00E63B3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977AA0" w:rsidRPr="00886E76">
        <w:rPr>
          <w:rFonts w:asciiTheme="minorEastAsia" w:hAnsiTheme="minorEastAsia" w:hint="eastAsia"/>
          <w:b/>
          <w:szCs w:val="21"/>
        </w:rPr>
        <w:t>频谱：</w:t>
      </w:r>
      <w:r w:rsidR="0023222D" w:rsidRPr="00886E76">
        <w:rPr>
          <w:rFonts w:asciiTheme="minorEastAsia" w:hAnsiTheme="minorEastAsia" w:hint="eastAsia"/>
          <w:b/>
          <w:szCs w:val="21"/>
        </w:rPr>
        <w:t>幅值，相位随频率变化关系</w:t>
      </w:r>
    </w:p>
    <w:p w:rsidR="00F00C2F" w:rsidRDefault="00977AA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3222D">
        <w:rPr>
          <w:rFonts w:asciiTheme="minorEastAsia" w:hAnsiTheme="minorEastAsia" w:hint="eastAsia"/>
          <w:szCs w:val="21"/>
        </w:rPr>
        <w:t>周期信号频谱：谐波（离散）性，收敛性</w:t>
      </w:r>
      <w:r w:rsidR="00995D18">
        <w:rPr>
          <w:rFonts w:asciiTheme="minorEastAsia" w:hAnsiTheme="minorEastAsia" w:hint="eastAsia"/>
          <w:szCs w:val="21"/>
        </w:rPr>
        <w:t>。</w:t>
      </w:r>
    </w:p>
    <w:p w:rsidR="003D285D" w:rsidRDefault="003D285D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szCs w:val="21"/>
        </w:rPr>
        <w:t>频带宽度</w:t>
      </w:r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2π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（第一个零点）</w:t>
      </w:r>
    </w:p>
    <w:p w:rsidR="0023222D" w:rsidRDefault="0023222D" w:rsidP="00886E7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零点之间谐波数：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 xml:space="preserve"> 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>
        <w:rPr>
          <w:rFonts w:asciiTheme="minorEastAsia" w:hAnsiTheme="minorEastAsia" w:hint="eastAsia"/>
          <w:szCs w:val="21"/>
        </w:rPr>
        <w:t>（T无限大</w:t>
      </w:r>
      <w:r w:rsidR="00F240CF">
        <w:rPr>
          <w:rFonts w:asciiTheme="minorEastAsia" w:hAnsiTheme="minorEastAsia" w:hint="eastAsia"/>
          <w:szCs w:val="21"/>
        </w:rPr>
        <w:t>，周期信号离散谱过度到非周期信号连续谱）</w:t>
      </w:r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傅里叶正反变换：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⇔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</m:oMath>
      <w:r w:rsidR="002E0799">
        <w:rPr>
          <w:rFonts w:asciiTheme="minorEastAsia" w:hAnsiTheme="minorEastAsia" w:hint="eastAsia"/>
          <w:szCs w:val="21"/>
        </w:rPr>
        <w:t>（频谱密度</w:t>
      </w:r>
      <m:oMath>
        <m:r>
          <w:rPr>
            <w:rFonts w:ascii="Cambria Math" w:hAnsi="Cambria Math"/>
            <w:szCs w:val="21"/>
          </w:rPr>
          <m:t>⇔</m:t>
        </m:r>
      </m:oMath>
      <w:r w:rsidR="002E0799">
        <w:rPr>
          <w:rFonts w:asciiTheme="minorEastAsia" w:hAnsiTheme="minorEastAsia" w:hint="eastAsia"/>
          <w:szCs w:val="21"/>
        </w:rPr>
        <w:t>原函数）</w:t>
      </w:r>
    </w:p>
    <w:p w:rsidR="002E0799" w:rsidRPr="002E0799" w:rsidRDefault="002E0799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频谱密度：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1"/>
              </w:rPr>
              <m:t>T→∞</m:t>
            </m:r>
          </m:lim>
        </m:limLow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-jωt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E10DF">
        <w:rPr>
          <w:rFonts w:asciiTheme="minorEastAsia" w:hAnsiTheme="minorEastAsia" w:hint="eastAsia"/>
          <w:szCs w:val="21"/>
        </w:rPr>
        <w:t>使用单边/双边指数函数逼近，对不满足绝对可积的函数进行变换</w:t>
      </w:r>
    </w:p>
    <w:p w:rsidR="00886E76" w:rsidRDefault="009E10DF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81D08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⇔2πδ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sgn(t)</m:t>
        </m:r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jω</m:t>
            </m:r>
          </m:den>
        </m:f>
      </m:oMath>
      <w:r w:rsidR="00A23A71">
        <w:rPr>
          <w:rFonts w:asciiTheme="minorEastAsia" w:hAnsiTheme="minorEastAsia" w:hint="eastAsia"/>
          <w:szCs w:val="21"/>
        </w:rPr>
        <w:t>（符号函数）</w:t>
      </w:r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t⇔πδ(ω+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)πδ(ω-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9E10DF" w:rsidRPr="00420735" w:rsidRDefault="00CA3CE4" w:rsidP="00A23A71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双边指数函数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-a|t|</m:t>
            </m:r>
          </m:sup>
        </m:sSup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42073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门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函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Sa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</m:oMath>
    </w:p>
    <w:p w:rsidR="00886E76" w:rsidRDefault="00281D0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886E76">
        <w:rPr>
          <w:rFonts w:asciiTheme="minorEastAsia" w:hAnsiTheme="minorEastAsia" w:hint="eastAsia"/>
          <w:b/>
          <w:szCs w:val="21"/>
        </w:rPr>
        <w:t>傅里叶变换性质</w:t>
      </w:r>
      <w:r>
        <w:rPr>
          <w:rFonts w:asciiTheme="minorEastAsia" w:hAnsiTheme="minorEastAsia" w:hint="eastAsia"/>
          <w:szCs w:val="21"/>
        </w:rPr>
        <w:t>：</w:t>
      </w:r>
    </w:p>
    <w:p w:rsidR="0076250B" w:rsidRPr="0076250B" w:rsidRDefault="0076250B" w:rsidP="00995D18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时域与频域</w:t>
      </w:r>
      <w:r w:rsidR="0071097A">
        <w:rPr>
          <w:rFonts w:asciiTheme="minorEastAsia" w:hAnsiTheme="minorEastAsia" w:hint="eastAsia"/>
          <w:szCs w:val="21"/>
        </w:rPr>
        <w:t>（傅里叶域）</w:t>
      </w:r>
      <w:r>
        <w:rPr>
          <w:rFonts w:asciiTheme="minorEastAsia" w:hAnsiTheme="minorEastAsia" w:hint="eastAsia"/>
          <w:szCs w:val="21"/>
        </w:rPr>
        <w:t>关系：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jω</m:t>
            </m:r>
          </m:e>
        </m:d>
      </m:oMath>
    </w:p>
    <w:p w:rsidR="00A52D6A" w:rsidRDefault="00A52D6A" w:rsidP="00995D1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时域乘积，频域卷积</w:t>
      </w:r>
    </w:p>
    <w:p w:rsidR="00CA3CE4" w:rsidRDefault="00281D08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(t)⇔a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(jω)</m:t>
        </m:r>
      </m:oMath>
      <w:r>
        <w:rPr>
          <w:rFonts w:asciiTheme="minorEastAsia" w:hAnsiTheme="minorEastAsia" w:hint="eastAsia"/>
          <w:szCs w:val="21"/>
        </w:rPr>
        <w:t>，</w:t>
      </w:r>
      <w:r w:rsidR="00420735">
        <w:rPr>
          <w:rFonts w:asciiTheme="minorEastAsia" w:hAnsiTheme="minorEastAsia" w:hint="eastAsia"/>
          <w:szCs w:val="21"/>
        </w:rPr>
        <w:t>偶实奇虚</w:t>
      </w:r>
    </w:p>
    <w:p w:rsidR="00CA3CE4" w:rsidRDefault="00C650E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对称性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jω</m:t>
            </m:r>
          </m:e>
        </m:d>
        <m:r>
          <w:rPr>
            <w:rFonts w:ascii="Cambria Math" w:hAnsi="Cambria Math"/>
            <w:szCs w:val="21"/>
          </w:rPr>
          <m:t>→</m:t>
        </m:r>
        <m:r>
          <m:rPr>
            <m:sty m:val="p"/>
          </m:rPr>
          <w:rPr>
            <w:rFonts w:ascii="Cambria Math" w:hAnsi="Cambria Math"/>
            <w:szCs w:val="21"/>
          </w:rPr>
          <m:t>F(jt)</m:t>
        </m:r>
        <m:r>
          <w:rPr>
            <w:rFonts w:ascii="Cambria Math" w:hAnsi="Cambria Math"/>
            <w:szCs w:val="21"/>
          </w:rPr>
          <m:t>⇔2πf(-ω)</m:t>
        </m:r>
      </m:oMath>
      <w:r w:rsidR="002E62CC">
        <w:rPr>
          <w:rFonts w:asciiTheme="minorEastAsia" w:hAnsiTheme="minorEastAsia" w:hint="eastAsia"/>
          <w:szCs w:val="21"/>
        </w:rPr>
        <w:t>（t</w:t>
      </w:r>
      <w:r w:rsidR="002E62CC">
        <w:rPr>
          <w:rFonts w:asciiTheme="minorEastAsia" w:hAnsiTheme="minorEastAsia"/>
          <w:szCs w:val="21"/>
        </w:rPr>
        <w:t xml:space="preserve">-&gt;w, </w:t>
      </w:r>
      <w:r w:rsidR="002E62CC">
        <w:rPr>
          <w:rFonts w:asciiTheme="minorEastAsia" w:hAnsiTheme="minorEastAsia" w:hint="eastAsia"/>
          <w:szCs w:val="21"/>
        </w:rPr>
        <w:t>w</w:t>
      </w:r>
      <w:r w:rsidR="002E62CC">
        <w:rPr>
          <w:rFonts w:asciiTheme="minorEastAsia" w:hAnsiTheme="minorEastAsia"/>
          <w:szCs w:val="21"/>
        </w:rPr>
        <w:t>-&gt;-w）</w:t>
      </w:r>
    </w:p>
    <w:p w:rsidR="00CA3CE4" w:rsidRDefault="002E62CC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尺度变换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at</m:t>
            </m:r>
          </m:e>
        </m:d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  <m:r>
          <w:rPr>
            <w:rFonts w:ascii="Cambria Math" w:hAnsi="Cambria Math"/>
            <w:szCs w:val="21"/>
          </w:rPr>
          <m:t>F(j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ω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="00CA3CE4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-jω</m:t>
            </m:r>
          </m:e>
        </m:d>
      </m:oMath>
      <w:r w:rsidR="00CA3CE4">
        <w:rPr>
          <w:rFonts w:asciiTheme="minorEastAsia" w:hAnsiTheme="minorEastAsia"/>
          <w:szCs w:val="21"/>
        </w:rPr>
        <w:t>）</w:t>
      </w:r>
    </w:p>
    <w:p w:rsidR="00CA3CE4" w:rsidRPr="00A52D6A" w:rsidRDefault="00886E76" w:rsidP="00A52D6A">
      <w:pPr>
        <w:ind w:left="42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时移特性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  <w:r w:rsidR="00A52D6A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Cs w:val="21"/>
          </w:rPr>
          <m:t>F(jω)</m:t>
        </m:r>
      </m:oMath>
    </w:p>
    <w:p w:rsidR="00281D08" w:rsidRDefault="000864F1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频移特性</w:t>
      </w:r>
      <w:r w:rsidR="00CA3CE4">
        <w:rPr>
          <w:rFonts w:asciiTheme="minorEastAsia" w:hAnsiTheme="minorEastAsia" w:hint="eastAsia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  <w:r w:rsidR="002262E1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f(t)⇔</m:t>
        </m:r>
        <m:r>
          <m:rPr>
            <m:sty m:val="p"/>
          </m:rPr>
          <w:rPr>
            <w:rFonts w:ascii="Cambria Math" w:hAnsi="Cambria Math"/>
            <w:szCs w:val="21"/>
          </w:rPr>
          <m:t>F(j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)</m:t>
        </m:r>
      </m:oMath>
    </w:p>
    <w:p w:rsidR="00E87297" w:rsidRDefault="00E87297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调制：将信号频谱搬移至高频段，方便信号发送（接收搜索范围广）</w:t>
      </w:r>
    </w:p>
    <w:p w:rsidR="00E87297" w:rsidRDefault="00A52D6A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微积分：</w:t>
      </w:r>
    </w:p>
    <w:p w:rsidR="0076250B" w:rsidRDefault="0076250B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时域：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F(j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szCs w:val="21"/>
          </w:rPr>
          <m:t>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F27595" w:rsidRDefault="00F27595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频域：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-jt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f(t)</m:t>
        </m:r>
        <m:r>
          <w:rPr>
            <w:rFonts w:ascii="Cambria Math" w:hAnsi="Cambria Math"/>
            <w:szCs w:val="21"/>
          </w:rPr>
          <m:t>⇔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(j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28189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πf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jt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ω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jx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5023B4" w:rsidRPr="005023B4" w:rsidRDefault="005023B4" w:rsidP="00886E7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τ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，</m:t>
        </m:r>
      </m:oMath>
    </w:p>
    <w:p w:rsidR="000544A3" w:rsidRPr="005023B4" w:rsidRDefault="005023B4" w:rsidP="005023B4">
      <w:pPr>
        <w:ind w:left="1260" w:firstLine="420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:rsidR="005023B4" w:rsidRDefault="005023B4" w:rsidP="005023B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5023B4">
        <w:rPr>
          <w:rFonts w:asciiTheme="minorEastAsia" w:hAnsiTheme="minorEastAsia" w:hint="eastAsia"/>
          <w:b/>
          <w:szCs w:val="21"/>
        </w:rPr>
        <w:t>能量功率谱：</w:t>
      </w:r>
    </w:p>
    <w:p w:rsidR="0071097A" w:rsidRDefault="005023B4" w:rsidP="005023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63480E" w:rsidRPr="0063480E">
        <w:rPr>
          <w:rFonts w:asciiTheme="minorEastAsia" w:hAnsiTheme="minorEastAsia" w:hint="eastAsia"/>
          <w:szCs w:val="21"/>
        </w:rPr>
        <w:t>能量</w:t>
      </w:r>
      <w:r w:rsidR="0063480E">
        <w:rPr>
          <w:rFonts w:asciiTheme="minorEastAsia" w:hAnsiTheme="minorEastAsia" w:hint="eastAsia"/>
          <w:szCs w:val="21"/>
        </w:rPr>
        <w:t>谱：单位信号频率能量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 w:rsidR="0063480E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1097A" w:rsidRDefault="0071097A" w:rsidP="007109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功率谱：单位频率信号功率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  <m:r>
              <w:rPr>
                <w:rFonts w:ascii="Cambria Math" w:hAnsi="Cambria Math"/>
                <w:szCs w:val="21"/>
              </w:rPr>
              <m:t>⁡</m:t>
            </m:r>
          </m:e>
          <m:lim>
            <m:r>
              <w:rPr>
                <w:rFonts w:ascii="Cambria Math" w:hAnsi="Cambria Math"/>
                <w:szCs w:val="21"/>
              </w:rPr>
              <m:t>T→</m:t>
            </m:r>
            <m:r>
              <w:rPr>
                <w:rFonts w:ascii="Cambria Math" w:hAnsi="Cambria Math"/>
                <w:szCs w:val="21"/>
              </w:rPr>
              <m:t>∞</m:t>
            </m:r>
          </m:lim>
        </m:limLow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ω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 xml:space="preserve">   </m:t>
        </m:r>
      </m:oMath>
    </w:p>
    <w:p w:rsidR="0071097A" w:rsidRDefault="0071097A" w:rsidP="0071097A">
      <w:pPr>
        <w:ind w:left="840" w:firstLine="420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w:lastRenderedPageBreak/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⇔E(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R(</m:t>
        </m:r>
        <m: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（相关函数与能量/功率谱均为傅里叶变换）</w:t>
      </w:r>
    </w:p>
    <w:p w:rsidR="0071097A" w:rsidRPr="0071097A" w:rsidRDefault="0071097A" w:rsidP="0071097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DB6F54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DB6F54">
        <w:rPr>
          <w:rFonts w:asciiTheme="minorEastAsia" w:hAnsiTheme="minorEastAsia" w:hint="eastAsia"/>
          <w:szCs w:val="21"/>
        </w:rPr>
        <w:t>（能量功率的激励与响应关系）</w:t>
      </w:r>
      <w:bookmarkStart w:id="0" w:name="_GoBack"/>
      <w:bookmarkEnd w:id="0"/>
    </w:p>
    <w:sectPr w:rsidR="0071097A" w:rsidRPr="0071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DF4" w:rsidRDefault="00F33DF4" w:rsidP="00FF1A3A">
      <w:r>
        <w:separator/>
      </w:r>
    </w:p>
  </w:endnote>
  <w:endnote w:type="continuationSeparator" w:id="0">
    <w:p w:rsidR="00F33DF4" w:rsidRDefault="00F33DF4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DF4" w:rsidRDefault="00F33DF4" w:rsidP="00FF1A3A">
      <w:r>
        <w:separator/>
      </w:r>
    </w:p>
  </w:footnote>
  <w:footnote w:type="continuationSeparator" w:id="0">
    <w:p w:rsidR="00F33DF4" w:rsidRDefault="00F33DF4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4584"/>
    <w:rsid w:val="0004712C"/>
    <w:rsid w:val="000544A3"/>
    <w:rsid w:val="00067A20"/>
    <w:rsid w:val="00077713"/>
    <w:rsid w:val="000864F1"/>
    <w:rsid w:val="00086F62"/>
    <w:rsid w:val="000909F0"/>
    <w:rsid w:val="00095F61"/>
    <w:rsid w:val="00096C8D"/>
    <w:rsid w:val="000B358B"/>
    <w:rsid w:val="000B6968"/>
    <w:rsid w:val="000C57FE"/>
    <w:rsid w:val="000E37F7"/>
    <w:rsid w:val="000E3E0F"/>
    <w:rsid w:val="00101513"/>
    <w:rsid w:val="0010703D"/>
    <w:rsid w:val="001233FD"/>
    <w:rsid w:val="001359A2"/>
    <w:rsid w:val="00137601"/>
    <w:rsid w:val="00150457"/>
    <w:rsid w:val="001529C5"/>
    <w:rsid w:val="001611C9"/>
    <w:rsid w:val="00170787"/>
    <w:rsid w:val="00171F8F"/>
    <w:rsid w:val="00172FA3"/>
    <w:rsid w:val="001730C2"/>
    <w:rsid w:val="00183BB2"/>
    <w:rsid w:val="00194B17"/>
    <w:rsid w:val="001B08B1"/>
    <w:rsid w:val="001B38D6"/>
    <w:rsid w:val="001B4923"/>
    <w:rsid w:val="001B5904"/>
    <w:rsid w:val="001C1DD2"/>
    <w:rsid w:val="001D64F9"/>
    <w:rsid w:val="001D6913"/>
    <w:rsid w:val="001E363C"/>
    <w:rsid w:val="001E7838"/>
    <w:rsid w:val="00203A96"/>
    <w:rsid w:val="00213BFC"/>
    <w:rsid w:val="00225340"/>
    <w:rsid w:val="002262E1"/>
    <w:rsid w:val="00231364"/>
    <w:rsid w:val="0023222D"/>
    <w:rsid w:val="002643A1"/>
    <w:rsid w:val="00281894"/>
    <w:rsid w:val="00281D08"/>
    <w:rsid w:val="00285497"/>
    <w:rsid w:val="0029220D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0799"/>
    <w:rsid w:val="002E62CC"/>
    <w:rsid w:val="002E7881"/>
    <w:rsid w:val="002F0C3A"/>
    <w:rsid w:val="002F29A7"/>
    <w:rsid w:val="00301CED"/>
    <w:rsid w:val="00307DE4"/>
    <w:rsid w:val="00327D2A"/>
    <w:rsid w:val="003313C0"/>
    <w:rsid w:val="00352EF2"/>
    <w:rsid w:val="00354592"/>
    <w:rsid w:val="003927A3"/>
    <w:rsid w:val="00394EC9"/>
    <w:rsid w:val="003B05B0"/>
    <w:rsid w:val="003C6CBE"/>
    <w:rsid w:val="003D285D"/>
    <w:rsid w:val="003E096B"/>
    <w:rsid w:val="003F4EB6"/>
    <w:rsid w:val="003F5219"/>
    <w:rsid w:val="00400EB1"/>
    <w:rsid w:val="004110B6"/>
    <w:rsid w:val="00417793"/>
    <w:rsid w:val="00420735"/>
    <w:rsid w:val="00422A02"/>
    <w:rsid w:val="00424C9F"/>
    <w:rsid w:val="00432634"/>
    <w:rsid w:val="004503FD"/>
    <w:rsid w:val="00460973"/>
    <w:rsid w:val="00463D3F"/>
    <w:rsid w:val="0046446E"/>
    <w:rsid w:val="004877A8"/>
    <w:rsid w:val="00494383"/>
    <w:rsid w:val="004958B2"/>
    <w:rsid w:val="004A056D"/>
    <w:rsid w:val="004C3A75"/>
    <w:rsid w:val="004D6DAE"/>
    <w:rsid w:val="004F1409"/>
    <w:rsid w:val="004F3851"/>
    <w:rsid w:val="005023B4"/>
    <w:rsid w:val="00510207"/>
    <w:rsid w:val="00514CFF"/>
    <w:rsid w:val="005200D4"/>
    <w:rsid w:val="0052013C"/>
    <w:rsid w:val="005373FA"/>
    <w:rsid w:val="00563379"/>
    <w:rsid w:val="005638DD"/>
    <w:rsid w:val="00565EFB"/>
    <w:rsid w:val="00573665"/>
    <w:rsid w:val="00574200"/>
    <w:rsid w:val="00583B8E"/>
    <w:rsid w:val="00590042"/>
    <w:rsid w:val="00591BB9"/>
    <w:rsid w:val="005A17AD"/>
    <w:rsid w:val="005A64E3"/>
    <w:rsid w:val="005B6D6E"/>
    <w:rsid w:val="006001B7"/>
    <w:rsid w:val="00605F7A"/>
    <w:rsid w:val="006161C4"/>
    <w:rsid w:val="0063039F"/>
    <w:rsid w:val="0063480E"/>
    <w:rsid w:val="0069523C"/>
    <w:rsid w:val="006A1184"/>
    <w:rsid w:val="006B20B6"/>
    <w:rsid w:val="006B2E18"/>
    <w:rsid w:val="00704604"/>
    <w:rsid w:val="0071097A"/>
    <w:rsid w:val="00721C06"/>
    <w:rsid w:val="007273E7"/>
    <w:rsid w:val="00741B19"/>
    <w:rsid w:val="0076250B"/>
    <w:rsid w:val="007679EA"/>
    <w:rsid w:val="00781B8F"/>
    <w:rsid w:val="0078443D"/>
    <w:rsid w:val="00792CA2"/>
    <w:rsid w:val="007A2264"/>
    <w:rsid w:val="007B6A9B"/>
    <w:rsid w:val="007D13BA"/>
    <w:rsid w:val="007D303A"/>
    <w:rsid w:val="007E22BD"/>
    <w:rsid w:val="00801B03"/>
    <w:rsid w:val="0080280B"/>
    <w:rsid w:val="008072C1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86E76"/>
    <w:rsid w:val="00891E5A"/>
    <w:rsid w:val="008961BC"/>
    <w:rsid w:val="008A04AD"/>
    <w:rsid w:val="008C731C"/>
    <w:rsid w:val="008D5CEE"/>
    <w:rsid w:val="008D70FE"/>
    <w:rsid w:val="008E41D7"/>
    <w:rsid w:val="008F20DE"/>
    <w:rsid w:val="008F658A"/>
    <w:rsid w:val="0091375A"/>
    <w:rsid w:val="009174B0"/>
    <w:rsid w:val="00933B85"/>
    <w:rsid w:val="00966ED2"/>
    <w:rsid w:val="00977AA0"/>
    <w:rsid w:val="0098117C"/>
    <w:rsid w:val="00983543"/>
    <w:rsid w:val="009848B8"/>
    <w:rsid w:val="009851FC"/>
    <w:rsid w:val="0098651C"/>
    <w:rsid w:val="00992357"/>
    <w:rsid w:val="00995532"/>
    <w:rsid w:val="00995AAF"/>
    <w:rsid w:val="00995D18"/>
    <w:rsid w:val="009A6FCE"/>
    <w:rsid w:val="009C1BE3"/>
    <w:rsid w:val="009C3A07"/>
    <w:rsid w:val="009E10DF"/>
    <w:rsid w:val="009F1533"/>
    <w:rsid w:val="009F1740"/>
    <w:rsid w:val="009F4E5A"/>
    <w:rsid w:val="00A0482E"/>
    <w:rsid w:val="00A21F8E"/>
    <w:rsid w:val="00A23343"/>
    <w:rsid w:val="00A23A71"/>
    <w:rsid w:val="00A318F9"/>
    <w:rsid w:val="00A44420"/>
    <w:rsid w:val="00A463BA"/>
    <w:rsid w:val="00A52D6A"/>
    <w:rsid w:val="00A6568F"/>
    <w:rsid w:val="00A71A67"/>
    <w:rsid w:val="00A827C2"/>
    <w:rsid w:val="00AA4F5E"/>
    <w:rsid w:val="00AA599C"/>
    <w:rsid w:val="00AB3BC4"/>
    <w:rsid w:val="00AD1740"/>
    <w:rsid w:val="00AD1C20"/>
    <w:rsid w:val="00AD25B0"/>
    <w:rsid w:val="00AD7B1B"/>
    <w:rsid w:val="00AF04E0"/>
    <w:rsid w:val="00AF4424"/>
    <w:rsid w:val="00B01F21"/>
    <w:rsid w:val="00B06E40"/>
    <w:rsid w:val="00B17357"/>
    <w:rsid w:val="00B27F5B"/>
    <w:rsid w:val="00B35DA5"/>
    <w:rsid w:val="00B41B81"/>
    <w:rsid w:val="00B439F9"/>
    <w:rsid w:val="00B4645D"/>
    <w:rsid w:val="00B53C34"/>
    <w:rsid w:val="00B608AD"/>
    <w:rsid w:val="00B75F17"/>
    <w:rsid w:val="00B76684"/>
    <w:rsid w:val="00B80EE6"/>
    <w:rsid w:val="00B93E8D"/>
    <w:rsid w:val="00BE097A"/>
    <w:rsid w:val="00BE4287"/>
    <w:rsid w:val="00C005B2"/>
    <w:rsid w:val="00C0779B"/>
    <w:rsid w:val="00C16614"/>
    <w:rsid w:val="00C26FF2"/>
    <w:rsid w:val="00C4361A"/>
    <w:rsid w:val="00C50F03"/>
    <w:rsid w:val="00C638A0"/>
    <w:rsid w:val="00C650EB"/>
    <w:rsid w:val="00C66CA9"/>
    <w:rsid w:val="00C72779"/>
    <w:rsid w:val="00C81F08"/>
    <w:rsid w:val="00C858A1"/>
    <w:rsid w:val="00C9365C"/>
    <w:rsid w:val="00CA3CE4"/>
    <w:rsid w:val="00CC2A2A"/>
    <w:rsid w:val="00CD53F5"/>
    <w:rsid w:val="00CE3EEE"/>
    <w:rsid w:val="00CF338F"/>
    <w:rsid w:val="00D23B0A"/>
    <w:rsid w:val="00D42530"/>
    <w:rsid w:val="00D42CFB"/>
    <w:rsid w:val="00D43D50"/>
    <w:rsid w:val="00D61BDC"/>
    <w:rsid w:val="00D63934"/>
    <w:rsid w:val="00D63FC3"/>
    <w:rsid w:val="00D6691A"/>
    <w:rsid w:val="00D92BBF"/>
    <w:rsid w:val="00DA282D"/>
    <w:rsid w:val="00DB3FF5"/>
    <w:rsid w:val="00DB6F54"/>
    <w:rsid w:val="00DE1435"/>
    <w:rsid w:val="00E12577"/>
    <w:rsid w:val="00E2683A"/>
    <w:rsid w:val="00E5221A"/>
    <w:rsid w:val="00E5557B"/>
    <w:rsid w:val="00E63B3C"/>
    <w:rsid w:val="00E72385"/>
    <w:rsid w:val="00E7439E"/>
    <w:rsid w:val="00E86639"/>
    <w:rsid w:val="00E87297"/>
    <w:rsid w:val="00EA21C4"/>
    <w:rsid w:val="00EC7C4B"/>
    <w:rsid w:val="00EF1636"/>
    <w:rsid w:val="00F00C2F"/>
    <w:rsid w:val="00F01401"/>
    <w:rsid w:val="00F11D6F"/>
    <w:rsid w:val="00F1762B"/>
    <w:rsid w:val="00F240CF"/>
    <w:rsid w:val="00F27595"/>
    <w:rsid w:val="00F31BA6"/>
    <w:rsid w:val="00F33DF4"/>
    <w:rsid w:val="00F52DF5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7AA89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192</cp:revision>
  <dcterms:created xsi:type="dcterms:W3CDTF">2019-03-01T07:08:00Z</dcterms:created>
  <dcterms:modified xsi:type="dcterms:W3CDTF">2019-05-10T07:34:00Z</dcterms:modified>
</cp:coreProperties>
</file>