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3D6DE8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</w:t>
      </w:r>
      <w:r w:rsidR="00AF28F1" w:rsidRPr="00381BC0">
        <w:rPr>
          <w:rFonts w:asciiTheme="minorEastAsia" w:hAnsiTheme="minorEastAsia" w:hint="eastAsia"/>
          <w:szCs w:val="21"/>
        </w:rPr>
        <w:t>f(</w:t>
      </w:r>
      <w:r w:rsidR="00AF28F1" w:rsidRPr="00381BC0">
        <w:rPr>
          <w:rFonts w:asciiTheme="minorEastAsia" w:hAnsiTheme="minorEastAsia"/>
          <w:szCs w:val="21"/>
        </w:rPr>
        <w:t>x)</w:t>
      </w:r>
      <w:r w:rsidR="00AF28F1" w:rsidRPr="00381BC0">
        <w:rPr>
          <w:rFonts w:asciiTheme="minorEastAsia" w:hAnsiTheme="minorEastAsia" w:hint="eastAsia"/>
          <w:szCs w:val="21"/>
        </w:rPr>
        <w:t>连续，</w:t>
      </w:r>
      <w:r>
        <w:rPr>
          <w:rFonts w:asciiTheme="minorEastAsia" w:hAnsiTheme="minorEastAsia" w:hint="eastAsia"/>
          <w:szCs w:val="21"/>
        </w:rPr>
        <w:t>分布函数导数</w:t>
      </w:r>
      <w:r w:rsidR="00AF28F1" w:rsidRPr="00381BC0">
        <w:rPr>
          <w:rFonts w:asciiTheme="minorEastAsia" w:hAnsiTheme="minorEastAsia" w:hint="eastAsia"/>
          <w:szCs w:val="21"/>
        </w:rPr>
        <w:t>F</w:t>
      </w:r>
      <w:proofErr w:type="gramStart"/>
      <w:r w:rsidR="00AF28F1"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="00AF28F1"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="00AF28F1"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  <w:r w:rsidR="003C6990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9D03D0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Dx=p(1-p)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(a≤x≤b)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X&gt;0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Ec=c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9D03D0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独立同分布与二项分布极限均为正态分布</w:t>
      </w:r>
    </w:p>
    <w:p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348B6" w:rsidRPr="007348B6" w:rsidRDefault="009D03D0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A87EA6" w:rsidRPr="00CC6C60">
        <w:rPr>
          <w:rFonts w:asciiTheme="minorEastAsia" w:hAnsiTheme="minorEastAsia"/>
          <w:szCs w:val="21"/>
        </w:rPr>
        <w:t xml:space="preserve"> </w:t>
      </w:r>
    </w:p>
    <w:p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:rsidR="00260FC3" w:rsidRDefault="003A6119" w:rsidP="009D03D0">
      <w:pPr>
        <w:widowControl/>
        <w:ind w:left="42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B52E59" w:rsidRDefault="00B52E5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:rsidR="004B6296" w:rsidRPr="002A56A8" w:rsidRDefault="004B6296" w:rsidP="00CC6C60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</m:t>
                </m:r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  <w:bookmarkStart w:id="0" w:name="_GoBack"/>
      <w:bookmarkEnd w:id="0"/>
    </w:p>
    <w:sectPr w:rsidR="004B6296" w:rsidRPr="002A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C7B" w:rsidRDefault="00313C7B" w:rsidP="00F97523">
      <w:r>
        <w:separator/>
      </w:r>
    </w:p>
  </w:endnote>
  <w:endnote w:type="continuationSeparator" w:id="0">
    <w:p w:rsidR="00313C7B" w:rsidRDefault="00313C7B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C7B" w:rsidRDefault="00313C7B" w:rsidP="00F97523">
      <w:r>
        <w:separator/>
      </w:r>
    </w:p>
  </w:footnote>
  <w:footnote w:type="continuationSeparator" w:id="0">
    <w:p w:rsidR="00313C7B" w:rsidRDefault="00313C7B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ACA"/>
    <w:rsid w:val="000D69FE"/>
    <w:rsid w:val="000E0B6B"/>
    <w:rsid w:val="000E3282"/>
    <w:rsid w:val="000E7611"/>
    <w:rsid w:val="000F1810"/>
    <w:rsid w:val="000F614F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6EDF"/>
    <w:rsid w:val="002426CF"/>
    <w:rsid w:val="00244D07"/>
    <w:rsid w:val="002478D2"/>
    <w:rsid w:val="00251536"/>
    <w:rsid w:val="00260FC3"/>
    <w:rsid w:val="002612DF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44F"/>
    <w:rsid w:val="00313C7B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A7D6E"/>
    <w:rsid w:val="004B2347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3BD8"/>
    <w:rsid w:val="007348B6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B2A"/>
    <w:rsid w:val="007C5D83"/>
    <w:rsid w:val="007D22D1"/>
    <w:rsid w:val="007D2B3E"/>
    <w:rsid w:val="007D6629"/>
    <w:rsid w:val="007D7D31"/>
    <w:rsid w:val="007E480E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0CDA"/>
    <w:rsid w:val="008B3BD0"/>
    <w:rsid w:val="008B3C84"/>
    <w:rsid w:val="008B6CF9"/>
    <w:rsid w:val="008C259A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B0C08"/>
    <w:rsid w:val="009B43A8"/>
    <w:rsid w:val="009B4C9C"/>
    <w:rsid w:val="009B5021"/>
    <w:rsid w:val="009C23C6"/>
    <w:rsid w:val="009C38C6"/>
    <w:rsid w:val="009C3A3A"/>
    <w:rsid w:val="009C7FAB"/>
    <w:rsid w:val="009D03D0"/>
    <w:rsid w:val="009D057D"/>
    <w:rsid w:val="009D0B98"/>
    <w:rsid w:val="009D24CF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745D2"/>
    <w:rsid w:val="00A8197C"/>
    <w:rsid w:val="00A8777E"/>
    <w:rsid w:val="00A87EA6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949B2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73E12"/>
    <w:rsid w:val="00C75C9F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E22C4"/>
    <w:rsid w:val="00EF6A89"/>
    <w:rsid w:val="00F17DA8"/>
    <w:rsid w:val="00F346D7"/>
    <w:rsid w:val="00F34B0B"/>
    <w:rsid w:val="00F37CA4"/>
    <w:rsid w:val="00F402D7"/>
    <w:rsid w:val="00F40D76"/>
    <w:rsid w:val="00F41C2E"/>
    <w:rsid w:val="00F43E60"/>
    <w:rsid w:val="00F47228"/>
    <w:rsid w:val="00F475DA"/>
    <w:rsid w:val="00F52286"/>
    <w:rsid w:val="00F552A1"/>
    <w:rsid w:val="00F6059E"/>
    <w:rsid w:val="00F713FF"/>
    <w:rsid w:val="00F80A02"/>
    <w:rsid w:val="00F85349"/>
    <w:rsid w:val="00F85D29"/>
    <w:rsid w:val="00F870F8"/>
    <w:rsid w:val="00F90166"/>
    <w:rsid w:val="00F938A1"/>
    <w:rsid w:val="00F97523"/>
    <w:rsid w:val="00F97FC2"/>
    <w:rsid w:val="00FA3493"/>
    <w:rsid w:val="00FC616C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4EB8E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0EF3-0737-4F67-900E-270DF388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5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380</cp:revision>
  <dcterms:created xsi:type="dcterms:W3CDTF">2019-02-26T01:53:00Z</dcterms:created>
  <dcterms:modified xsi:type="dcterms:W3CDTF">2019-05-16T02:20:00Z</dcterms:modified>
</cp:coreProperties>
</file>