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F3" w:rsidRDefault="0044225A">
      <w:pPr>
        <w:pStyle w:val="1"/>
        <w:spacing w:after="192" w:line="256" w:lineRule="auto"/>
      </w:pPr>
      <w:r>
        <w:rPr>
          <w:rFonts w:ascii="等线" w:eastAsia="等线" w:hAnsi="等线" w:cs="等线" w:hint="eastAsia"/>
          <w:b/>
          <w:color w:val="000000"/>
        </w:rPr>
        <w:t xml:space="preserve">[1] </w:t>
      </w:r>
      <w:r>
        <w:rPr>
          <w:rFonts w:ascii="等线" w:eastAsia="等线" w:hAnsi="等线" w:cs="等线" w:hint="eastAsia"/>
          <w:b/>
          <w:color w:val="000000"/>
        </w:rPr>
        <w:t>论文审稿等级简述：</w:t>
      </w:r>
    </w:p>
    <w:p w:rsidR="005D56F3" w:rsidRDefault="0044225A">
      <w:pPr>
        <w:widowControl/>
        <w:numPr>
          <w:ilvl w:val="0"/>
          <w:numId w:val="1"/>
        </w:numPr>
        <w:spacing w:after="62" w:line="256" w:lineRule="auto"/>
        <w:ind w:left="339" w:right="880" w:hanging="420"/>
        <w:jc w:val="left"/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5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分：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 accept  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表示对文章强烈的支持，在审稿时很少出现</w:t>
      </w:r>
    </w:p>
    <w:p w:rsidR="005D56F3" w:rsidRDefault="0044225A">
      <w:pPr>
        <w:widowControl/>
        <w:numPr>
          <w:ilvl w:val="0"/>
          <w:numId w:val="1"/>
        </w:numPr>
        <w:spacing w:after="62" w:line="256" w:lineRule="auto"/>
        <w:ind w:left="339" w:right="880" w:hanging="420"/>
        <w:jc w:val="left"/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4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分：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 weak accept  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文章可以接收，小改</w:t>
      </w:r>
    </w:p>
    <w:p w:rsidR="005D56F3" w:rsidRDefault="0044225A">
      <w:pPr>
        <w:widowControl/>
        <w:numPr>
          <w:ilvl w:val="0"/>
          <w:numId w:val="1"/>
        </w:numPr>
        <w:spacing w:after="62" w:line="256" w:lineRule="auto"/>
        <w:ind w:left="339" w:right="880" w:hanging="420"/>
        <w:jc w:val="left"/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3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分：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 borderline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ab/>
        <w:t xml:space="preserve">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中间态度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</w:t>
      </w:r>
    </w:p>
    <w:p w:rsidR="005D56F3" w:rsidRDefault="0044225A">
      <w:pPr>
        <w:widowControl/>
        <w:numPr>
          <w:ilvl w:val="0"/>
          <w:numId w:val="1"/>
        </w:numPr>
        <w:spacing w:after="62" w:line="256" w:lineRule="auto"/>
        <w:ind w:left="339" w:right="880" w:hanging="420"/>
        <w:jc w:val="left"/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2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分：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 weak reject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ab/>
        <w:t xml:space="preserve"> 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论文当前不可以接受，但可以修改后重新投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</w:t>
      </w:r>
    </w:p>
    <w:p w:rsidR="005D56F3" w:rsidRDefault="0044225A">
      <w:pPr>
        <w:widowControl/>
        <w:numPr>
          <w:ilvl w:val="0"/>
          <w:numId w:val="1"/>
        </w:numPr>
        <w:spacing w:after="227" w:line="256" w:lineRule="auto"/>
        <w:ind w:left="339" w:right="880" w:hanging="420"/>
        <w:jc w:val="left"/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1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分：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 reject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ab/>
        <w:t xml:space="preserve"> 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拒稿，在审稿时很少出现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</w:t>
      </w:r>
    </w:p>
    <w:p w:rsidR="005D56F3" w:rsidRDefault="0044225A">
      <w:pPr>
        <w:pStyle w:val="1"/>
        <w:spacing w:after="192" w:line="256" w:lineRule="auto"/>
      </w:pPr>
      <w:r>
        <w:rPr>
          <w:rFonts w:ascii="等线" w:eastAsia="等线" w:hAnsi="等线" w:cs="等线" w:hint="eastAsia"/>
          <w:b/>
          <w:color w:val="000000"/>
        </w:rPr>
        <w:t>[2]</w:t>
      </w:r>
      <w:r>
        <w:rPr>
          <w:rFonts w:ascii="等线" w:eastAsia="等线" w:hAnsi="等线" w:cs="等线" w:hint="eastAsia"/>
          <w:b/>
          <w:color w:val="000000"/>
        </w:rPr>
        <w:t>论文审稿流程：</w:t>
      </w:r>
    </w:p>
    <w:p w:rsidR="005D56F3" w:rsidRDefault="0044225A">
      <w:pPr>
        <w:widowControl/>
        <w:spacing w:after="79" w:line="256" w:lineRule="auto"/>
        <w:ind w:right="880"/>
        <w:jc w:val="left"/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t>1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）总体概述论文内容，即本篇论文研究的问题及工作；</w:t>
      </w:r>
    </w:p>
    <w:p w:rsidR="005D56F3" w:rsidRDefault="0044225A">
      <w:pPr>
        <w:widowControl/>
        <w:tabs>
          <w:tab w:val="left" w:pos="5380"/>
        </w:tabs>
        <w:spacing w:after="79" w:line="256" w:lineRule="auto"/>
        <w:ind w:right="880"/>
        <w:jc w:val="left"/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t>2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）简要介绍论文的具体工作内容；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ab/>
      </w:r>
    </w:p>
    <w:p w:rsidR="005D56F3" w:rsidRDefault="0044225A">
      <w:pPr>
        <w:widowControl/>
        <w:spacing w:line="345" w:lineRule="auto"/>
        <w:ind w:right="880"/>
        <w:jc w:val="left"/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t>3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）概括</w:t>
      </w:r>
      <w:r>
        <w:rPr>
          <w:rFonts w:ascii="等线" w:eastAsia="等线" w:hAnsi="等线" w:cs="等线" w:hint="eastAsia"/>
          <w:bCs/>
          <w:color w:val="000000"/>
          <w:szCs w:val="22"/>
          <w:lang w:bidi="ar"/>
        </w:rPr>
        <w:t>论文的优缺点（可从以下几点进行说明）：</w:t>
      </w:r>
    </w:p>
    <w:p w:rsidR="005D56F3" w:rsidRDefault="0044225A">
      <w:pPr>
        <w:widowControl/>
        <w:spacing w:line="340" w:lineRule="auto"/>
        <w:ind w:leftChars="200" w:left="630" w:right="880" w:hangingChars="100" w:hanging="210"/>
        <w:jc w:val="left"/>
        <w:rPr>
          <w:rFonts w:ascii="等线" w:eastAsia="等线" w:hAnsi="等线" w:cs="等线"/>
          <w:color w:val="000000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begin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instrText xml:space="preserve"> = 1 \* GB3 \* MERGEFORMAT </w:instrTex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separate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①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end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Idea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的创新性：判断论文选题是否创新，可以通过查看已有的文献及相关领域工作，比较得出论文的创新程度；（是否提出了全新的问题，或者论文的工作是否应用于一个新的场景、或者针对同一问题是否通过不同角度来解决。）</w:t>
      </w:r>
    </w:p>
    <w:p w:rsidR="005D56F3" w:rsidRDefault="0044225A">
      <w:pPr>
        <w:widowControl/>
        <w:spacing w:line="340" w:lineRule="auto"/>
        <w:ind w:leftChars="200" w:left="630" w:right="880" w:hangingChars="100" w:hanging="210"/>
        <w:jc w:val="left"/>
        <w:rPr>
          <w:rFonts w:ascii="等线" w:eastAsia="等线" w:hAnsi="等线" w:cs="等线"/>
          <w:color w:val="000000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begin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instrText xml:space="preserve"> = 2 \* GB3 \* MERGEFORMAT </w:instrTex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separate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②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end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技术贡献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:  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可以从论文是否证明了现有研究问题是一个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np -hard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的问题；或者能够将研究问题归纳到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 xml:space="preserve"> np -hard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问题；以及文章是否详细说明了算法最终结果与最优解的界等方面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来判断技术贡献是否达标。</w:t>
      </w:r>
    </w:p>
    <w:p w:rsidR="005D56F3" w:rsidRDefault="0044225A">
      <w:pPr>
        <w:widowControl/>
        <w:spacing w:line="340" w:lineRule="auto"/>
        <w:ind w:right="880" w:firstLineChars="200" w:firstLine="420"/>
        <w:jc w:val="left"/>
        <w:rPr>
          <w:rFonts w:ascii="等线" w:eastAsia="等线" w:hAnsi="等线" w:cs="等线"/>
          <w:color w:val="000000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begin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instrText xml:space="preserve"> = 3 \* GB3 \* MERGEFORMAT </w:instrTex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separate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③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end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文章的组织逻辑和算法逻辑链：算法逻辑是否合理，即解决问题的方法是否可行。</w:t>
      </w:r>
    </w:p>
    <w:p w:rsidR="005D56F3" w:rsidRDefault="0044225A">
      <w:pPr>
        <w:widowControl/>
        <w:spacing w:line="340" w:lineRule="auto"/>
        <w:ind w:leftChars="200" w:left="630" w:right="880" w:hangingChars="100" w:hanging="210"/>
        <w:jc w:val="left"/>
        <w:rPr>
          <w:rFonts w:ascii="等线" w:eastAsia="等线" w:hAnsi="等线" w:cs="等线"/>
          <w:color w:val="000000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begin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instrText xml:space="preserve"> = 4 \* GB3 \* MERGEFORMAT </w:instrTex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separate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④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end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文章内容细节：文章整体排版是否专业，如是否有大量的图表数量、图表内容的安排是否整洁等，在内容上对算法是否解释得足够清晰。</w:t>
      </w:r>
    </w:p>
    <w:p w:rsidR="005D56F3" w:rsidRDefault="0044225A">
      <w:pPr>
        <w:widowControl/>
        <w:spacing w:line="340" w:lineRule="auto"/>
        <w:ind w:leftChars="200" w:left="630" w:right="880" w:hangingChars="100" w:hanging="210"/>
        <w:jc w:val="left"/>
        <w:rPr>
          <w:rFonts w:ascii="等线" w:eastAsia="等线" w:hAnsi="等线" w:cs="等线"/>
          <w:color w:val="000000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begin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instrText xml:space="preserve"> = 5 \* GB3 \* MERGEFORMAT </w:instrTex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separate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⑤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fldChar w:fldCharType="end"/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系统实现：若只是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简单的仿真，或仅从仿真平台上验证，则结果验证的实用</w:t>
      </w:r>
      <w:r>
        <w:rPr>
          <w:rFonts w:ascii="等线" w:eastAsia="等线" w:hAnsi="等线" w:cs="等线" w:hint="eastAsia"/>
          <w:color w:val="000000"/>
          <w:szCs w:val="22"/>
          <w:lang w:bidi="ar"/>
        </w:rPr>
        <w:t>性不强；一般标准是需要有在相关平台上的实现验证。（但如果文章的理论贡献特别突出，系统实现上的要求则可以放宽一些。）</w:t>
      </w:r>
    </w:p>
    <w:p w:rsidR="005D56F3" w:rsidRDefault="0044225A">
      <w:pPr>
        <w:widowControl/>
        <w:numPr>
          <w:ilvl w:val="0"/>
          <w:numId w:val="2"/>
        </w:numPr>
        <w:spacing w:line="340" w:lineRule="auto"/>
        <w:ind w:right="880"/>
        <w:jc w:val="left"/>
        <w:rPr>
          <w:rFonts w:ascii="等线" w:eastAsia="等线" w:hAnsi="等线" w:cs="等线"/>
          <w:color w:val="000000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szCs w:val="22"/>
          <w:lang w:bidi="ar"/>
        </w:rPr>
        <w:t>给出组内每人对论文的评分。</w:t>
      </w:r>
    </w:p>
    <w:p w:rsidR="005D56F3" w:rsidRDefault="005D56F3">
      <w:pPr>
        <w:widowControl/>
        <w:spacing w:line="340" w:lineRule="auto"/>
        <w:ind w:right="880"/>
        <w:jc w:val="left"/>
        <w:rPr>
          <w:rFonts w:ascii="等线" w:eastAsia="等线" w:hAnsi="等线" w:cs="等线"/>
          <w:color w:val="000000"/>
          <w:szCs w:val="22"/>
          <w:lang w:bidi="ar"/>
        </w:rPr>
      </w:pPr>
    </w:p>
    <w:p w:rsidR="005D56F3" w:rsidRDefault="0044225A">
      <w:pPr>
        <w:widowControl/>
        <w:spacing w:line="340" w:lineRule="auto"/>
        <w:ind w:right="880"/>
        <w:jc w:val="left"/>
        <w:rPr>
          <w:rFonts w:ascii="等线" w:eastAsia="等线" w:hAnsi="等线" w:cs="等线"/>
          <w:b/>
          <w:bCs/>
          <w:color w:val="000000"/>
          <w:sz w:val="20"/>
          <w:szCs w:val="21"/>
          <w:lang w:bidi="ar"/>
        </w:rPr>
      </w:pPr>
      <w:r>
        <w:rPr>
          <w:rFonts w:ascii="等线" w:eastAsia="等线" w:hAnsi="等线" w:cs="等线" w:hint="eastAsia"/>
          <w:b/>
          <w:bCs/>
          <w:color w:val="000000"/>
          <w:sz w:val="20"/>
          <w:szCs w:val="21"/>
          <w:lang w:bidi="ar"/>
        </w:rPr>
        <w:t>[</w:t>
      </w:r>
      <w:r>
        <w:rPr>
          <w:rFonts w:ascii="等线" w:eastAsia="等线" w:hAnsi="等线" w:cs="等线" w:hint="eastAsia"/>
          <w:b/>
          <w:bCs/>
          <w:color w:val="000000"/>
          <w:sz w:val="20"/>
          <w:szCs w:val="21"/>
          <w:lang w:bidi="ar"/>
        </w:rPr>
        <w:t>注意事项</w:t>
      </w:r>
      <w:r>
        <w:rPr>
          <w:rFonts w:ascii="等线" w:eastAsia="等线" w:hAnsi="等线" w:cs="等线" w:hint="eastAsia"/>
          <w:b/>
          <w:bCs/>
          <w:color w:val="000000"/>
          <w:sz w:val="20"/>
          <w:szCs w:val="21"/>
          <w:lang w:bidi="ar"/>
        </w:rPr>
        <w:t>]</w:t>
      </w:r>
    </w:p>
    <w:p w:rsidR="005D56F3" w:rsidRDefault="0044225A">
      <w:pPr>
        <w:widowControl/>
        <w:spacing w:line="340" w:lineRule="auto"/>
        <w:ind w:right="880"/>
        <w:jc w:val="left"/>
        <w:rPr>
          <w:b/>
          <w:sz w:val="20"/>
          <w:szCs w:val="22"/>
        </w:rPr>
      </w:pPr>
      <w:r>
        <w:rPr>
          <w:rFonts w:ascii="等线" w:eastAsia="等线" w:hAnsi="等线" w:cs="等线" w:hint="eastAsia"/>
          <w:b/>
          <w:bCs/>
          <w:color w:val="000000"/>
          <w:sz w:val="20"/>
          <w:szCs w:val="21"/>
          <w:lang w:bidi="ar"/>
        </w:rPr>
        <w:t>*</w:t>
      </w:r>
      <w:r>
        <w:rPr>
          <w:rFonts w:ascii="等线" w:eastAsia="等线" w:hAnsi="等线" w:cs="等线" w:hint="eastAsia"/>
          <w:b/>
          <w:bCs/>
          <w:color w:val="000000"/>
          <w:sz w:val="20"/>
          <w:szCs w:val="21"/>
          <w:lang w:bidi="ar"/>
        </w:rPr>
        <w:t>论文审稿过程中语言谦逊，即使自己认为论文存在诸多不足之处，在写审稿意见时要先说优点再说缺点，欲抑先扬，不</w:t>
      </w:r>
      <w:r>
        <w:rPr>
          <w:rFonts w:ascii="等线" w:eastAsia="等线" w:hAnsi="等线" w:cs="等线" w:hint="eastAsia"/>
          <w:b/>
          <w:color w:val="000000"/>
          <w:sz w:val="20"/>
          <w:szCs w:val="21"/>
          <w:lang w:bidi="ar"/>
        </w:rPr>
        <w:t>可只说缺点不足。</w:t>
      </w:r>
    </w:p>
    <w:p w:rsidR="005D56F3" w:rsidRDefault="0044225A">
      <w:pPr>
        <w:widowControl/>
        <w:spacing w:after="227" w:line="256" w:lineRule="auto"/>
        <w:ind w:right="250"/>
        <w:jc w:val="left"/>
        <w:rPr>
          <w:b/>
          <w:sz w:val="20"/>
          <w:szCs w:val="22"/>
        </w:rPr>
      </w:pPr>
      <w:r>
        <w:rPr>
          <w:rFonts w:ascii="等线" w:eastAsia="等线" w:hAnsi="等线" w:cs="等线" w:hint="eastAsia"/>
          <w:b/>
          <w:color w:val="000000"/>
          <w:sz w:val="20"/>
          <w:szCs w:val="21"/>
          <w:lang w:bidi="ar"/>
        </w:rPr>
        <w:t>*</w:t>
      </w:r>
      <w:r>
        <w:rPr>
          <w:rFonts w:ascii="等线" w:eastAsia="等线" w:hAnsi="等线" w:cs="等线" w:hint="eastAsia"/>
          <w:b/>
          <w:color w:val="000000"/>
          <w:sz w:val="20"/>
          <w:szCs w:val="21"/>
          <w:lang w:bidi="ar"/>
        </w:rPr>
        <w:t>通常审稿接收率在</w:t>
      </w:r>
      <w:r>
        <w:rPr>
          <w:rFonts w:ascii="等线" w:eastAsia="等线" w:hAnsi="等线" w:cs="等线" w:hint="eastAsia"/>
          <w:b/>
          <w:color w:val="000000"/>
          <w:sz w:val="20"/>
          <w:szCs w:val="21"/>
          <w:lang w:bidi="ar"/>
        </w:rPr>
        <w:t>20%</w:t>
      </w:r>
      <w:r>
        <w:rPr>
          <w:rFonts w:ascii="等线" w:eastAsia="等线" w:hAnsi="等线" w:cs="等线" w:hint="eastAsia"/>
          <w:b/>
          <w:color w:val="000000"/>
          <w:sz w:val="20"/>
          <w:szCs w:val="21"/>
          <w:lang w:bidi="ar"/>
        </w:rPr>
        <w:t>，比如拿到</w:t>
      </w:r>
      <w:r>
        <w:rPr>
          <w:rFonts w:ascii="等线" w:eastAsia="等线" w:hAnsi="等线" w:cs="等线" w:hint="eastAsia"/>
          <w:b/>
          <w:color w:val="000000"/>
          <w:sz w:val="20"/>
          <w:szCs w:val="21"/>
          <w:lang w:bidi="ar"/>
        </w:rPr>
        <w:t>7</w:t>
      </w:r>
      <w:r>
        <w:rPr>
          <w:rFonts w:ascii="等线" w:eastAsia="等线" w:hAnsi="等线" w:cs="等线" w:hint="eastAsia"/>
          <w:b/>
          <w:color w:val="000000"/>
          <w:sz w:val="20"/>
          <w:szCs w:val="21"/>
          <w:lang w:bidi="ar"/>
        </w:rPr>
        <w:t>篇待审稿的文章，通常只有</w:t>
      </w:r>
      <w:r>
        <w:rPr>
          <w:rFonts w:ascii="等线" w:eastAsia="等线" w:hAnsi="等线" w:cs="等线" w:hint="eastAsia"/>
          <w:b/>
          <w:color w:val="000000"/>
          <w:sz w:val="20"/>
          <w:szCs w:val="21"/>
          <w:lang w:bidi="ar"/>
        </w:rPr>
        <w:t>2</w:t>
      </w:r>
      <w:r>
        <w:rPr>
          <w:rFonts w:ascii="等线" w:eastAsia="等线" w:hAnsi="等线" w:cs="等线" w:hint="eastAsia"/>
          <w:b/>
          <w:color w:val="000000"/>
          <w:sz w:val="20"/>
          <w:szCs w:val="21"/>
          <w:lang w:bidi="ar"/>
        </w:rPr>
        <w:t>篇是可以接受的。</w:t>
      </w:r>
    </w:p>
    <w:p w:rsidR="005D56F3" w:rsidRDefault="0044225A">
      <w:pPr>
        <w:pStyle w:val="1"/>
        <w:spacing w:after="192" w:line="256" w:lineRule="auto"/>
        <w:rPr>
          <w:rFonts w:ascii="等线" w:eastAsia="等线" w:hAnsi="等线" w:cs="等线"/>
          <w:b/>
          <w:color w:val="000000"/>
        </w:rPr>
      </w:pPr>
      <w:r>
        <w:rPr>
          <w:rFonts w:ascii="等线" w:eastAsia="等线" w:hAnsi="等线" w:cs="等线" w:hint="eastAsia"/>
          <w:b/>
          <w:color w:val="000000"/>
        </w:rPr>
        <w:lastRenderedPageBreak/>
        <w:t>[3]</w:t>
      </w:r>
      <w:r>
        <w:rPr>
          <w:rFonts w:ascii="等线" w:eastAsia="等线" w:hAnsi="等线" w:cs="等线" w:hint="eastAsia"/>
          <w:b/>
          <w:color w:val="000000"/>
        </w:rPr>
        <w:t>审稿意见示例：</w:t>
      </w:r>
    </w:p>
    <w:p w:rsidR="005D56F3" w:rsidRDefault="0044225A">
      <w:pPr>
        <w:pStyle w:val="1"/>
        <w:ind w:left="0" w:firstLine="0"/>
      </w:pPr>
      <w:r>
        <w:t xml:space="preserve">Contributions (What are the major issues addressed in the </w:t>
      </w:r>
      <w:r>
        <w:t>paper? Do you consider them important? Comment on the novelty, creativity,</w:t>
      </w:r>
      <w:r>
        <w:rPr>
          <w:sz w:val="37"/>
          <w:vertAlign w:val="subscript"/>
        </w:rPr>
        <w:t xml:space="preserve"> </w:t>
      </w:r>
      <w:r>
        <w:t>impact, and technical depth in the paper.)</w:t>
      </w:r>
    </w:p>
    <w:p w:rsidR="005D56F3" w:rsidRDefault="0044225A">
      <w:pPr>
        <w:widowControl/>
        <w:spacing w:after="297" w:line="264" w:lineRule="auto"/>
        <w:ind w:left="-3" w:right="183" w:hanging="10"/>
        <w:jc w:val="left"/>
      </w:pP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In this paper, the authors statistically analyze the status of link connection in mission driven IoT. Machine learning algorithms are 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>adopted to predict the dynamic spatial-temporal link availability. Based on the exploited link status information from statistical analysis, a predictive routing algorithm is proposed to improve the network performance. The proposed design is evaluated thr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>ough simulation. Evaluation results show that the overall network performance is enhanced by up to 36.7%. The network improvement in routing comes from the exploited opportunistic link information exploited by machine learning.</w:t>
      </w:r>
    </w:p>
    <w:p w:rsidR="005D56F3" w:rsidRDefault="0044225A">
      <w:pPr>
        <w:pStyle w:val="1"/>
        <w:spacing w:after="149"/>
        <w:ind w:left="7" w:right="5641"/>
      </w:pPr>
      <w:r>
        <w:t>Strengths (What are the majo</w:t>
      </w:r>
      <w:r w:rsidR="006E2814">
        <w:t xml:space="preserve">r reasons to </w:t>
      </w:r>
      <w:r>
        <w:t>accept the paper?)</w:t>
      </w:r>
    </w:p>
    <w:p w:rsidR="005D56F3" w:rsidRDefault="0044225A">
      <w:pPr>
        <w:widowControl/>
        <w:spacing w:after="6" w:line="264" w:lineRule="auto"/>
        <w:ind w:left="-3" w:hanging="10"/>
        <w:jc w:val="left"/>
      </w:pP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Compared with traditional approaches which utilize statistical analysis (e.g., ETX) to measure link status (including spatial-temporal link availability), the proposed approach adopts machine learning approaches to predict 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>the dynamic spatial-temporal link availability. Some extra interesting and important link information is exploited and this information is helpful in improving the routing performance.</w:t>
      </w:r>
    </w:p>
    <w:p w:rsidR="005D56F3" w:rsidRDefault="0044225A">
      <w:pPr>
        <w:pStyle w:val="1"/>
        <w:spacing w:after="249"/>
        <w:ind w:left="7" w:right="5641"/>
      </w:pPr>
      <w:r>
        <w:t>Weaknesses (What are the major reasons NOT to accept the paper?)</w:t>
      </w:r>
    </w:p>
    <w:p w:rsidR="005D56F3" w:rsidRDefault="0044225A">
      <w:pPr>
        <w:widowControl/>
        <w:spacing w:after="6" w:line="264" w:lineRule="auto"/>
        <w:ind w:left="-3" w:right="183" w:hanging="10"/>
        <w:jc w:val="left"/>
      </w:pP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In my 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>opinion, the prediction results of different machine learning algorithms have different performance in different scenarios. For mission-driven IoTs, there are multiple different such kinds of networks (i.e., different scenarios) and these networks have dif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ferent characteristics. </w:t>
      </w:r>
    </w:p>
    <w:p w:rsidR="005D56F3" w:rsidRDefault="0044225A">
      <w:pPr>
        <w:widowControl/>
        <w:spacing w:after="408" w:line="264" w:lineRule="auto"/>
        <w:ind w:left="-3" w:right="183" w:hanging="10"/>
        <w:jc w:val="left"/>
      </w:pP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>While the adopted machine learning approach works well for the oviedo/asturies-er dataset (composed of real traces from the Fire Department of Asturias), I do</w:t>
      </w:r>
      <w:bookmarkStart w:id="0" w:name="_GoBack"/>
      <w:bookmarkEnd w:id="0"/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>n’t think the same approach works well for other mission-driven IoT scena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rios. The authors may overclaim that the Statistical Analysis Aided Routing Algorithm works for QoS in Mission-Driven IoTs if </w:t>
      </w:r>
      <w:r w:rsidR="006E2814">
        <w:rPr>
          <w:rFonts w:ascii="Segoe UI" w:eastAsia="Segoe UI" w:hAnsi="Segoe UI" w:cs="Segoe UI"/>
          <w:color w:val="212529"/>
          <w:sz w:val="18"/>
          <w:szCs w:val="22"/>
          <w:lang w:bidi="ar"/>
        </w:rPr>
        <w:t>machine-learning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 approach is adopted.</w:t>
      </w:r>
    </w:p>
    <w:p w:rsidR="005D56F3" w:rsidRDefault="0044225A">
      <w:pPr>
        <w:pStyle w:val="1"/>
        <w:ind w:left="7" w:right="460"/>
      </w:pPr>
      <w:r>
        <w:t xml:space="preserve">Detailed Comments (Please provide detailed comments that will help the TPC assess the paper </w:t>
      </w:r>
      <w:r>
        <w:t>and help provide feedback to the</w:t>
      </w:r>
      <w:r>
        <w:rPr>
          <w:sz w:val="37"/>
          <w:vertAlign w:val="subscript"/>
        </w:rPr>
        <w:t xml:space="preserve"> </w:t>
      </w:r>
      <w:r>
        <w:t>authors.)</w:t>
      </w:r>
    </w:p>
    <w:p w:rsidR="005D56F3" w:rsidRDefault="0044225A">
      <w:pPr>
        <w:widowControl/>
        <w:spacing w:after="274" w:line="264" w:lineRule="auto"/>
        <w:ind w:left="-3" w:right="183" w:hanging="10"/>
        <w:jc w:val="left"/>
      </w:pP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The authors are expected to </w:t>
      </w:r>
      <w:r w:rsidR="006E2814"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clearly 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explain 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why the proposed </w:t>
      </w:r>
      <w:r w:rsidR="006E2814">
        <w:rPr>
          <w:rFonts w:ascii="Segoe UI" w:eastAsia="Segoe UI" w:hAnsi="Segoe UI" w:cs="Segoe UI"/>
          <w:color w:val="212529"/>
          <w:sz w:val="18"/>
          <w:szCs w:val="22"/>
          <w:lang w:bidi="ar"/>
        </w:rPr>
        <w:t>machine-learning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 algorithm works well for link availability prediction for the specific routing task in the Mission-Driven IoT for the Fire Department. </w:t>
      </w: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 xml:space="preserve">What’s the rationale behind it?  </w:t>
      </w:r>
    </w:p>
    <w:p w:rsidR="005D56F3" w:rsidRDefault="0044225A">
      <w:pPr>
        <w:widowControl/>
        <w:spacing w:after="6" w:line="264" w:lineRule="auto"/>
        <w:ind w:left="-3" w:right="183" w:hanging="10"/>
        <w:jc w:val="left"/>
      </w:pPr>
      <w:r>
        <w:rPr>
          <w:rFonts w:ascii="Segoe UI" w:eastAsia="Segoe UI" w:hAnsi="Segoe UI" w:cs="Segoe UI"/>
          <w:color w:val="212529"/>
          <w:sz w:val="18"/>
          <w:szCs w:val="22"/>
          <w:lang w:bidi="ar"/>
        </w:rPr>
        <w:t>Multiple figures don’t have Legend, e.g., the Y axis of figure 3(a)-(d). The fonts in these figures are too small to read as well.</w:t>
      </w:r>
    </w:p>
    <w:p w:rsidR="005D56F3" w:rsidRDefault="005D56F3"/>
    <w:sectPr w:rsidR="005D56F3">
      <w:pgSz w:w="11906" w:h="16838"/>
      <w:pgMar w:top="665" w:right="500" w:bottom="749" w:left="1031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25A" w:rsidRDefault="0044225A" w:rsidP="006E2814">
      <w:r>
        <w:separator/>
      </w:r>
    </w:p>
  </w:endnote>
  <w:endnote w:type="continuationSeparator" w:id="0">
    <w:p w:rsidR="0044225A" w:rsidRDefault="0044225A" w:rsidP="006E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25A" w:rsidRDefault="0044225A" w:rsidP="006E2814">
      <w:r>
        <w:separator/>
      </w:r>
    </w:p>
  </w:footnote>
  <w:footnote w:type="continuationSeparator" w:id="0">
    <w:p w:rsidR="0044225A" w:rsidRDefault="0044225A" w:rsidP="006E2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D205B"/>
    <w:multiLevelType w:val="multilevel"/>
    <w:tmpl w:val="3E0D205B"/>
    <w:lvl w:ilvl="0">
      <w:start w:val="1"/>
      <w:numFmt w:val="bullet"/>
      <w:lvlText w:val="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599" w:firstLine="0"/>
        <w:textAlignment w:val="baseline"/>
      </w:pPr>
      <w:rPr>
        <w:rFonts w:ascii="Wingdings" w:eastAsia="Wingdings" w:hAnsi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1">
      <w:start w:val="1"/>
      <w:numFmt w:val="bullet"/>
      <w:lvlText w:val="o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231" w:firstLine="0"/>
        <w:textAlignment w:val="baseline"/>
      </w:pPr>
      <w:rPr>
        <w:rFonts w:ascii="Wingdings" w:eastAsia="Wingdings" w:hAnsi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2">
      <w:start w:val="1"/>
      <w:numFmt w:val="bullet"/>
      <w:lvlText w:val="▪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951" w:firstLine="0"/>
        <w:textAlignment w:val="baseline"/>
      </w:pPr>
      <w:rPr>
        <w:rFonts w:ascii="Wingdings" w:eastAsia="Wingdings" w:hAnsi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3">
      <w:start w:val="1"/>
      <w:numFmt w:val="bullet"/>
      <w:lvlText w:val="•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71" w:firstLine="0"/>
        <w:textAlignment w:val="baseline"/>
      </w:pPr>
      <w:rPr>
        <w:rFonts w:ascii="Wingdings" w:eastAsia="Wingdings" w:hAnsi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4">
      <w:start w:val="1"/>
      <w:numFmt w:val="bullet"/>
      <w:lvlText w:val="o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391" w:firstLine="0"/>
        <w:textAlignment w:val="baseline"/>
      </w:pPr>
      <w:rPr>
        <w:rFonts w:ascii="Wingdings" w:eastAsia="Wingdings" w:hAnsi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5">
      <w:start w:val="1"/>
      <w:numFmt w:val="bullet"/>
      <w:lvlText w:val="▪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111" w:firstLine="0"/>
        <w:textAlignment w:val="baseline"/>
      </w:pPr>
      <w:rPr>
        <w:rFonts w:ascii="Wingdings" w:eastAsia="Wingdings" w:hAnsi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6">
      <w:start w:val="1"/>
      <w:numFmt w:val="bullet"/>
      <w:lvlText w:val="•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831" w:firstLine="0"/>
        <w:textAlignment w:val="baseline"/>
      </w:pPr>
      <w:rPr>
        <w:rFonts w:ascii="Wingdings" w:eastAsia="Wingdings" w:hAnsi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7">
      <w:start w:val="1"/>
      <w:numFmt w:val="bullet"/>
      <w:lvlText w:val="o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551" w:firstLine="0"/>
        <w:textAlignment w:val="baseline"/>
      </w:pPr>
      <w:rPr>
        <w:rFonts w:ascii="Wingdings" w:eastAsia="Wingdings" w:hAnsi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  <w:lvl w:ilvl="8">
      <w:start w:val="1"/>
      <w:numFmt w:val="bullet"/>
      <w:lvlText w:val="▪"/>
      <w:lvlJc w:val="left"/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71" w:firstLine="0"/>
        <w:textAlignment w:val="baseline"/>
      </w:pPr>
      <w:rPr>
        <w:rFonts w:ascii="Wingdings" w:eastAsia="Wingdings" w:hAnsi="Wingdings" w:cs="Wingdings"/>
        <w:b w:val="0"/>
        <w:strike w:val="0"/>
        <w:dstrike w:val="0"/>
        <w:color w:val="000000"/>
        <w:sz w:val="21"/>
        <w:szCs w:val="21"/>
        <w:u w:val="none" w:color="000000"/>
      </w:rPr>
    </w:lvl>
  </w:abstractNum>
  <w:abstractNum w:abstractNumId="1" w15:restartNumberingAfterBreak="0">
    <w:nsid w:val="7B9D3782"/>
    <w:multiLevelType w:val="singleLevel"/>
    <w:tmpl w:val="7B9D3782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F3"/>
    <w:rsid w:val="0044225A"/>
    <w:rsid w:val="005D56F3"/>
    <w:rsid w:val="006E2814"/>
    <w:rsid w:val="01791C95"/>
    <w:rsid w:val="01E846A3"/>
    <w:rsid w:val="0A076D62"/>
    <w:rsid w:val="0BC76B3F"/>
    <w:rsid w:val="1112372A"/>
    <w:rsid w:val="19D800D1"/>
    <w:rsid w:val="1BDE29B7"/>
    <w:rsid w:val="1EE0158D"/>
    <w:rsid w:val="212F7B56"/>
    <w:rsid w:val="31A64805"/>
    <w:rsid w:val="3430288B"/>
    <w:rsid w:val="465D2798"/>
    <w:rsid w:val="4A93169A"/>
    <w:rsid w:val="4EB358D1"/>
    <w:rsid w:val="5C566012"/>
    <w:rsid w:val="5D1870AE"/>
    <w:rsid w:val="602D2DBA"/>
    <w:rsid w:val="657D061B"/>
    <w:rsid w:val="6A2B1D70"/>
    <w:rsid w:val="7A70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72622"/>
  <w15:docId w15:val="{18BC9948-1F73-46C7-BB65-708C458D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spacing w:line="216" w:lineRule="auto"/>
      <w:ind w:left="54" w:hanging="10"/>
      <w:jc w:val="left"/>
      <w:outlineLvl w:val="0"/>
    </w:pPr>
    <w:rPr>
      <w:rFonts w:ascii="Segoe UI" w:eastAsia="Segoe UI" w:hAnsi="Segoe UI" w:cs="Times New Roman"/>
      <w:color w:val="212529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pPr>
      <w:widowControl/>
      <w:spacing w:after="6" w:line="264" w:lineRule="auto"/>
      <w:ind w:left="69" w:right="135" w:firstLineChars="200" w:firstLine="420"/>
      <w:jc w:val="left"/>
    </w:pPr>
    <w:rPr>
      <w:rFonts w:ascii="Segoe UI" w:eastAsia="Segoe UI" w:hAnsi="Segoe UI" w:cs="Times New Roman"/>
      <w:color w:val="212529"/>
      <w:sz w:val="18"/>
      <w:szCs w:val="22"/>
    </w:rPr>
  </w:style>
  <w:style w:type="character" w:customStyle="1" w:styleId="10">
    <w:name w:val="标题 1 字符"/>
    <w:basedOn w:val="a0"/>
    <w:link w:val="1"/>
    <w:rPr>
      <w:rFonts w:ascii="Segoe UI" w:eastAsia="Segoe UI" w:hAnsi="Segoe UI" w:cs="Segoe UI" w:hint="default"/>
      <w:color w:val="212529"/>
      <w:sz w:val="24"/>
    </w:rPr>
  </w:style>
  <w:style w:type="paragraph" w:styleId="a3">
    <w:name w:val="header"/>
    <w:basedOn w:val="a"/>
    <w:link w:val="a4"/>
    <w:rsid w:val="006E2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28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E2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28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Shuai Wang</cp:lastModifiedBy>
  <cp:revision>2</cp:revision>
  <dcterms:created xsi:type="dcterms:W3CDTF">2014-10-29T12:08:00Z</dcterms:created>
  <dcterms:modified xsi:type="dcterms:W3CDTF">2019-04-29T03:28:00Z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