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5E1F0"/>
    <w:p w14:paraId="3E8CFE97"/>
    <w:p w14:paraId="451044C7"/>
    <w:p w14:paraId="11B52AAF"/>
    <w:p w14:paraId="5CDB6848">
      <w:pPr>
        <w:spacing w:before="0" w:after="120" w:line="312" w:lineRule="auto"/>
        <w:jc w:val="center"/>
      </w:pPr>
      <w:r>
        <w:rPr>
          <w:rFonts w:ascii="Arial" w:hAnsi="Arial" w:eastAsia="黑体"/>
          <w:b/>
          <w:color w:val="000000"/>
          <w:sz w:val="52"/>
        </w:rPr>
        <w:t>项目建议书</w:t>
      </w:r>
    </w:p>
    <w:p w14:paraId="1E40F7FD">
      <w:pPr>
        <w:spacing w:before="0" w:after="600" w:line="312" w:lineRule="auto"/>
        <w:jc w:val="center"/>
      </w:pPr>
      <w:r>
        <w:rPr>
          <w:rFonts w:ascii="Arial" w:hAnsi="Arial" w:eastAsia="黑体"/>
          <w:b/>
          <w:color w:val="000000"/>
          <w:sz w:val="32"/>
        </w:rPr>
        <w:t>槟城国际机场（PIA）数字导览与交互式终端集成平台项目</w:t>
      </w:r>
    </w:p>
    <w:p w14:paraId="66A9526A"/>
    <w:p w14:paraId="6ABBD911"/>
    <w:p w14:paraId="4FC70FE8"/>
    <w:p w14:paraId="77DBABF2"/>
    <w:p w14:paraId="1218B353">
      <w:pPr>
        <w:spacing w:before="0" w:after="0" w:line="432" w:lineRule="auto"/>
        <w:jc w:val="center"/>
      </w:pPr>
      <w:r>
        <w:rPr>
          <w:rFonts w:ascii="Arial" w:hAnsi="Arial" w:eastAsia="宋体"/>
          <w:b w:val="0"/>
          <w:color w:val="000000"/>
          <w:sz w:val="28"/>
        </w:rPr>
        <w:t>项目名称：槟城国际机场（PIA）数字导览与交互式终端集成平台</w:t>
      </w:r>
    </w:p>
    <w:p w14:paraId="07BE1CD7">
      <w:pPr>
        <w:spacing w:before="0" w:after="0" w:line="432" w:lineRule="auto"/>
        <w:jc w:val="center"/>
      </w:pPr>
      <w:r>
        <w:rPr>
          <w:rFonts w:ascii="Arial" w:hAnsi="Arial" w:eastAsia="宋体"/>
          <w:b w:val="0"/>
          <w:color w:val="000000"/>
          <w:sz w:val="28"/>
        </w:rPr>
        <w:t>建设周期：18 个月</w:t>
      </w:r>
    </w:p>
    <w:p w14:paraId="4B9E137F">
      <w:pPr>
        <w:spacing w:before="0" w:after="0" w:line="432" w:lineRule="auto"/>
        <w:jc w:val="center"/>
      </w:pPr>
      <w:r>
        <w:rPr>
          <w:rFonts w:ascii="Arial" w:hAnsi="Arial" w:eastAsia="宋体"/>
          <w:b w:val="0"/>
          <w:color w:val="000000"/>
          <w:sz w:val="28"/>
        </w:rPr>
        <w:t>总投资：</w:t>
      </w:r>
      <w:r>
        <w:rPr>
          <w:rFonts w:hint="eastAsia" w:ascii="Arial" w:hAnsi="Arial" w:eastAsia="宋体"/>
          <w:b w:val="0"/>
          <w:color w:val="000000"/>
          <w:sz w:val="28"/>
          <w:lang w:val="en-US" w:eastAsia="zh-CN"/>
        </w:rPr>
        <w:t>XXXX</w:t>
      </w:r>
      <w:r>
        <w:rPr>
          <w:rFonts w:ascii="Arial" w:hAnsi="Arial" w:eastAsia="宋体"/>
          <w:b w:val="0"/>
          <w:color w:val="000000"/>
          <w:sz w:val="28"/>
        </w:rPr>
        <w:t xml:space="preserve"> 万元（人民币）</w:t>
      </w:r>
    </w:p>
    <w:p w14:paraId="17A72FC1">
      <w:pPr>
        <w:spacing w:before="0" w:after="0" w:line="432" w:lineRule="auto"/>
        <w:jc w:val="center"/>
      </w:pPr>
      <w:r>
        <w:rPr>
          <w:rFonts w:ascii="Arial" w:hAnsi="Arial" w:eastAsia="宋体"/>
          <w:b w:val="0"/>
          <w:color w:val="000000"/>
          <w:sz w:val="28"/>
        </w:rPr>
        <w:t>编制单位：××（项目集成商）</w:t>
      </w:r>
    </w:p>
    <w:p w14:paraId="6BFF337D">
      <w:pPr>
        <w:spacing w:before="0" w:after="0" w:line="432" w:lineRule="auto"/>
        <w:jc w:val="center"/>
      </w:pPr>
      <w:r>
        <w:rPr>
          <w:rFonts w:ascii="Arial" w:hAnsi="Arial" w:eastAsia="宋体"/>
          <w:b w:val="0"/>
          <w:color w:val="000000"/>
          <w:sz w:val="28"/>
        </w:rPr>
        <w:t>编制日期：××年××月</w:t>
      </w:r>
    </w:p>
    <w:p w14:paraId="2CDDCB11">
      <w:pPr>
        <w:sectPr>
          <w:pgSz w:w="11906" w:h="16838"/>
          <w:pgMar w:top="1417" w:right="1417" w:bottom="1417" w:left="1417" w:header="720" w:footer="720" w:gutter="0"/>
          <w:cols w:space="720" w:num="1"/>
          <w:docGrid w:linePitch="360" w:charSpace="0"/>
        </w:sectPr>
      </w:pPr>
    </w:p>
    <w:p w14:paraId="16CAC588">
      <w:pPr>
        <w:spacing w:before="0" w:after="240" w:line="312" w:lineRule="auto"/>
        <w:jc w:val="center"/>
      </w:pPr>
      <w:r>
        <w:rPr>
          <w:rFonts w:ascii="Arial" w:hAnsi="Arial" w:eastAsia="黑体"/>
          <w:b/>
          <w:color w:val="000000"/>
          <w:sz w:val="32"/>
        </w:rPr>
        <w:t>目  录</w:t>
      </w:r>
    </w:p>
    <w:p w14:paraId="6CB4830C">
      <w:pPr>
        <w:spacing w:before="0" w:after="0" w:line="240" w:lineRule="auto"/>
      </w:pPr>
      <w:r>
        <w:fldChar w:fldCharType="begin"/>
      </w:r>
      <w:r>
        <w:instrText xml:space="preserve">TOC \o "1-2" \h \z \u</w:instrText>
      </w:r>
      <w:r>
        <w:fldChar w:fldCharType="separate"/>
      </w:r>
    </w:p>
    <w:p w14:paraId="54249E90">
      <w:pPr>
        <w:tabs>
          <w:tab w:val="right" w:leader="dot" w:pos="9071"/>
        </w:tabs>
        <w:spacing w:before="0" w:after="40" w:line="312" w:lineRule="auto"/>
      </w:pPr>
      <w:r>
        <w:rPr>
          <w:rFonts w:ascii="Arial" w:hAnsi="Arial" w:eastAsia="宋体"/>
          <w:b w:val="0"/>
          <w:color w:val="000000"/>
          <w:sz w:val="24"/>
        </w:rPr>
        <w:t>一、项目概况</w:t>
      </w:r>
      <w:r>
        <w:rPr>
          <w:rFonts w:ascii="Arial" w:hAnsi="Arial" w:eastAsia="宋体"/>
          <w:b w:val="0"/>
          <w:color w:val="000000"/>
          <w:sz w:val="24"/>
        </w:rPr>
        <w:tab/>
      </w:r>
      <w:r>
        <w:rPr>
          <w:rFonts w:ascii="Arial" w:hAnsi="Arial" w:eastAsia="宋体"/>
          <w:b w:val="0"/>
          <w:color w:val="000000"/>
          <w:sz w:val="24"/>
        </w:rPr>
        <w:t>1</w:t>
      </w:r>
    </w:p>
    <w:p w14:paraId="1004906C">
      <w:pPr>
        <w:tabs>
          <w:tab w:val="right" w:leader="dot" w:pos="9071"/>
        </w:tabs>
        <w:spacing w:before="0" w:after="40" w:line="312" w:lineRule="auto"/>
      </w:pPr>
      <w:r>
        <w:rPr>
          <w:rFonts w:ascii="Arial" w:hAnsi="Arial" w:eastAsia="宋体"/>
          <w:b w:val="0"/>
          <w:color w:val="000000"/>
          <w:sz w:val="24"/>
        </w:rPr>
        <w:t>二、建设背景与必要性</w:t>
      </w:r>
      <w:r>
        <w:rPr>
          <w:rFonts w:ascii="Arial" w:hAnsi="Arial" w:eastAsia="宋体"/>
          <w:b w:val="0"/>
          <w:color w:val="000000"/>
          <w:sz w:val="24"/>
        </w:rPr>
        <w:tab/>
      </w:r>
      <w:r>
        <w:rPr>
          <w:rFonts w:ascii="Arial" w:hAnsi="Arial" w:eastAsia="宋体"/>
          <w:b w:val="0"/>
          <w:color w:val="000000"/>
          <w:sz w:val="24"/>
        </w:rPr>
        <w:t>1</w:t>
      </w:r>
    </w:p>
    <w:p w14:paraId="485A0A91">
      <w:pPr>
        <w:tabs>
          <w:tab w:val="right" w:leader="dot" w:pos="9071"/>
        </w:tabs>
        <w:spacing w:before="0" w:after="40" w:line="312" w:lineRule="auto"/>
      </w:pPr>
      <w:r>
        <w:rPr>
          <w:rFonts w:ascii="Arial" w:hAnsi="Arial" w:eastAsia="宋体"/>
          <w:b w:val="0"/>
          <w:color w:val="000000"/>
          <w:sz w:val="24"/>
        </w:rPr>
        <w:t>三、现状痛点分析</w:t>
      </w:r>
      <w:r>
        <w:rPr>
          <w:rFonts w:ascii="Arial" w:hAnsi="Arial" w:eastAsia="宋体"/>
          <w:b w:val="0"/>
          <w:color w:val="000000"/>
          <w:sz w:val="24"/>
        </w:rPr>
        <w:tab/>
      </w:r>
      <w:r>
        <w:rPr>
          <w:rFonts w:ascii="Arial" w:hAnsi="Arial" w:eastAsia="宋体"/>
          <w:b w:val="0"/>
          <w:color w:val="000000"/>
          <w:sz w:val="24"/>
        </w:rPr>
        <w:t>2</w:t>
      </w:r>
    </w:p>
    <w:p w14:paraId="2C90A05C">
      <w:pPr>
        <w:tabs>
          <w:tab w:val="right" w:leader="dot" w:pos="9071"/>
        </w:tabs>
        <w:spacing w:before="0" w:after="40" w:line="312" w:lineRule="auto"/>
      </w:pPr>
      <w:r>
        <w:rPr>
          <w:rFonts w:ascii="Arial" w:hAnsi="Arial" w:eastAsia="宋体"/>
          <w:b w:val="0"/>
          <w:color w:val="000000"/>
          <w:sz w:val="24"/>
        </w:rPr>
        <w:t>四、总体建设目标</w:t>
      </w:r>
      <w:r>
        <w:rPr>
          <w:rFonts w:ascii="Arial" w:hAnsi="Arial" w:eastAsia="宋体"/>
          <w:b w:val="0"/>
          <w:color w:val="000000"/>
          <w:sz w:val="24"/>
        </w:rPr>
        <w:tab/>
      </w:r>
      <w:r>
        <w:rPr>
          <w:rFonts w:ascii="Arial" w:hAnsi="Arial" w:eastAsia="宋体"/>
          <w:b w:val="0"/>
          <w:color w:val="000000"/>
          <w:sz w:val="24"/>
        </w:rPr>
        <w:t>3</w:t>
      </w:r>
    </w:p>
    <w:p w14:paraId="70977845">
      <w:pPr>
        <w:tabs>
          <w:tab w:val="right" w:leader="dot" w:pos="9071"/>
        </w:tabs>
        <w:spacing w:before="0" w:after="40" w:line="312" w:lineRule="auto"/>
      </w:pPr>
      <w:r>
        <w:rPr>
          <w:rFonts w:ascii="Arial" w:hAnsi="Arial" w:eastAsia="宋体"/>
          <w:b w:val="0"/>
          <w:color w:val="000000"/>
          <w:sz w:val="24"/>
        </w:rPr>
        <w:t>五、主要建设内容</w:t>
      </w:r>
      <w:r>
        <w:rPr>
          <w:rFonts w:ascii="Arial" w:hAnsi="Arial" w:eastAsia="宋体"/>
          <w:b w:val="0"/>
          <w:color w:val="000000"/>
          <w:sz w:val="24"/>
        </w:rPr>
        <w:tab/>
      </w:r>
      <w:r>
        <w:rPr>
          <w:rFonts w:ascii="Arial" w:hAnsi="Arial" w:eastAsia="宋体"/>
          <w:b w:val="0"/>
          <w:color w:val="000000"/>
          <w:sz w:val="24"/>
        </w:rPr>
        <w:t>4</w:t>
      </w:r>
    </w:p>
    <w:p w14:paraId="6BB58366">
      <w:pPr>
        <w:tabs>
          <w:tab w:val="right" w:leader="dot" w:pos="9071"/>
        </w:tabs>
        <w:spacing w:before="0" w:after="40" w:line="312" w:lineRule="auto"/>
        <w:ind w:left="420"/>
      </w:pPr>
      <w:r>
        <w:rPr>
          <w:rFonts w:ascii="Arial" w:hAnsi="Arial" w:eastAsia="宋体"/>
          <w:b w:val="0"/>
          <w:color w:val="000000"/>
          <w:sz w:val="24"/>
        </w:rPr>
        <w:t>（一）软件平台</w:t>
      </w:r>
      <w:r>
        <w:rPr>
          <w:rFonts w:ascii="Arial" w:hAnsi="Arial" w:eastAsia="宋体"/>
          <w:b w:val="0"/>
          <w:color w:val="000000"/>
          <w:sz w:val="24"/>
        </w:rPr>
        <w:tab/>
      </w:r>
      <w:r>
        <w:rPr>
          <w:rFonts w:ascii="Arial" w:hAnsi="Arial" w:eastAsia="宋体"/>
          <w:b w:val="0"/>
          <w:color w:val="000000"/>
          <w:sz w:val="24"/>
        </w:rPr>
        <w:t>4</w:t>
      </w:r>
    </w:p>
    <w:p w14:paraId="0DB5D39E">
      <w:pPr>
        <w:tabs>
          <w:tab w:val="right" w:leader="dot" w:pos="9071"/>
        </w:tabs>
        <w:spacing w:before="0" w:after="40" w:line="312" w:lineRule="auto"/>
        <w:ind w:left="420"/>
      </w:pPr>
      <w:r>
        <w:rPr>
          <w:rFonts w:ascii="Arial" w:hAnsi="Arial" w:eastAsia="宋体"/>
          <w:b w:val="0"/>
          <w:color w:val="000000"/>
          <w:sz w:val="24"/>
        </w:rPr>
        <w:t>（二）硬件</w:t>
      </w:r>
      <w:r>
        <w:rPr>
          <w:rFonts w:ascii="Arial" w:hAnsi="Arial" w:eastAsia="宋体"/>
          <w:b w:val="0"/>
          <w:color w:val="000000"/>
          <w:sz w:val="24"/>
        </w:rPr>
        <w:tab/>
      </w:r>
      <w:r>
        <w:rPr>
          <w:rFonts w:ascii="Arial" w:hAnsi="Arial" w:eastAsia="宋体"/>
          <w:b w:val="0"/>
          <w:color w:val="000000"/>
          <w:sz w:val="24"/>
        </w:rPr>
        <w:t>7</w:t>
      </w:r>
    </w:p>
    <w:p w14:paraId="45C43AD0">
      <w:pPr>
        <w:tabs>
          <w:tab w:val="right" w:leader="dot" w:pos="9071"/>
        </w:tabs>
        <w:spacing w:before="0" w:after="40" w:line="312" w:lineRule="auto"/>
      </w:pPr>
      <w:r>
        <w:rPr>
          <w:rFonts w:ascii="Arial" w:hAnsi="Arial" w:eastAsia="宋体"/>
          <w:b w:val="0"/>
          <w:color w:val="000000"/>
          <w:sz w:val="24"/>
        </w:rPr>
        <w:t>六、系统建设架构</w:t>
      </w:r>
      <w:r>
        <w:rPr>
          <w:rFonts w:ascii="Arial" w:hAnsi="Arial" w:eastAsia="宋体"/>
          <w:b w:val="0"/>
          <w:color w:val="000000"/>
          <w:sz w:val="24"/>
        </w:rPr>
        <w:tab/>
      </w:r>
      <w:r>
        <w:rPr>
          <w:rFonts w:ascii="Arial" w:hAnsi="Arial" w:eastAsia="宋体"/>
          <w:b w:val="0"/>
          <w:color w:val="000000"/>
          <w:sz w:val="24"/>
        </w:rPr>
        <w:t>8</w:t>
      </w:r>
    </w:p>
    <w:p w14:paraId="71ECE58E">
      <w:pPr>
        <w:tabs>
          <w:tab w:val="right" w:leader="dot" w:pos="9071"/>
        </w:tabs>
        <w:spacing w:before="0" w:after="40" w:line="312" w:lineRule="auto"/>
        <w:ind w:left="420"/>
      </w:pPr>
      <w:r>
        <w:rPr>
          <w:rFonts w:ascii="Arial" w:hAnsi="Arial" w:eastAsia="宋体"/>
          <w:b w:val="0"/>
          <w:color w:val="000000"/>
          <w:sz w:val="24"/>
        </w:rPr>
        <w:t>（三）配套服务</w:t>
      </w:r>
      <w:r>
        <w:rPr>
          <w:rFonts w:ascii="Arial" w:hAnsi="Arial" w:eastAsia="宋体"/>
          <w:b w:val="0"/>
          <w:color w:val="000000"/>
          <w:sz w:val="24"/>
        </w:rPr>
        <w:tab/>
      </w:r>
      <w:r>
        <w:rPr>
          <w:rFonts w:ascii="Arial" w:hAnsi="Arial" w:eastAsia="宋体"/>
          <w:b w:val="0"/>
          <w:color w:val="000000"/>
          <w:sz w:val="24"/>
        </w:rPr>
        <w:t>7</w:t>
      </w:r>
    </w:p>
    <w:p w14:paraId="579FD695">
      <w:pPr>
        <w:tabs>
          <w:tab w:val="right" w:leader="dot" w:pos="9071"/>
        </w:tabs>
        <w:spacing w:before="0" w:after="40" w:line="312" w:lineRule="auto"/>
      </w:pPr>
      <w:r>
        <w:rPr>
          <w:rFonts w:ascii="Arial" w:hAnsi="Arial" w:eastAsia="宋体"/>
          <w:b w:val="0"/>
          <w:color w:val="000000"/>
          <w:sz w:val="24"/>
        </w:rPr>
        <w:t>七、系统效果图</w:t>
      </w:r>
      <w:r>
        <w:rPr>
          <w:rFonts w:ascii="Arial" w:hAnsi="Arial" w:eastAsia="宋体"/>
          <w:b w:val="0"/>
          <w:color w:val="000000"/>
          <w:sz w:val="24"/>
        </w:rPr>
        <w:tab/>
      </w:r>
      <w:r>
        <w:rPr>
          <w:rFonts w:ascii="Arial" w:hAnsi="Arial" w:eastAsia="宋体"/>
          <w:b w:val="0"/>
          <w:color w:val="000000"/>
          <w:sz w:val="24"/>
        </w:rPr>
        <w:t>9</w:t>
      </w:r>
    </w:p>
    <w:p w14:paraId="632720C6">
      <w:pPr>
        <w:tabs>
          <w:tab w:val="right" w:leader="dot" w:pos="9071"/>
        </w:tabs>
        <w:spacing w:before="0" w:after="40" w:line="312" w:lineRule="auto"/>
      </w:pPr>
      <w:r>
        <w:rPr>
          <w:rFonts w:ascii="Arial" w:hAnsi="Arial" w:eastAsia="宋体"/>
          <w:b w:val="0"/>
          <w:color w:val="000000"/>
          <w:sz w:val="24"/>
        </w:rPr>
        <w:t>八、实施计划</w:t>
      </w:r>
      <w:r>
        <w:rPr>
          <w:rFonts w:ascii="Arial" w:hAnsi="Arial" w:eastAsia="宋体"/>
          <w:b w:val="0"/>
          <w:color w:val="000000"/>
          <w:sz w:val="24"/>
        </w:rPr>
        <w:tab/>
      </w:r>
      <w:r>
        <w:rPr>
          <w:rFonts w:ascii="Arial" w:hAnsi="Arial" w:eastAsia="宋体"/>
          <w:b w:val="0"/>
          <w:color w:val="000000"/>
          <w:sz w:val="24"/>
        </w:rPr>
        <w:t>12</w:t>
      </w:r>
    </w:p>
    <w:p w14:paraId="0C2353F1">
      <w:pPr>
        <w:tabs>
          <w:tab w:val="right" w:leader="dot" w:pos="9071"/>
        </w:tabs>
        <w:spacing w:before="0" w:after="40" w:line="312" w:lineRule="auto"/>
      </w:pPr>
      <w:r>
        <w:rPr>
          <w:rFonts w:ascii="Arial" w:hAnsi="Arial" w:eastAsia="宋体"/>
          <w:b w:val="0"/>
          <w:color w:val="000000"/>
          <w:sz w:val="24"/>
        </w:rPr>
        <w:t>九、建设条件</w:t>
      </w:r>
      <w:r>
        <w:rPr>
          <w:rFonts w:ascii="Arial" w:hAnsi="Arial" w:eastAsia="宋体"/>
          <w:b w:val="0"/>
          <w:color w:val="000000"/>
          <w:sz w:val="24"/>
        </w:rPr>
        <w:tab/>
      </w:r>
      <w:r>
        <w:rPr>
          <w:rFonts w:ascii="Arial" w:hAnsi="Arial" w:eastAsia="宋体"/>
          <w:b w:val="0"/>
          <w:color w:val="000000"/>
          <w:sz w:val="24"/>
        </w:rPr>
        <w:t>12</w:t>
      </w:r>
    </w:p>
    <w:p w14:paraId="03A17382">
      <w:pPr>
        <w:tabs>
          <w:tab w:val="right" w:leader="dot" w:pos="9071"/>
        </w:tabs>
        <w:spacing w:before="0" w:after="40" w:line="312" w:lineRule="auto"/>
      </w:pPr>
      <w:r>
        <w:rPr>
          <w:rFonts w:ascii="Arial" w:hAnsi="Arial" w:eastAsia="宋体"/>
          <w:b w:val="0"/>
          <w:color w:val="000000"/>
          <w:sz w:val="24"/>
        </w:rPr>
        <w:t>十、投资估算及资金来源</w:t>
      </w:r>
      <w:r>
        <w:rPr>
          <w:rFonts w:ascii="Arial" w:hAnsi="Arial" w:eastAsia="宋体"/>
          <w:b w:val="0"/>
          <w:color w:val="000000"/>
          <w:sz w:val="24"/>
        </w:rPr>
        <w:tab/>
      </w:r>
      <w:r>
        <w:rPr>
          <w:rFonts w:ascii="Arial" w:hAnsi="Arial" w:eastAsia="宋体"/>
          <w:b w:val="0"/>
          <w:color w:val="000000"/>
          <w:sz w:val="24"/>
        </w:rPr>
        <w:t>13</w:t>
      </w:r>
    </w:p>
    <w:p w14:paraId="63CB5F58">
      <w:pPr>
        <w:tabs>
          <w:tab w:val="right" w:leader="dot" w:pos="9071"/>
        </w:tabs>
        <w:spacing w:before="0" w:after="40" w:line="312" w:lineRule="auto"/>
      </w:pPr>
      <w:r>
        <w:rPr>
          <w:rFonts w:ascii="Arial" w:hAnsi="Arial" w:eastAsia="宋体"/>
          <w:b w:val="0"/>
          <w:color w:val="000000"/>
          <w:sz w:val="24"/>
        </w:rPr>
        <w:t>十一、业主需求符合性对标</w:t>
      </w:r>
      <w:r>
        <w:rPr>
          <w:rFonts w:ascii="Arial" w:hAnsi="Arial" w:eastAsia="宋体"/>
          <w:b w:val="0"/>
          <w:color w:val="000000"/>
          <w:sz w:val="24"/>
        </w:rPr>
        <w:tab/>
      </w:r>
      <w:r>
        <w:rPr>
          <w:rFonts w:ascii="Arial" w:hAnsi="Arial" w:eastAsia="宋体"/>
          <w:b w:val="0"/>
          <w:color w:val="000000"/>
          <w:sz w:val="24"/>
        </w:rPr>
        <w:t>13</w:t>
      </w:r>
    </w:p>
    <w:p w14:paraId="7AE55F1F">
      <w:pPr>
        <w:tabs>
          <w:tab w:val="right" w:leader="dot" w:pos="9071"/>
        </w:tabs>
        <w:spacing w:before="0" w:after="40" w:line="312" w:lineRule="auto"/>
      </w:pPr>
      <w:r>
        <w:rPr>
          <w:rFonts w:ascii="Arial" w:hAnsi="Arial" w:eastAsia="宋体"/>
          <w:b w:val="0"/>
          <w:color w:val="000000"/>
          <w:sz w:val="24"/>
        </w:rPr>
        <w:t>十二、效益分析</w:t>
      </w:r>
      <w:r>
        <w:rPr>
          <w:rFonts w:ascii="Arial" w:hAnsi="Arial" w:eastAsia="宋体"/>
          <w:b w:val="0"/>
          <w:color w:val="000000"/>
          <w:sz w:val="24"/>
        </w:rPr>
        <w:tab/>
      </w:r>
      <w:r>
        <w:rPr>
          <w:rFonts w:ascii="Arial" w:hAnsi="Arial" w:eastAsia="宋体"/>
          <w:b w:val="0"/>
          <w:color w:val="000000"/>
          <w:sz w:val="24"/>
        </w:rPr>
        <w:t>16</w:t>
      </w:r>
    </w:p>
    <w:p w14:paraId="72122C38">
      <w:pPr>
        <w:tabs>
          <w:tab w:val="right" w:leader="dot" w:pos="9071"/>
        </w:tabs>
        <w:spacing w:before="0" w:after="40" w:line="312" w:lineRule="auto"/>
        <w:ind w:left="420"/>
      </w:pPr>
      <w:r>
        <w:rPr>
          <w:rFonts w:ascii="Arial" w:hAnsi="Arial" w:eastAsia="宋体"/>
          <w:b w:val="0"/>
          <w:color w:val="000000"/>
          <w:sz w:val="24"/>
        </w:rPr>
        <w:t>（一）经济效益</w:t>
      </w:r>
      <w:r>
        <w:rPr>
          <w:rFonts w:ascii="Arial" w:hAnsi="Arial" w:eastAsia="宋体"/>
          <w:b w:val="0"/>
          <w:color w:val="000000"/>
          <w:sz w:val="24"/>
        </w:rPr>
        <w:tab/>
      </w:r>
      <w:r>
        <w:rPr>
          <w:rFonts w:ascii="Arial" w:hAnsi="Arial" w:eastAsia="宋体"/>
          <w:b w:val="0"/>
          <w:color w:val="000000"/>
          <w:sz w:val="24"/>
        </w:rPr>
        <w:t>16</w:t>
      </w:r>
    </w:p>
    <w:p w14:paraId="566B9CFB">
      <w:pPr>
        <w:tabs>
          <w:tab w:val="right" w:leader="dot" w:pos="9071"/>
        </w:tabs>
        <w:spacing w:before="0" w:after="40" w:line="312" w:lineRule="auto"/>
        <w:ind w:left="420"/>
      </w:pPr>
      <w:r>
        <w:rPr>
          <w:rFonts w:ascii="Arial" w:hAnsi="Arial" w:eastAsia="宋体"/>
          <w:b w:val="0"/>
          <w:color w:val="000000"/>
          <w:sz w:val="24"/>
        </w:rPr>
        <w:t>（二）社会与管理效益</w:t>
      </w:r>
      <w:r>
        <w:rPr>
          <w:rFonts w:ascii="Arial" w:hAnsi="Arial" w:eastAsia="宋体"/>
          <w:b w:val="0"/>
          <w:color w:val="000000"/>
          <w:sz w:val="24"/>
        </w:rPr>
        <w:tab/>
      </w:r>
      <w:r>
        <w:rPr>
          <w:rFonts w:ascii="Arial" w:hAnsi="Arial" w:eastAsia="宋体"/>
          <w:b w:val="0"/>
          <w:color w:val="000000"/>
          <w:sz w:val="24"/>
        </w:rPr>
        <w:t>16</w:t>
      </w:r>
    </w:p>
    <w:p w14:paraId="4674410E">
      <w:pPr>
        <w:tabs>
          <w:tab w:val="right" w:leader="dot" w:pos="9071"/>
        </w:tabs>
        <w:spacing w:before="0" w:after="40" w:line="312" w:lineRule="auto"/>
      </w:pPr>
      <w:r>
        <w:rPr>
          <w:rFonts w:ascii="Arial" w:hAnsi="Arial" w:eastAsia="宋体"/>
          <w:b w:val="0"/>
          <w:color w:val="000000"/>
          <w:sz w:val="24"/>
        </w:rPr>
        <w:t>十三、风险分析与应对措施</w:t>
      </w:r>
      <w:r>
        <w:rPr>
          <w:rFonts w:ascii="Arial" w:hAnsi="Arial" w:eastAsia="宋体"/>
          <w:b w:val="0"/>
          <w:color w:val="000000"/>
          <w:sz w:val="24"/>
        </w:rPr>
        <w:tab/>
      </w:r>
      <w:r>
        <w:rPr>
          <w:rFonts w:ascii="Arial" w:hAnsi="Arial" w:eastAsia="宋体"/>
          <w:b w:val="0"/>
          <w:color w:val="000000"/>
          <w:sz w:val="24"/>
        </w:rPr>
        <w:t>17</w:t>
      </w:r>
    </w:p>
    <w:p w14:paraId="38275A49">
      <w:pPr>
        <w:tabs>
          <w:tab w:val="right" w:leader="dot" w:pos="9071"/>
        </w:tabs>
        <w:spacing w:before="0" w:after="40" w:line="312" w:lineRule="auto"/>
      </w:pPr>
      <w:r>
        <w:rPr>
          <w:rFonts w:ascii="Arial" w:hAnsi="Arial" w:eastAsia="宋体"/>
          <w:b w:val="0"/>
          <w:color w:val="000000"/>
          <w:sz w:val="24"/>
        </w:rPr>
        <w:t>十四、结论与建议</w:t>
      </w:r>
      <w:r>
        <w:rPr>
          <w:rFonts w:ascii="Arial" w:hAnsi="Arial" w:eastAsia="宋体"/>
          <w:b w:val="0"/>
          <w:color w:val="000000"/>
          <w:sz w:val="24"/>
        </w:rPr>
        <w:tab/>
      </w:r>
      <w:r>
        <w:rPr>
          <w:rFonts w:ascii="Arial" w:hAnsi="Arial" w:eastAsia="宋体"/>
          <w:b w:val="0"/>
          <w:color w:val="000000"/>
          <w:sz w:val="24"/>
        </w:rPr>
        <w:t>17</w:t>
      </w:r>
    </w:p>
    <w:p w14:paraId="32BFDAAA">
      <w:pPr>
        <w:spacing w:before="0" w:after="0" w:line="240" w:lineRule="auto"/>
      </w:pPr>
      <w:r>
        <w:fldChar w:fldCharType="end"/>
      </w:r>
    </w:p>
    <w:p w14:paraId="1BA3141B">
      <w:pPr>
        <w:sectPr>
          <w:pgSz w:w="11906" w:h="16838"/>
          <w:pgMar w:top="1417" w:right="1417" w:bottom="1417" w:left="1417" w:header="720" w:footer="720" w:gutter="0"/>
          <w:cols w:space="720" w:num="1"/>
          <w:docGrid w:linePitch="360" w:charSpace="0"/>
        </w:sectPr>
      </w:pPr>
    </w:p>
    <w:p w14:paraId="1401794D">
      <w:pPr>
        <w:pStyle w:val="3"/>
        <w:spacing w:before="280" w:after="120" w:line="312" w:lineRule="auto"/>
        <w:jc w:val="left"/>
      </w:pPr>
      <w:r>
        <w:rPr>
          <w:rFonts w:ascii="Arial" w:hAnsi="Arial" w:eastAsia="黑体"/>
          <w:b/>
          <w:color w:val="000000"/>
          <w:sz w:val="32"/>
        </w:rPr>
        <w:t>一、项目概况</w:t>
      </w:r>
    </w:p>
    <w:p w14:paraId="6D3DA537">
      <w:pPr>
        <w:spacing w:before="0" w:after="0" w:line="360" w:lineRule="auto"/>
        <w:ind w:firstLine="480" w:firstLineChars="200"/>
        <w:jc w:val="both"/>
      </w:pPr>
      <w:r>
        <w:rPr>
          <w:rFonts w:ascii="Arial" w:hAnsi="Arial" w:eastAsia="宋体"/>
          <w:b w:val="0"/>
          <w:color w:val="000000"/>
          <w:sz w:val="24"/>
        </w:rPr>
        <w:t xml:space="preserve">本项目为槟城国际机场（PIA）数字导览与交互式终端集成平台建设项目，旨在为机场构建一套面向旅客的数字化导览生态。项目在马来西亚机场控股集团（MAHB）现有 </w:t>
      </w:r>
      <w:r>
        <w:rPr>
          <w:rFonts w:ascii="Arial" w:hAnsi="Arial" w:eastAsia="宋体"/>
          <w:b/>
          <w:color w:val="000000"/>
          <w:sz w:val="21"/>
        </w:rPr>
        <w:t>M</w:t>
      </w:r>
      <w:r>
        <w:rPr>
          <w:rFonts w:hint="eastAsia" w:ascii="Arial" w:hAnsi="Arial" w:eastAsia="宋体"/>
          <w:b/>
          <w:color w:val="000000"/>
          <w:sz w:val="21"/>
          <w:lang w:val="en-US" w:eastAsia="zh-CN"/>
        </w:rPr>
        <w:t>yA</w:t>
      </w:r>
      <w:r>
        <w:rPr>
          <w:rFonts w:ascii="Arial" w:hAnsi="Arial" w:eastAsia="宋体"/>
          <w:b/>
          <w:color w:val="000000"/>
          <w:sz w:val="21"/>
        </w:rPr>
        <w:t>ir</w:t>
      </w:r>
      <w:r>
        <w:rPr>
          <w:rFonts w:hint="eastAsia" w:ascii="Arial" w:hAnsi="Arial" w:eastAsia="宋体"/>
          <w:b/>
          <w:color w:val="000000"/>
          <w:sz w:val="21"/>
          <w:lang w:val="en-US" w:eastAsia="zh-CN"/>
        </w:rPr>
        <w:t>P</w:t>
      </w:r>
      <w:r>
        <w:rPr>
          <w:rFonts w:ascii="Arial" w:hAnsi="Arial" w:eastAsia="宋体"/>
          <w:b/>
          <w:color w:val="000000"/>
          <w:sz w:val="21"/>
        </w:rPr>
        <w:t>orts</w:t>
      </w:r>
      <w:r>
        <w:rPr>
          <w:rFonts w:ascii="Arial" w:hAnsi="Arial" w:eastAsia="宋体"/>
          <w:b w:val="0"/>
          <w:color w:val="000000"/>
          <w:sz w:val="24"/>
        </w:rPr>
        <w:t>移动应用基础上进行本地化增强，集成十台交互式自助导览终端、集中内容管理平台、室内导航引擎、航班与行李实时信息集成以及终端管理与监控平台，通过软件、硬件与运维一体化交付，实现旅客体验提升、商业增收、运营效率优化与数据沉淀能力建设。项目立足“以旅客为中心”的服务理念，兼顾旅客、机场运营方与商业租户多方利益，是机场数字化转型中具有标志性意义的示范工程。</w:t>
      </w:r>
    </w:p>
    <w:p w14:paraId="6D1D80DA">
      <w:pPr>
        <w:spacing w:before="0" w:after="0" w:line="360" w:lineRule="auto"/>
        <w:ind w:firstLine="480" w:firstLineChars="200"/>
        <w:jc w:val="both"/>
      </w:pPr>
      <w:r>
        <w:rPr>
          <w:rFonts w:ascii="Arial" w:hAnsi="Arial" w:eastAsia="宋体"/>
          <w:b w:val="0"/>
          <w:color w:val="000000"/>
          <w:sz w:val="24"/>
        </w:rPr>
        <w:t xml:space="preserve">项目主要建设内容包括三大板块：一是软件平台，涵盖 </w:t>
      </w:r>
      <w:r>
        <w:rPr>
          <w:rFonts w:ascii="Arial" w:hAnsi="Arial" w:eastAsia="宋体"/>
          <w:b/>
          <w:color w:val="000000"/>
          <w:sz w:val="21"/>
        </w:rPr>
        <w:t>M</w:t>
      </w:r>
      <w:r>
        <w:rPr>
          <w:rFonts w:hint="eastAsia" w:ascii="Arial" w:hAnsi="Arial" w:eastAsia="宋体"/>
          <w:b/>
          <w:color w:val="000000"/>
          <w:sz w:val="21"/>
          <w:lang w:val="en-US" w:eastAsia="zh-CN"/>
        </w:rPr>
        <w:t>yA</w:t>
      </w:r>
      <w:r>
        <w:rPr>
          <w:rFonts w:ascii="Arial" w:hAnsi="Arial" w:eastAsia="宋体"/>
          <w:b/>
          <w:color w:val="000000"/>
          <w:sz w:val="21"/>
        </w:rPr>
        <w:t>ir</w:t>
      </w:r>
      <w:r>
        <w:rPr>
          <w:rFonts w:hint="eastAsia" w:ascii="Arial" w:hAnsi="Arial" w:eastAsia="宋体"/>
          <w:b/>
          <w:color w:val="000000"/>
          <w:sz w:val="21"/>
          <w:lang w:val="en-US" w:eastAsia="zh-CN"/>
        </w:rPr>
        <w:t>P</w:t>
      </w:r>
      <w:r>
        <w:rPr>
          <w:rFonts w:ascii="Arial" w:hAnsi="Arial" w:eastAsia="宋体"/>
          <w:b/>
          <w:color w:val="000000"/>
          <w:sz w:val="21"/>
        </w:rPr>
        <w:t>orts</w:t>
      </w:r>
      <w:r>
        <w:rPr>
          <w:rFonts w:ascii="Arial" w:hAnsi="Arial" w:eastAsia="宋体"/>
          <w:b w:val="0"/>
          <w:color w:val="000000"/>
          <w:sz w:val="24"/>
        </w:rPr>
        <w:t>本地化扩展、导航引擎与地图服务、集中内容管理、数据集成与中间层、终端管理与监控、分析与报表模块；二是硬件，包括十台五十英寸以上四开（4K）触摸终端、终端供电与不间断电源、机房服务器及网络与电力配套；三是配套服务，包括前期调研与用户体验设计、系统集成与测试、现场部署与试运行支持、首年运维托管及培训与知识转移。</w:t>
      </w:r>
    </w:p>
    <w:p w14:paraId="6C8925B3">
      <w:pPr>
        <w:spacing w:before="0" w:after="0" w:line="360" w:lineRule="auto"/>
        <w:ind w:firstLine="480" w:firstLineChars="200"/>
        <w:jc w:val="both"/>
      </w:pPr>
      <w:r>
        <w:rPr>
          <w:rFonts w:ascii="Arial" w:hAnsi="Arial" w:eastAsia="宋体"/>
          <w:b w:val="0"/>
          <w:color w:val="000000"/>
          <w:sz w:val="24"/>
        </w:rPr>
        <w:t>项目建设周期为十八个月，计划总投资</w:t>
      </w:r>
      <w:r>
        <w:rPr>
          <w:rFonts w:hint="eastAsia" w:ascii="Arial" w:hAnsi="Arial" w:eastAsia="宋体"/>
          <w:b w:val="0"/>
          <w:color w:val="000000"/>
          <w:sz w:val="24"/>
          <w:lang w:val="en-US" w:eastAsia="zh-CN"/>
        </w:rPr>
        <w:t>XXXX</w:t>
      </w:r>
      <w:r>
        <w:rPr>
          <w:rFonts w:ascii="Arial" w:hAnsi="Arial" w:eastAsia="宋体"/>
          <w:b w:val="0"/>
          <w:color w:val="000000"/>
          <w:sz w:val="24"/>
        </w:rPr>
        <w:t>万元（人民币，下同）。项目建成后，将形成旅客自助导航、实时信息触达、商业引流与运营数据沉淀的完整闭环，为 PIA 提升区域航空枢纽竞争力提供坚实的数字化支撑。</w:t>
      </w:r>
    </w:p>
    <w:p w14:paraId="68FC07AD">
      <w:pPr>
        <w:pStyle w:val="3"/>
        <w:spacing w:before="280" w:after="120" w:line="312" w:lineRule="auto"/>
        <w:jc w:val="left"/>
      </w:pPr>
      <w:r>
        <w:rPr>
          <w:rFonts w:ascii="Arial" w:hAnsi="Arial" w:eastAsia="黑体"/>
          <w:b/>
          <w:color w:val="000000"/>
          <w:sz w:val="32"/>
        </w:rPr>
        <w:t>二、建设背景与必要性</w:t>
      </w:r>
    </w:p>
    <w:p w14:paraId="4581F3C4">
      <w:pPr>
        <w:spacing w:before="0" w:after="0" w:line="360" w:lineRule="auto"/>
        <w:ind w:firstLine="480" w:firstLineChars="200"/>
        <w:jc w:val="both"/>
      </w:pPr>
      <w:r>
        <w:rPr>
          <w:rFonts w:ascii="Arial" w:hAnsi="Arial" w:eastAsia="宋体"/>
          <w:b w:val="0"/>
          <w:color w:val="000000"/>
          <w:sz w:val="24"/>
        </w:rPr>
        <w:t>机场数字化转型已从“锦上添花”逐步转变为支撑高质量发展的“发展必需”。对 PIA 而言，建设数字导览平台兼具旅客服务、集团战略、运营效率与商业增长四重必要性，具体体现在以下四个方面。</w:t>
      </w:r>
    </w:p>
    <w:p w14:paraId="1DAACAC3">
      <w:pPr>
        <w:spacing w:before="0" w:after="0" w:line="360" w:lineRule="auto"/>
        <w:ind w:firstLine="480" w:firstLineChars="200"/>
        <w:jc w:val="both"/>
      </w:pPr>
      <w:r>
        <w:rPr>
          <w:rFonts w:ascii="Arial" w:hAnsi="Arial" w:eastAsia="宋体"/>
          <w:b w:val="0"/>
          <w:color w:val="000000"/>
          <w:sz w:val="24"/>
        </w:rPr>
        <w:t>一是旅客体验升级的迫切需求。随着旅客吞吐量与国际旅客占比持续上升，旅客对实时航班信息、便捷室内导航与无缝商业服务的期望不断提高。传统静态指示牌与人工咨询模式在高峰时段难以满足需求，旅客在寻找登机口、转机衔接、行李提取等环节的体验仍有明显提升空间。建设覆盖旅客全流程的数字化导览平台，是顺应旅客行为数字化趋势、提升机场服务品质的必然选择。</w:t>
      </w:r>
    </w:p>
    <w:p w14:paraId="7EE727EC">
      <w:pPr>
        <w:spacing w:before="0" w:after="0" w:line="360" w:lineRule="auto"/>
        <w:ind w:firstLine="480" w:firstLineChars="200"/>
        <w:jc w:val="both"/>
      </w:pPr>
      <w:r>
        <w:rPr>
          <w:rFonts w:ascii="Arial" w:hAnsi="Arial" w:eastAsia="宋体"/>
          <w:b w:val="0"/>
          <w:color w:val="000000"/>
          <w:sz w:val="24"/>
        </w:rPr>
        <w:t xml:space="preserve">二是 MAHB 生态融合的客观要求。PIA 作为 MAHB 体系内的机场，需要与集团统一旅客服务平台 </w:t>
      </w:r>
      <w:r>
        <w:rPr>
          <w:rFonts w:hint="eastAsia" w:ascii="Arial" w:hAnsi="Arial" w:eastAsia="宋体"/>
          <w:b w:val="0"/>
          <w:color w:val="000000"/>
          <w:sz w:val="24"/>
          <w:lang w:eastAsia="zh-CN"/>
        </w:rPr>
        <w:t>MyAirPorts</w:t>
      </w:r>
      <w:r>
        <w:rPr>
          <w:rFonts w:ascii="Arial" w:hAnsi="Arial" w:eastAsia="宋体"/>
          <w:b w:val="0"/>
          <w:color w:val="000000"/>
          <w:sz w:val="24"/>
        </w:rPr>
        <w:t xml:space="preserve">无缝衔接，保证旅客在不同机场间获得一致的服务体验，并实现运营数据的共享与沉淀。通过本项目对 </w:t>
      </w:r>
      <w:r>
        <w:rPr>
          <w:rFonts w:hint="eastAsia" w:ascii="Arial" w:hAnsi="Arial" w:eastAsia="宋体"/>
          <w:b w:val="0"/>
          <w:color w:val="000000"/>
          <w:sz w:val="24"/>
          <w:lang w:eastAsia="zh-CN"/>
        </w:rPr>
        <w:t>MyAirPorts</w:t>
      </w:r>
      <w:r>
        <w:rPr>
          <w:rFonts w:ascii="Arial" w:hAnsi="Arial" w:eastAsia="宋体"/>
          <w:b w:val="0"/>
          <w:color w:val="000000"/>
          <w:sz w:val="24"/>
        </w:rPr>
        <w:t>进行本地化增强，能够推动集团数字化战略在 PIA 落地，为后续跨机场复制推广奠定基础。</w:t>
      </w:r>
    </w:p>
    <w:p w14:paraId="5D15FBE3">
      <w:pPr>
        <w:spacing w:before="0" w:after="0" w:line="360" w:lineRule="auto"/>
        <w:ind w:firstLine="480" w:firstLineChars="200"/>
        <w:jc w:val="both"/>
      </w:pPr>
      <w:r>
        <w:rPr>
          <w:rFonts w:ascii="Arial" w:hAnsi="Arial" w:eastAsia="宋体"/>
          <w:b w:val="0"/>
          <w:color w:val="000000"/>
          <w:sz w:val="24"/>
        </w:rPr>
        <w:t>三是运营效率与安全合规的现实需要。通过排队管理、行李追踪与航班数据实时集成，可有效支撑地面运营调度、缓解旅客拥堵、提升应急响应能力；同时系统须满足 MAHB 网络与端点安全规范，包括终端防护（EPP/EDR）等要求，确保机场关键信息基础设施安全合规运行。</w:t>
      </w:r>
    </w:p>
    <w:p w14:paraId="5235457E">
      <w:pPr>
        <w:spacing w:before="0" w:after="0" w:line="360" w:lineRule="auto"/>
        <w:ind w:firstLine="480" w:firstLineChars="200"/>
        <w:jc w:val="both"/>
      </w:pPr>
      <w:r>
        <w:rPr>
          <w:rFonts w:ascii="Arial" w:hAnsi="Arial" w:eastAsia="宋体"/>
          <w:b w:val="0"/>
          <w:color w:val="000000"/>
          <w:sz w:val="24"/>
        </w:rPr>
        <w:t>四是商业价值驱动的内在动力。数字化目录、在线订购与定向推送将直接促进航站商业转化，提升商户曝光率与客单价，形成机场非航空收入的可持续增长点。基于以上分析，建设集成式数字导览平台，已成为提升旅客体验、保障运营效率与创造商业价值的必要举措。</w:t>
      </w:r>
    </w:p>
    <w:p w14:paraId="27CAEF25">
      <w:pPr>
        <w:pStyle w:val="3"/>
        <w:spacing w:before="280" w:after="120" w:line="312" w:lineRule="auto"/>
        <w:jc w:val="left"/>
      </w:pPr>
      <w:r>
        <w:rPr>
          <w:rFonts w:ascii="Arial" w:hAnsi="Arial" w:eastAsia="黑体"/>
          <w:b/>
          <w:color w:val="000000"/>
          <w:sz w:val="32"/>
        </w:rPr>
        <w:t>三、现状痛点分析</w:t>
      </w:r>
    </w:p>
    <w:p w14:paraId="6E06245D">
      <w:pPr>
        <w:spacing w:before="0" w:after="0" w:line="360" w:lineRule="auto"/>
        <w:ind w:firstLine="480" w:firstLineChars="200"/>
        <w:jc w:val="both"/>
      </w:pPr>
      <w:r>
        <w:rPr>
          <w:rFonts w:ascii="Arial" w:hAnsi="Arial" w:eastAsia="宋体"/>
          <w:b w:val="0"/>
          <w:color w:val="000000"/>
          <w:sz w:val="24"/>
        </w:rPr>
        <w:t>结合前期调研与现场勘察，当前机场在旅客导览与数字化服务方面主要存在以下六个方面的短板与痛点，直接影响旅客体验、运营效率与商业收益。</w:t>
      </w:r>
    </w:p>
    <w:p w14:paraId="7A183885">
      <w:pPr>
        <w:spacing w:before="0" w:after="0" w:line="360" w:lineRule="auto"/>
        <w:ind w:firstLine="480" w:firstLineChars="200"/>
        <w:jc w:val="both"/>
      </w:pPr>
      <w:r>
        <w:rPr>
          <w:rFonts w:ascii="Arial" w:hAnsi="Arial" w:eastAsia="宋体"/>
          <w:b w:val="0"/>
          <w:color w:val="000000"/>
          <w:sz w:val="24"/>
        </w:rPr>
        <w:t xml:space="preserve">一是信息孤岛问题突出。现有 </w:t>
      </w:r>
      <w:r>
        <w:rPr>
          <w:rFonts w:hint="eastAsia" w:ascii="Arial" w:hAnsi="Arial" w:eastAsia="宋体"/>
          <w:b w:val="0"/>
          <w:color w:val="000000"/>
          <w:sz w:val="24"/>
          <w:lang w:eastAsia="zh-CN"/>
        </w:rPr>
        <w:t>MyAirPorts</w:t>
      </w:r>
      <w:r>
        <w:rPr>
          <w:rFonts w:ascii="Arial" w:hAnsi="Arial" w:eastAsia="宋体"/>
          <w:b w:val="0"/>
          <w:color w:val="000000"/>
          <w:sz w:val="24"/>
        </w:rPr>
        <w:t>对 PIA 的本地化支持不足，航班、行李、排队等信息分散在不同系统，旅客难以实时、准确地获取所需信息，信息触达的及时性与准确性不足。</w:t>
      </w:r>
    </w:p>
    <w:p w14:paraId="473759A0">
      <w:pPr>
        <w:spacing w:before="0" w:after="0" w:line="360" w:lineRule="auto"/>
        <w:ind w:firstLine="480" w:firstLineChars="200"/>
        <w:jc w:val="both"/>
      </w:pPr>
      <w:r>
        <w:rPr>
          <w:rFonts w:ascii="Arial" w:hAnsi="Arial" w:eastAsia="宋体"/>
          <w:b w:val="0"/>
          <w:color w:val="000000"/>
          <w:sz w:val="24"/>
        </w:rPr>
        <w:t>二是室内导航能力缺失。航站楼内缺乏多楼层、多功能的室内导航能力，尤其在转机衔接、登机口变更等关键场景中引导不足，旅客迷失方向与误机风险增加，地面服务压力随之上升。</w:t>
      </w:r>
    </w:p>
    <w:p w14:paraId="13E14D45">
      <w:pPr>
        <w:spacing w:before="0" w:after="0" w:line="360" w:lineRule="auto"/>
        <w:ind w:firstLine="480" w:firstLineChars="200"/>
        <w:jc w:val="both"/>
      </w:pPr>
      <w:r>
        <w:rPr>
          <w:rFonts w:ascii="Arial" w:hAnsi="Arial" w:eastAsia="宋体"/>
          <w:b w:val="0"/>
          <w:color w:val="000000"/>
          <w:sz w:val="24"/>
        </w:rPr>
        <w:t>三是物理导览设施短板明显。公共信息终端数量不足、覆盖不全，现有自助终端多为静态信息展示，缺乏互动交互与二维码续接移动端能力，与旅客移动端使用习惯脱节。</w:t>
      </w:r>
    </w:p>
    <w:p w14:paraId="12A10DC2">
      <w:pPr>
        <w:spacing w:before="0" w:after="0" w:line="360" w:lineRule="auto"/>
        <w:ind w:firstLine="480" w:firstLineChars="200"/>
        <w:jc w:val="both"/>
      </w:pPr>
      <w:r>
        <w:rPr>
          <w:rFonts w:ascii="Arial" w:hAnsi="Arial" w:eastAsia="宋体"/>
          <w:b w:val="0"/>
          <w:color w:val="000000"/>
          <w:sz w:val="24"/>
        </w:rPr>
        <w:t>四是商业曝光与转化效率低。租户与免税品在数字平台中的可见性不足，缺乏在线订购与个性化营销机制，航站商业价值未被充分挖掘，制约非航空收入增长。</w:t>
      </w:r>
    </w:p>
    <w:p w14:paraId="62FDD7B0">
      <w:pPr>
        <w:spacing w:before="0" w:after="0" w:line="360" w:lineRule="auto"/>
        <w:ind w:firstLine="480" w:firstLineChars="200"/>
        <w:jc w:val="both"/>
      </w:pPr>
      <w:r>
        <w:rPr>
          <w:rFonts w:ascii="Arial" w:hAnsi="Arial" w:eastAsia="宋体"/>
          <w:b w:val="0"/>
          <w:color w:val="000000"/>
          <w:sz w:val="24"/>
        </w:rPr>
        <w:t>五是运营监控能力薄弱。缺少对终端健康状态、内容同步、使用统计与审计日志的集中可视化管理，运维依赖人工巡检，响应慢、效率低，难以支撑规模化终端运营。</w:t>
      </w:r>
    </w:p>
    <w:p w14:paraId="267EF4BE">
      <w:pPr>
        <w:spacing w:before="0" w:after="0" w:line="360" w:lineRule="auto"/>
        <w:ind w:firstLine="480" w:firstLineChars="200"/>
        <w:jc w:val="both"/>
      </w:pPr>
      <w:r>
        <w:rPr>
          <w:rFonts w:ascii="Arial" w:hAnsi="Arial" w:eastAsia="宋体"/>
          <w:b w:val="0"/>
          <w:color w:val="000000"/>
          <w:sz w:val="24"/>
        </w:rPr>
        <w:t>六是安全与可用性风险不容忽视。终端及平台需满足二十四小时不间断运行要求，并具备离线缓存、不间断电源供电与故障自动恢复能力，以应对高峰客流环境下的高可用性挑战。</w:t>
      </w:r>
    </w:p>
    <w:p w14:paraId="5BEFA71B">
      <w:pPr>
        <w:pStyle w:val="3"/>
        <w:spacing w:before="280" w:after="120" w:line="312" w:lineRule="auto"/>
        <w:jc w:val="left"/>
      </w:pPr>
      <w:r>
        <w:rPr>
          <w:rFonts w:ascii="Arial" w:hAnsi="Arial" w:eastAsia="黑体"/>
          <w:b/>
          <w:color w:val="000000"/>
          <w:sz w:val="32"/>
        </w:rPr>
        <w:t>四、总体建设目标</w:t>
      </w:r>
    </w:p>
    <w:p w14:paraId="1E4E6B2E">
      <w:pPr>
        <w:spacing w:before="0" w:after="0" w:line="360" w:lineRule="auto"/>
        <w:ind w:firstLine="480" w:firstLineChars="200"/>
        <w:jc w:val="both"/>
      </w:pPr>
      <w:r>
        <w:rPr>
          <w:rFonts w:ascii="Arial" w:hAnsi="Arial" w:eastAsia="宋体"/>
          <w:b w:val="0"/>
          <w:color w:val="000000"/>
          <w:sz w:val="24"/>
        </w:rPr>
        <w:t>围绕“体验、效率、安全、价值”四个维度，项目设定功能、质量、安全合规、运营与可持续五类总体目标，作为建设与验收的总体依据。</w:t>
      </w:r>
    </w:p>
    <w:p w14:paraId="1CA9107B">
      <w:pPr>
        <w:spacing w:before="0" w:after="0" w:line="360" w:lineRule="auto"/>
        <w:ind w:firstLine="480" w:firstLineChars="200"/>
        <w:jc w:val="both"/>
      </w:pPr>
      <w:r>
        <w:rPr>
          <w:rFonts w:ascii="Arial" w:hAnsi="Arial" w:eastAsia="宋体"/>
          <w:b w:val="0"/>
          <w:color w:val="000000"/>
          <w:sz w:val="24"/>
        </w:rPr>
        <w:t xml:space="preserve">一是功能目标。完成 </w:t>
      </w:r>
      <w:r>
        <w:rPr>
          <w:rFonts w:hint="eastAsia" w:ascii="Arial" w:hAnsi="Arial" w:eastAsia="宋体"/>
          <w:b w:val="0"/>
          <w:color w:val="000000"/>
          <w:sz w:val="24"/>
          <w:lang w:eastAsia="zh-CN"/>
        </w:rPr>
        <w:t>MyAirPorts</w:t>
      </w:r>
      <w:r>
        <w:rPr>
          <w:rFonts w:ascii="Arial" w:hAnsi="Arial" w:eastAsia="宋体"/>
          <w:b w:val="0"/>
          <w:color w:val="000000"/>
          <w:sz w:val="24"/>
        </w:rPr>
        <w:t>对 PIA 的全面本地化扩展，实现航班、行李、排队信息的实时推送，提供二维/三维多楼层互动室内导航、兴趣点搜索与商业订购功能，并完成十台高品质交互式终端的部署与统一管理。</w:t>
      </w:r>
    </w:p>
    <w:p w14:paraId="4016BFEE">
      <w:pPr>
        <w:spacing w:before="0" w:after="0" w:line="360" w:lineRule="auto"/>
        <w:ind w:firstLine="480" w:firstLineChars="200"/>
        <w:jc w:val="both"/>
      </w:pPr>
      <w:r>
        <w:rPr>
          <w:rFonts w:ascii="Arial" w:hAnsi="Arial" w:eastAsia="宋体"/>
          <w:b w:val="0"/>
          <w:color w:val="000000"/>
          <w:sz w:val="24"/>
        </w:rPr>
        <w:t>二是质量目标。系统满足二十四小时全年不间断（24×7×365）可用；终端交互响应不超过两秒，路线计算不超过三秒，管理仪表板刷新不超过五秒，机场内终端网络延迟不超过一百毫秒，保障旅客使用流畅稳定。</w:t>
      </w:r>
    </w:p>
    <w:p w14:paraId="6955445D">
      <w:pPr>
        <w:spacing w:before="0" w:after="0" w:line="360" w:lineRule="auto"/>
        <w:ind w:firstLine="480" w:firstLineChars="200"/>
        <w:jc w:val="both"/>
      </w:pPr>
      <w:r>
        <w:rPr>
          <w:rFonts w:ascii="Arial" w:hAnsi="Arial" w:eastAsia="宋体"/>
          <w:b w:val="0"/>
          <w:color w:val="000000"/>
          <w:sz w:val="24"/>
        </w:rPr>
        <w:t>三是安全与合规目标。符合 MAHB 网络与端点安全标准，终端防护兼容 Kaspersky 混合云安全（KHCS）或等效方案，全链路数据加密，生物识别等敏感信息处理严格遵循隐私合规要求。</w:t>
      </w:r>
    </w:p>
    <w:p w14:paraId="4C8CDD10">
      <w:pPr>
        <w:spacing w:before="0" w:after="0" w:line="360" w:lineRule="auto"/>
        <w:ind w:firstLine="480" w:firstLineChars="200"/>
        <w:jc w:val="both"/>
      </w:pPr>
      <w:r>
        <w:rPr>
          <w:rFonts w:ascii="Arial" w:hAnsi="Arial" w:eastAsia="宋体"/>
          <w:b w:val="0"/>
          <w:color w:val="000000"/>
          <w:sz w:val="24"/>
        </w:rPr>
        <w:t>四是运营目标。通过个性化推送与终端触达，促进商铺在线预订与优惠使用，目标上线第一年提升航站商业收入百分之八至十二，并显著改善旅客满意度指标。</w:t>
      </w:r>
    </w:p>
    <w:p w14:paraId="765B63C9">
      <w:pPr>
        <w:spacing w:before="0" w:after="0" w:line="360" w:lineRule="auto"/>
        <w:ind w:firstLine="480" w:firstLineChars="200"/>
        <w:jc w:val="both"/>
      </w:pPr>
      <w:r>
        <w:rPr>
          <w:rFonts w:ascii="Arial" w:hAnsi="Arial" w:eastAsia="宋体"/>
          <w:b w:val="0"/>
          <w:color w:val="000000"/>
          <w:sz w:val="24"/>
        </w:rPr>
        <w:t>五是可持续目标。支持模块化扩展、开放接口与规范化接口控制文档（ICD），避免供应商锁定，便于未来在 MAHB 体系内跨机场复制推广，实现长期可持续运营。</w:t>
      </w:r>
    </w:p>
    <w:p w14:paraId="52063111">
      <w:pPr>
        <w:pStyle w:val="3"/>
        <w:spacing w:before="280" w:after="120" w:line="312" w:lineRule="auto"/>
        <w:jc w:val="left"/>
      </w:pPr>
      <w:r>
        <w:rPr>
          <w:rFonts w:ascii="Arial" w:hAnsi="Arial" w:eastAsia="黑体"/>
          <w:b/>
          <w:color w:val="000000"/>
          <w:sz w:val="32"/>
        </w:rPr>
        <w:t>五、主要建设内容</w:t>
      </w:r>
    </w:p>
    <w:p w14:paraId="5C1E0558">
      <w:pPr>
        <w:pStyle w:val="4"/>
        <w:spacing w:before="220" w:after="100" w:line="312" w:lineRule="auto"/>
        <w:jc w:val="left"/>
      </w:pPr>
      <w:r>
        <w:rPr>
          <w:rFonts w:ascii="Arial" w:hAnsi="Arial" w:eastAsia="黑体"/>
          <w:b/>
          <w:color w:val="000000"/>
          <w:sz w:val="28"/>
        </w:rPr>
        <w:t>（一）软件平台</w:t>
      </w:r>
    </w:p>
    <w:p w14:paraId="2297B5F9">
      <w:pPr>
        <w:spacing w:before="0" w:after="0" w:line="360" w:lineRule="auto"/>
        <w:ind w:firstLine="480" w:firstLineChars="200"/>
        <w:jc w:val="both"/>
      </w:pPr>
      <w:r>
        <w:rPr>
          <w:rFonts w:ascii="Arial" w:hAnsi="Arial" w:eastAsia="宋体"/>
          <w:b w:val="0"/>
          <w:color w:val="000000"/>
          <w:sz w:val="24"/>
        </w:rPr>
        <w:t xml:space="preserve">1. </w:t>
      </w:r>
      <w:r>
        <w:rPr>
          <w:rFonts w:hint="eastAsia" w:ascii="Arial" w:hAnsi="Arial" w:eastAsia="宋体"/>
          <w:b w:val="0"/>
          <w:color w:val="000000"/>
          <w:sz w:val="24"/>
          <w:lang w:eastAsia="zh-CN"/>
        </w:rPr>
        <w:t>MyAirPorts</w:t>
      </w:r>
      <w:r>
        <w:rPr>
          <w:rFonts w:ascii="Arial" w:hAnsi="Arial" w:eastAsia="宋体"/>
          <w:b w:val="0"/>
          <w:color w:val="000000"/>
          <w:sz w:val="24"/>
        </w:rPr>
        <w:t xml:space="preserve">本地化扩展（移动端应用与小程序）。与 MAHB 开发团队直接对接，在现有 </w:t>
      </w:r>
      <w:r>
        <w:rPr>
          <w:rFonts w:hint="eastAsia" w:ascii="Arial" w:hAnsi="Arial" w:eastAsia="宋体"/>
          <w:b w:val="0"/>
          <w:color w:val="000000"/>
          <w:sz w:val="24"/>
          <w:lang w:eastAsia="zh-CN"/>
        </w:rPr>
        <w:t>MyAirPorts</w:t>
      </w:r>
      <w:r>
        <w:rPr>
          <w:rFonts w:ascii="Arial" w:hAnsi="Arial" w:eastAsia="宋体"/>
          <w:b w:val="0"/>
          <w:color w:val="000000"/>
          <w:sz w:val="24"/>
        </w:rPr>
        <w:t>移动应用及网站基础上完成 PIA 专属本地化与功能增强，覆盖航班与机场信息、商业零售与公用设施、停车/行李/排队管理、导览与个性化四大功能模块，主要功能如下。</w:t>
      </w:r>
    </w:p>
    <w:p w14:paraId="0C27B555">
      <w:pPr>
        <w:spacing w:before="0" w:after="0" w:line="360" w:lineRule="auto"/>
        <w:ind w:firstLine="480" w:firstLineChars="200"/>
        <w:jc w:val="both"/>
      </w:pPr>
      <w:r>
        <w:rPr>
          <w:rFonts w:ascii="Arial" w:hAnsi="Arial" w:eastAsia="宋体"/>
          <w:b w:val="0"/>
          <w:color w:val="000000"/>
          <w:sz w:val="24"/>
        </w:rPr>
        <w:t>一是航班跟踪与机场信息：提供到达、出发、中转航班实时动态与订阅推送，展示出行健康与安保要求及机场综合信息；二是商业、零售与公用设施：建立覆盖航站楼全部在营商户的零售/餐饮/免税综合目录，支持在线预订、优惠券与定向促销推送，并提供找换店、行李寄存、洗手间等公用设施导航；三是停车、行李与排队管理：支持停车位查询、在线支付与代客泊车预订，实现到达行李状态自动提醒，并与行李核对、排队管理系统集成，实时呈现行李状态及值机、安检、边检、海关、登机口等候时间；四是导览与个性化：将室内地图与导航能力集成至移动端，提供登机牌扫描/人脸识别个性化指引、兴趣点搜索，并通过二维码实现终端与移动端路线无缝续接。移动端与自助终端共享同一内容管理平台与导航引擎，量化指标如下表所示。</w:t>
      </w:r>
    </w:p>
    <w:p w14:paraId="0D449644">
      <w:pPr>
        <w:keepNext/>
        <w:spacing w:before="80" w:after="80" w:line="312" w:lineRule="auto"/>
        <w:jc w:val="center"/>
      </w:pPr>
      <w:r>
        <w:rPr>
          <w:rFonts w:ascii="Arial" w:hAnsi="Arial" w:eastAsia="宋体"/>
          <w:b/>
          <w:color w:val="000000"/>
          <w:sz w:val="21"/>
        </w:rPr>
        <w:t>表3  移动端应用功能与量化指标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041"/>
        <w:gridCol w:w="3288"/>
        <w:gridCol w:w="3061"/>
      </w:tblGrid>
      <w:tr w14:paraId="2D27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shd w:val="clear" w:color="auto" w:fill="D9D9D9"/>
            <w:vAlign w:val="center"/>
          </w:tcPr>
          <w:p w14:paraId="16A4DA4D">
            <w:pPr>
              <w:spacing w:before="20" w:after="20" w:line="240" w:lineRule="auto"/>
              <w:jc w:val="center"/>
            </w:pPr>
            <w:r>
              <w:rPr>
                <w:rFonts w:ascii="Arial" w:hAnsi="Arial" w:eastAsia="宋体"/>
                <w:b/>
                <w:color w:val="000000"/>
                <w:sz w:val="21"/>
              </w:rPr>
              <w:t>序号</w:t>
            </w:r>
          </w:p>
        </w:tc>
        <w:tc>
          <w:tcPr>
            <w:tcW w:w="2041" w:type="dxa"/>
            <w:shd w:val="clear" w:color="auto" w:fill="D9D9D9"/>
            <w:vAlign w:val="center"/>
          </w:tcPr>
          <w:p w14:paraId="507CBEEE">
            <w:pPr>
              <w:spacing w:before="20" w:after="20" w:line="240" w:lineRule="auto"/>
              <w:jc w:val="left"/>
            </w:pPr>
            <w:r>
              <w:rPr>
                <w:rFonts w:ascii="Arial" w:hAnsi="Arial" w:eastAsia="宋体"/>
                <w:b/>
                <w:color w:val="000000"/>
                <w:sz w:val="21"/>
              </w:rPr>
              <w:t>功能类别</w:t>
            </w:r>
          </w:p>
        </w:tc>
        <w:tc>
          <w:tcPr>
            <w:tcW w:w="3288" w:type="dxa"/>
            <w:shd w:val="clear" w:color="auto" w:fill="D9D9D9"/>
            <w:vAlign w:val="center"/>
          </w:tcPr>
          <w:p w14:paraId="1CB6C846">
            <w:pPr>
              <w:spacing w:before="20" w:after="20" w:line="240" w:lineRule="auto"/>
              <w:jc w:val="left"/>
            </w:pPr>
            <w:r>
              <w:rPr>
                <w:rFonts w:ascii="Arial" w:hAnsi="Arial" w:eastAsia="宋体"/>
                <w:b/>
                <w:color w:val="000000"/>
                <w:sz w:val="21"/>
              </w:rPr>
              <w:t>核心功能</w:t>
            </w:r>
          </w:p>
        </w:tc>
        <w:tc>
          <w:tcPr>
            <w:tcW w:w="3061" w:type="dxa"/>
            <w:shd w:val="clear" w:color="auto" w:fill="D9D9D9"/>
            <w:vAlign w:val="center"/>
          </w:tcPr>
          <w:p w14:paraId="58A0ECA1">
            <w:pPr>
              <w:spacing w:before="20" w:after="20" w:line="240" w:lineRule="auto"/>
              <w:jc w:val="left"/>
            </w:pPr>
            <w:r>
              <w:rPr>
                <w:rFonts w:ascii="Arial" w:hAnsi="Arial" w:eastAsia="宋体"/>
                <w:b/>
                <w:color w:val="000000"/>
                <w:sz w:val="21"/>
              </w:rPr>
              <w:t>量化指标</w:t>
            </w:r>
          </w:p>
        </w:tc>
      </w:tr>
      <w:tr w14:paraId="07C3B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88CBC41">
            <w:pPr>
              <w:spacing w:before="20" w:after="20" w:line="240" w:lineRule="auto"/>
              <w:jc w:val="center"/>
            </w:pPr>
            <w:r>
              <w:rPr>
                <w:rFonts w:ascii="Arial" w:hAnsi="Arial" w:eastAsia="宋体"/>
                <w:b w:val="0"/>
                <w:color w:val="000000"/>
                <w:sz w:val="21"/>
              </w:rPr>
              <w:t>1</w:t>
            </w:r>
          </w:p>
        </w:tc>
        <w:tc>
          <w:tcPr>
            <w:tcW w:w="2041" w:type="dxa"/>
            <w:vAlign w:val="center"/>
          </w:tcPr>
          <w:p w14:paraId="1061D190">
            <w:pPr>
              <w:spacing w:before="20" w:after="20" w:line="240" w:lineRule="auto"/>
              <w:jc w:val="left"/>
            </w:pPr>
            <w:r>
              <w:rPr>
                <w:rFonts w:ascii="Arial" w:hAnsi="Arial" w:eastAsia="宋体"/>
                <w:b w:val="0"/>
                <w:color w:val="000000"/>
                <w:sz w:val="21"/>
              </w:rPr>
              <w:t>航班跟踪与机场信息</w:t>
            </w:r>
          </w:p>
        </w:tc>
        <w:tc>
          <w:tcPr>
            <w:tcW w:w="3288" w:type="dxa"/>
            <w:vAlign w:val="center"/>
          </w:tcPr>
          <w:p w14:paraId="229C1782">
            <w:pPr>
              <w:spacing w:before="20" w:after="20" w:line="240" w:lineRule="auto"/>
              <w:jc w:val="left"/>
            </w:pPr>
            <w:r>
              <w:rPr>
                <w:rFonts w:ascii="Arial" w:hAnsi="Arial" w:eastAsia="宋体"/>
                <w:b w:val="0"/>
                <w:color w:val="000000"/>
                <w:sz w:val="21"/>
              </w:rPr>
              <w:t>到达/出发/中转实时航班动态、出行健康与安保要求、机场综合信息、订阅推送提醒</w:t>
            </w:r>
          </w:p>
        </w:tc>
        <w:tc>
          <w:tcPr>
            <w:tcW w:w="3061" w:type="dxa"/>
            <w:vAlign w:val="center"/>
          </w:tcPr>
          <w:p w14:paraId="5D6EB78D">
            <w:pPr>
              <w:spacing w:before="20" w:after="20" w:line="240" w:lineRule="auto"/>
              <w:jc w:val="left"/>
            </w:pPr>
            <w:r>
              <w:rPr>
                <w:rFonts w:ascii="Arial" w:hAnsi="Arial" w:eastAsia="宋体"/>
                <w:b w:val="0"/>
                <w:color w:val="000000"/>
                <w:sz w:val="21"/>
              </w:rPr>
              <w:t>航班信息按源系统频率实时刷新，推送即时触达，页面响应≤2秒</w:t>
            </w:r>
          </w:p>
        </w:tc>
      </w:tr>
      <w:tr w14:paraId="00B5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A3CBADC">
            <w:pPr>
              <w:spacing w:before="20" w:after="20" w:line="240" w:lineRule="auto"/>
              <w:jc w:val="center"/>
            </w:pPr>
            <w:r>
              <w:rPr>
                <w:rFonts w:ascii="Arial" w:hAnsi="Arial" w:eastAsia="宋体"/>
                <w:b w:val="0"/>
                <w:color w:val="000000"/>
                <w:sz w:val="21"/>
              </w:rPr>
              <w:t>2</w:t>
            </w:r>
          </w:p>
        </w:tc>
        <w:tc>
          <w:tcPr>
            <w:tcW w:w="2041" w:type="dxa"/>
            <w:vAlign w:val="center"/>
          </w:tcPr>
          <w:p w14:paraId="7C13529C">
            <w:pPr>
              <w:spacing w:before="20" w:after="20" w:line="240" w:lineRule="auto"/>
              <w:jc w:val="left"/>
            </w:pPr>
            <w:r>
              <w:rPr>
                <w:rFonts w:ascii="Arial" w:hAnsi="Arial" w:eastAsia="宋体"/>
                <w:b w:val="0"/>
                <w:color w:val="000000"/>
                <w:sz w:val="21"/>
              </w:rPr>
              <w:t>商业、零售与公用设施</w:t>
            </w:r>
          </w:p>
        </w:tc>
        <w:tc>
          <w:tcPr>
            <w:tcW w:w="3288" w:type="dxa"/>
            <w:vAlign w:val="center"/>
          </w:tcPr>
          <w:p w14:paraId="02889E6E">
            <w:pPr>
              <w:spacing w:before="20" w:after="20" w:line="240" w:lineRule="auto"/>
              <w:jc w:val="left"/>
            </w:pPr>
            <w:r>
              <w:rPr>
                <w:rFonts w:ascii="Arial" w:hAnsi="Arial" w:eastAsia="宋体"/>
                <w:b w:val="0"/>
                <w:color w:val="000000"/>
                <w:sz w:val="21"/>
              </w:rPr>
              <w:t>零售/餐饮/免税综合目录、在线预订、优惠券与定向促销推送、公用设施导航</w:t>
            </w:r>
          </w:p>
        </w:tc>
        <w:tc>
          <w:tcPr>
            <w:tcW w:w="3061" w:type="dxa"/>
            <w:vAlign w:val="center"/>
          </w:tcPr>
          <w:p w14:paraId="27A2E46B">
            <w:pPr>
              <w:spacing w:before="20" w:after="20" w:line="240" w:lineRule="auto"/>
              <w:jc w:val="left"/>
            </w:pPr>
            <w:r>
              <w:rPr>
                <w:rFonts w:ascii="Arial" w:hAnsi="Arial" w:eastAsia="宋体"/>
                <w:b w:val="0"/>
                <w:color w:val="000000"/>
                <w:sz w:val="21"/>
              </w:rPr>
              <w:t>覆盖航站楼全部在营商户，预订与优惠推送即时生效</w:t>
            </w:r>
          </w:p>
        </w:tc>
      </w:tr>
      <w:tr w14:paraId="0349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722177D">
            <w:pPr>
              <w:spacing w:before="20" w:after="20" w:line="240" w:lineRule="auto"/>
              <w:jc w:val="center"/>
            </w:pPr>
            <w:r>
              <w:rPr>
                <w:rFonts w:ascii="Arial" w:hAnsi="Arial" w:eastAsia="宋体"/>
                <w:b w:val="0"/>
                <w:color w:val="000000"/>
                <w:sz w:val="21"/>
              </w:rPr>
              <w:t>3</w:t>
            </w:r>
          </w:p>
        </w:tc>
        <w:tc>
          <w:tcPr>
            <w:tcW w:w="2041" w:type="dxa"/>
            <w:vAlign w:val="center"/>
          </w:tcPr>
          <w:p w14:paraId="7D7DE158">
            <w:pPr>
              <w:spacing w:before="20" w:after="20" w:line="240" w:lineRule="auto"/>
              <w:jc w:val="left"/>
            </w:pPr>
            <w:r>
              <w:rPr>
                <w:rFonts w:ascii="Arial" w:hAnsi="Arial" w:eastAsia="宋体"/>
                <w:b w:val="0"/>
                <w:color w:val="000000"/>
                <w:sz w:val="21"/>
              </w:rPr>
              <w:t>停车、行李与排队管理</w:t>
            </w:r>
          </w:p>
        </w:tc>
        <w:tc>
          <w:tcPr>
            <w:tcW w:w="3288" w:type="dxa"/>
            <w:vAlign w:val="center"/>
          </w:tcPr>
          <w:p w14:paraId="0B9EE9A7">
            <w:pPr>
              <w:spacing w:before="20" w:after="20" w:line="240" w:lineRule="auto"/>
              <w:jc w:val="left"/>
            </w:pPr>
            <w:r>
              <w:rPr>
                <w:rFonts w:ascii="Arial" w:hAnsi="Arial" w:eastAsia="宋体"/>
                <w:b w:val="0"/>
                <w:color w:val="000000"/>
                <w:sz w:val="21"/>
              </w:rPr>
              <w:t>停车位查询、在线支付、代客泊车预订；行李状态自动提醒；值机/安检/登机口等候时间</w:t>
            </w:r>
          </w:p>
        </w:tc>
        <w:tc>
          <w:tcPr>
            <w:tcW w:w="3061" w:type="dxa"/>
            <w:vAlign w:val="center"/>
          </w:tcPr>
          <w:p w14:paraId="6D9653A6">
            <w:pPr>
              <w:spacing w:before="20" w:after="20" w:line="240" w:lineRule="auto"/>
              <w:jc w:val="left"/>
            </w:pPr>
            <w:r>
              <w:rPr>
                <w:rFonts w:ascii="Arial" w:hAnsi="Arial" w:eastAsia="宋体"/>
                <w:b w:val="0"/>
                <w:color w:val="000000"/>
                <w:sz w:val="21"/>
              </w:rPr>
              <w:t>排队与行李信息更新≤60秒，与行李核对、排队系统实时联动</w:t>
            </w:r>
          </w:p>
        </w:tc>
      </w:tr>
      <w:tr w14:paraId="3CD0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AA22186">
            <w:pPr>
              <w:spacing w:before="20" w:after="20" w:line="240" w:lineRule="auto"/>
              <w:jc w:val="center"/>
            </w:pPr>
            <w:r>
              <w:rPr>
                <w:rFonts w:ascii="Arial" w:hAnsi="Arial" w:eastAsia="宋体"/>
                <w:b w:val="0"/>
                <w:color w:val="000000"/>
                <w:sz w:val="21"/>
              </w:rPr>
              <w:t>4</w:t>
            </w:r>
          </w:p>
        </w:tc>
        <w:tc>
          <w:tcPr>
            <w:tcW w:w="2041" w:type="dxa"/>
            <w:vAlign w:val="center"/>
          </w:tcPr>
          <w:p w14:paraId="0A187AE1">
            <w:pPr>
              <w:spacing w:before="20" w:after="20" w:line="240" w:lineRule="auto"/>
              <w:jc w:val="left"/>
            </w:pPr>
            <w:r>
              <w:rPr>
                <w:rFonts w:ascii="Arial" w:hAnsi="Arial" w:eastAsia="宋体"/>
                <w:b w:val="0"/>
                <w:color w:val="000000"/>
                <w:sz w:val="21"/>
              </w:rPr>
              <w:t>导览与个性化</w:t>
            </w:r>
          </w:p>
        </w:tc>
        <w:tc>
          <w:tcPr>
            <w:tcW w:w="3288" w:type="dxa"/>
            <w:vAlign w:val="center"/>
          </w:tcPr>
          <w:p w14:paraId="7E233829">
            <w:pPr>
              <w:spacing w:before="20" w:after="20" w:line="240" w:lineRule="auto"/>
              <w:jc w:val="left"/>
            </w:pPr>
            <w:r>
              <w:rPr>
                <w:rFonts w:ascii="Arial" w:hAnsi="Arial" w:eastAsia="宋体"/>
                <w:b w:val="0"/>
                <w:color w:val="000000"/>
                <w:sz w:val="21"/>
              </w:rPr>
              <w:t>室内地图导航、登机牌扫描/人脸识别个性化指引、兴趣点搜索、二维码续接</w:t>
            </w:r>
          </w:p>
        </w:tc>
        <w:tc>
          <w:tcPr>
            <w:tcW w:w="3061" w:type="dxa"/>
            <w:vAlign w:val="center"/>
          </w:tcPr>
          <w:p w14:paraId="4350066F">
            <w:pPr>
              <w:spacing w:before="20" w:after="20" w:line="240" w:lineRule="auto"/>
              <w:jc w:val="left"/>
            </w:pPr>
            <w:r>
              <w:rPr>
                <w:rFonts w:ascii="Arial" w:hAnsi="Arial" w:eastAsia="宋体"/>
                <w:b w:val="0"/>
                <w:color w:val="000000"/>
                <w:sz w:val="21"/>
              </w:rPr>
              <w:t>路线计算≤3秒，支持≥6种语言，iOS/Android双平台</w:t>
            </w:r>
          </w:p>
        </w:tc>
      </w:tr>
      <w:tr w14:paraId="64525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6DFE75D">
            <w:pPr>
              <w:spacing w:before="20" w:after="20" w:line="240" w:lineRule="auto"/>
              <w:jc w:val="center"/>
            </w:pPr>
            <w:r>
              <w:rPr>
                <w:rFonts w:ascii="Arial" w:hAnsi="Arial" w:eastAsia="宋体"/>
                <w:b w:val="0"/>
                <w:color w:val="000000"/>
                <w:sz w:val="21"/>
              </w:rPr>
              <w:t>5</w:t>
            </w:r>
          </w:p>
        </w:tc>
        <w:tc>
          <w:tcPr>
            <w:tcW w:w="2041" w:type="dxa"/>
            <w:vAlign w:val="center"/>
          </w:tcPr>
          <w:p w14:paraId="22F5BBF5">
            <w:pPr>
              <w:spacing w:before="20" w:after="20" w:line="240" w:lineRule="auto"/>
              <w:jc w:val="left"/>
            </w:pPr>
            <w:r>
              <w:rPr>
                <w:rFonts w:ascii="Arial" w:hAnsi="Arial" w:eastAsia="宋体"/>
                <w:b w:val="0"/>
                <w:color w:val="000000"/>
                <w:sz w:val="21"/>
              </w:rPr>
              <w:t>平台与安全</w:t>
            </w:r>
          </w:p>
        </w:tc>
        <w:tc>
          <w:tcPr>
            <w:tcW w:w="3288" w:type="dxa"/>
            <w:vAlign w:val="center"/>
          </w:tcPr>
          <w:p w14:paraId="6E412991">
            <w:pPr>
              <w:spacing w:before="20" w:after="20" w:line="240" w:lineRule="auto"/>
              <w:jc w:val="left"/>
            </w:pPr>
            <w:r>
              <w:rPr>
                <w:rFonts w:ascii="Arial" w:hAnsi="Arial" w:eastAsia="宋体"/>
                <w:b w:val="0"/>
                <w:color w:val="000000"/>
                <w:sz w:val="21"/>
              </w:rPr>
              <w:t>消息推送、账号权限与隐私保护、全链路数据加密</w:t>
            </w:r>
          </w:p>
        </w:tc>
        <w:tc>
          <w:tcPr>
            <w:tcW w:w="3061" w:type="dxa"/>
            <w:vAlign w:val="center"/>
          </w:tcPr>
          <w:p w14:paraId="42F4646B">
            <w:pPr>
              <w:spacing w:before="20" w:after="20" w:line="240" w:lineRule="auto"/>
              <w:jc w:val="left"/>
            </w:pPr>
            <w:r>
              <w:rPr>
                <w:rFonts w:ascii="Arial" w:hAnsi="Arial" w:eastAsia="宋体"/>
                <w:b w:val="0"/>
                <w:color w:val="000000"/>
                <w:sz w:val="21"/>
              </w:rPr>
              <w:t>TLS加密传输，符合MAHB安全与隐私政策，24×7持续运行</w:t>
            </w:r>
          </w:p>
        </w:tc>
      </w:tr>
    </w:tbl>
    <w:p w14:paraId="38F98EAE">
      <w:pPr>
        <w:spacing w:before="80" w:after="0" w:line="240" w:lineRule="auto"/>
        <w:jc w:val="center"/>
      </w:pPr>
      <w:r>
        <w:drawing>
          <wp:inline distT="0" distB="0" distL="114300" distR="114300">
            <wp:extent cx="5752465" cy="2581910"/>
            <wp:effectExtent l="0" t="0" r="8255"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5752465" cy="2581910"/>
                    </a:xfrm>
                    <a:prstGeom prst="rect">
                      <a:avLst/>
                    </a:prstGeom>
                    <a:noFill/>
                    <a:ln>
                      <a:noFill/>
                    </a:ln>
                  </pic:spPr>
                </pic:pic>
              </a:graphicData>
            </a:graphic>
          </wp:inline>
        </w:drawing>
      </w:r>
    </w:p>
    <w:p w14:paraId="51340094">
      <w:pPr>
        <w:spacing w:before="80" w:after="80" w:line="312" w:lineRule="auto"/>
        <w:jc w:val="center"/>
      </w:pPr>
      <w:r>
        <w:rPr>
          <w:rFonts w:ascii="Arial" w:hAnsi="Arial" w:eastAsia="宋体"/>
          <w:b/>
          <w:color w:val="000000"/>
          <w:sz w:val="21"/>
        </w:rPr>
        <w:t>图3  移动端用户旅程流程图</w:t>
      </w:r>
    </w:p>
    <w:p w14:paraId="5C18F0E9">
      <w:pPr>
        <w:spacing w:before="0" w:after="0" w:line="360" w:lineRule="auto"/>
        <w:ind w:firstLine="480" w:firstLineChars="200"/>
        <w:jc w:val="both"/>
      </w:pPr>
      <w:r>
        <w:rPr>
          <w:rFonts w:ascii="Arial" w:hAnsi="Arial" w:eastAsia="宋体"/>
          <w:b w:val="0"/>
          <w:color w:val="000000"/>
          <w:sz w:val="24"/>
        </w:rPr>
        <w:t>移动端应用相关投入已全部纳入项目总投资：</w:t>
      </w:r>
      <w:r>
        <w:rPr>
          <w:rFonts w:hint="eastAsia" w:ascii="Arial" w:hAnsi="Arial" w:eastAsia="宋体"/>
          <w:b w:val="0"/>
          <w:color w:val="000000"/>
          <w:sz w:val="24"/>
          <w:lang w:eastAsia="zh-CN"/>
        </w:rPr>
        <w:t>MyAirPorts</w:t>
      </w:r>
      <w:r>
        <w:rPr>
          <w:rFonts w:ascii="Arial" w:hAnsi="Arial" w:eastAsia="宋体"/>
          <w:b w:val="0"/>
          <w:color w:val="000000"/>
          <w:sz w:val="24"/>
        </w:rPr>
        <w:t>本地化开发四百万元（含四大功能模块开发、个性化与推送模块、双平台适配）；前期调研与 UI/UX 设计（三百万元）及信息代理、第三方接口（合计六百万元）中面向移动端的数据集成与联调部分亦为移动端能力提供支撑，无需额外追加投资。移动端与自助终端共享内容管理平台与导航引擎，实现多端一致体验与统一运营管理。</w:t>
      </w:r>
    </w:p>
    <w:p w14:paraId="6B7BF61E">
      <w:pPr>
        <w:spacing w:before="0" w:after="0" w:line="360" w:lineRule="auto"/>
        <w:ind w:firstLine="480" w:firstLineChars="200"/>
        <w:jc w:val="both"/>
      </w:pPr>
      <w:r>
        <w:rPr>
          <w:rFonts w:ascii="Arial" w:hAnsi="Arial" w:eastAsia="宋体"/>
          <w:b w:val="0"/>
          <w:color w:val="000000"/>
          <w:sz w:val="24"/>
        </w:rPr>
        <w:t>从下载注册、航班查询、室内导航、商业预订到停车/行李/排队信息与个性化服务，最终通过二维码与自助终端无缝续接，移动端形成覆盖旅客出行全过程的端到端服务闭环，旅程各阶段均配有明确量化指标与业务支撑。该闭环一方面提升旅客出行体验与商业转化，另一方面为机场沉淀全流程旅客行为与交易数据，支撑后续精准运营、商业决策与 MAHB 大数据平台分析，实现“一次建设、多端运营、长期增值”。</w:t>
      </w:r>
    </w:p>
    <w:p w14:paraId="53A5B442">
      <w:pPr>
        <w:spacing w:before="0" w:after="0" w:line="360" w:lineRule="auto"/>
        <w:ind w:firstLine="480" w:firstLineChars="200"/>
        <w:jc w:val="both"/>
      </w:pPr>
      <w:r>
        <w:rPr>
          <w:rFonts w:ascii="Arial" w:hAnsi="Arial" w:eastAsia="宋体"/>
          <w:b w:val="0"/>
          <w:color w:val="000000"/>
          <w:sz w:val="24"/>
        </w:rPr>
        <w:t>2. 导航引擎与地图服务。集成二维/三维多层室内地图，支持图纸导入、楼层管理、路径规划（含最短路径、无障碍路径、限制区绕行、临时关闭等场景）；支持卫星定位与室内定位融合，提供二维码续接移动端能力。覆盖登机口中转、叫号登机、值机、贵宾室、特殊协助等机场特定导航场景，并针对首次使用者提供直观的多语言触摸界面与无障碍体验。</w:t>
      </w:r>
    </w:p>
    <w:p w14:paraId="6CD829F3">
      <w:pPr>
        <w:spacing w:before="0" w:after="0" w:line="360" w:lineRule="auto"/>
        <w:ind w:firstLine="480" w:firstLineChars="200"/>
        <w:jc w:val="both"/>
      </w:pPr>
      <w:r>
        <w:rPr>
          <w:rFonts w:ascii="Arial" w:hAnsi="Arial" w:eastAsia="宋体"/>
          <w:b w:val="0"/>
          <w:color w:val="000000"/>
          <w:sz w:val="24"/>
        </w:rPr>
        <w:t>3. 集中内容管理平台。提供可视化内容编辑与排期、多航站楼与多层配置、角色权限管理、审计日志、版本回滚、媒体管理与发布预览，支撑运营团队高效、安全地管理全站内容。</w:t>
      </w:r>
    </w:p>
    <w:p w14:paraId="1F2B1B53">
      <w:pPr>
        <w:spacing w:before="0" w:after="0" w:line="360" w:lineRule="auto"/>
        <w:ind w:firstLine="480" w:firstLineChars="200"/>
        <w:jc w:val="both"/>
      </w:pPr>
      <w:r>
        <w:rPr>
          <w:rFonts w:ascii="Arial" w:hAnsi="Arial" w:eastAsia="宋体"/>
          <w:b w:val="0"/>
          <w:color w:val="000000"/>
          <w:sz w:val="24"/>
        </w:rPr>
        <w:t xml:space="preserve">4. 数据集成与中间层。建设信息代理与数据中间层，集成航班（AODB/FIDS）、行李（BHS/ATR）、排队客流（PFQMS）、行李核对、停车及 </w:t>
      </w:r>
      <w:r>
        <w:rPr>
          <w:rFonts w:hint="eastAsia" w:ascii="Arial" w:hAnsi="Arial" w:eastAsia="宋体"/>
          <w:b w:val="0"/>
          <w:color w:val="000000"/>
          <w:sz w:val="24"/>
          <w:lang w:eastAsia="zh-CN"/>
        </w:rPr>
        <w:t>MyAirPorts</w:t>
      </w:r>
      <w:r>
        <w:rPr>
          <w:rFonts w:ascii="Arial" w:hAnsi="Arial" w:eastAsia="宋体"/>
          <w:b w:val="0"/>
          <w:color w:val="000000"/>
          <w:sz w:val="24"/>
        </w:rPr>
        <w:t>等系统，实现跨系统数据实时汇聚与分发，并接入 MAHB 大数据平台（BDA）用于分析与挖掘；提供开放接口与事件推送能力，并形成规范化接口控制文档。</w:t>
      </w:r>
    </w:p>
    <w:p w14:paraId="4C251C47">
      <w:pPr>
        <w:spacing w:before="0" w:after="0" w:line="360" w:lineRule="auto"/>
        <w:ind w:firstLine="480" w:firstLineChars="200"/>
        <w:jc w:val="both"/>
      </w:pPr>
      <w:r>
        <w:rPr>
          <w:rFonts w:ascii="Arial" w:hAnsi="Arial" w:eastAsia="宋体"/>
          <w:b w:val="0"/>
          <w:color w:val="000000"/>
          <w:sz w:val="24"/>
        </w:rPr>
        <w:t>5. 终端管理与监控平台。实现终端设备健康监测、内容同步、遥测、日志收集与告警、远程部署与补丁管理，确保终端群的可视化、集中化管理，降低运维成本。</w:t>
      </w:r>
    </w:p>
    <w:p w14:paraId="4D1B67C8">
      <w:pPr>
        <w:spacing w:before="0" w:after="0" w:line="360" w:lineRule="auto"/>
        <w:ind w:firstLine="480" w:firstLineChars="200"/>
        <w:jc w:val="both"/>
      </w:pPr>
      <w:r>
        <w:rPr>
          <w:rFonts w:ascii="Arial" w:hAnsi="Arial" w:eastAsia="宋体"/>
          <w:b w:val="0"/>
          <w:color w:val="000000"/>
          <w:sz w:val="24"/>
        </w:rPr>
        <w:t>6. 分析与报表模块。提供使用统计、内容参与度、系统可用性与商业转化报表，并可对接导出至 MAHB 大数据平台，为运营与商业决策提供数据支撑。</w:t>
      </w:r>
    </w:p>
    <w:p w14:paraId="49E8155C">
      <w:pPr>
        <w:keepNext/>
        <w:spacing w:before="80" w:after="80" w:line="312" w:lineRule="auto"/>
        <w:jc w:val="center"/>
      </w:pPr>
      <w:r>
        <w:rPr>
          <w:rFonts w:ascii="Arial" w:hAnsi="Arial" w:eastAsia="宋体"/>
          <w:b/>
          <w:color w:val="000000"/>
          <w:sz w:val="21"/>
        </w:rPr>
        <w:t>表4  旅客端与运营端功能清单表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689"/>
        <w:gridCol w:w="3694"/>
        <w:gridCol w:w="2357"/>
      </w:tblGrid>
      <w:tr w14:paraId="1680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D9D9D9"/>
            <w:vAlign w:val="center"/>
          </w:tcPr>
          <w:p w14:paraId="1C914D89">
            <w:pPr>
              <w:spacing w:before="20" w:after="20" w:line="240" w:lineRule="auto"/>
              <w:jc w:val="center"/>
            </w:pPr>
            <w:r>
              <w:rPr>
                <w:rFonts w:ascii="Arial" w:hAnsi="Arial" w:eastAsia="宋体"/>
                <w:b/>
                <w:color w:val="000000"/>
                <w:sz w:val="21"/>
              </w:rPr>
              <w:t>功能端</w:t>
            </w:r>
          </w:p>
        </w:tc>
        <w:tc>
          <w:tcPr>
            <w:tcW w:w="1701" w:type="dxa"/>
            <w:shd w:val="clear" w:color="auto" w:fill="D9D9D9"/>
            <w:vAlign w:val="center"/>
          </w:tcPr>
          <w:p w14:paraId="7F9A35C9">
            <w:pPr>
              <w:spacing w:before="20" w:after="20" w:line="240" w:lineRule="auto"/>
              <w:jc w:val="center"/>
            </w:pPr>
            <w:r>
              <w:rPr>
                <w:rFonts w:ascii="Arial" w:hAnsi="Arial" w:eastAsia="宋体"/>
                <w:b/>
                <w:color w:val="000000"/>
                <w:sz w:val="21"/>
              </w:rPr>
              <w:t>功能模块</w:t>
            </w:r>
          </w:p>
        </w:tc>
        <w:tc>
          <w:tcPr>
            <w:tcW w:w="3742" w:type="dxa"/>
            <w:shd w:val="clear" w:color="auto" w:fill="D9D9D9"/>
            <w:vAlign w:val="center"/>
          </w:tcPr>
          <w:p w14:paraId="4D43D19F">
            <w:pPr>
              <w:spacing w:before="20" w:after="20" w:line="240" w:lineRule="auto"/>
              <w:jc w:val="left"/>
            </w:pPr>
            <w:r>
              <w:rPr>
                <w:rFonts w:ascii="Arial" w:hAnsi="Arial" w:eastAsia="宋体"/>
                <w:b/>
                <w:color w:val="000000"/>
                <w:sz w:val="21"/>
              </w:rPr>
              <w:t>核心功能</w:t>
            </w:r>
          </w:p>
        </w:tc>
        <w:tc>
          <w:tcPr>
            <w:tcW w:w="2381" w:type="dxa"/>
            <w:shd w:val="clear" w:color="auto" w:fill="D9D9D9"/>
            <w:vAlign w:val="center"/>
          </w:tcPr>
          <w:p w14:paraId="1B0F80C3">
            <w:pPr>
              <w:spacing w:before="20" w:after="20" w:line="240" w:lineRule="auto"/>
              <w:jc w:val="center"/>
            </w:pPr>
            <w:r>
              <w:rPr>
                <w:rFonts w:ascii="Arial" w:hAnsi="Arial" w:eastAsia="宋体"/>
                <w:b/>
                <w:color w:val="000000"/>
                <w:sz w:val="21"/>
              </w:rPr>
              <w:t>量化指标</w:t>
            </w:r>
          </w:p>
        </w:tc>
      </w:tr>
      <w:tr w14:paraId="2058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restart"/>
            <w:vAlign w:val="center"/>
          </w:tcPr>
          <w:p w14:paraId="78C700F9">
            <w:pPr>
              <w:spacing w:before="20" w:after="20" w:line="240" w:lineRule="auto"/>
              <w:jc w:val="center"/>
            </w:pPr>
            <w:r>
              <w:rPr>
                <w:rFonts w:ascii="Arial" w:hAnsi="Arial" w:eastAsia="宋体"/>
                <w:b/>
                <w:color w:val="000000"/>
                <w:sz w:val="21"/>
              </w:rPr>
              <w:t>旅客端</w:t>
            </w:r>
            <w:r>
              <w:rPr>
                <w:rFonts w:ascii="Arial" w:hAnsi="Arial" w:eastAsia="宋体"/>
                <w:b/>
                <w:color w:val="000000"/>
                <w:sz w:val="21"/>
              </w:rPr>
              <w:br w:type="textWrapping"/>
            </w:r>
            <w:r>
              <w:rPr>
                <w:rFonts w:ascii="Arial" w:hAnsi="Arial" w:eastAsia="宋体"/>
                <w:b/>
                <w:color w:val="000000"/>
                <w:sz w:val="21"/>
              </w:rPr>
              <w:t>（</w:t>
            </w:r>
            <w:r>
              <w:rPr>
                <w:rFonts w:hint="eastAsia" w:ascii="Arial" w:hAnsi="Arial" w:eastAsia="宋体"/>
                <w:b/>
                <w:color w:val="000000"/>
                <w:sz w:val="21"/>
                <w:lang w:eastAsia="zh-CN"/>
              </w:rPr>
              <w:t>MyAirPorts</w:t>
            </w:r>
            <w:r>
              <w:rPr>
                <w:rFonts w:ascii="Arial" w:hAnsi="Arial" w:eastAsia="宋体"/>
                <w:b/>
                <w:color w:val="000000"/>
                <w:sz w:val="21"/>
              </w:rPr>
              <w:t>移动应用）</w:t>
            </w:r>
          </w:p>
          <w:p w14:paraId="0BB45083">
            <w:pPr>
              <w:spacing w:before="20" w:after="20" w:line="240" w:lineRule="auto"/>
              <w:jc w:val="center"/>
            </w:pPr>
          </w:p>
          <w:p w14:paraId="1751AF03">
            <w:pPr>
              <w:spacing w:before="20" w:after="20" w:line="240" w:lineRule="auto"/>
              <w:jc w:val="center"/>
            </w:pPr>
          </w:p>
          <w:p w14:paraId="6ECC148C">
            <w:pPr>
              <w:spacing w:before="20" w:after="20" w:line="240" w:lineRule="auto"/>
              <w:jc w:val="center"/>
            </w:pPr>
          </w:p>
          <w:p w14:paraId="18A92EBA">
            <w:pPr>
              <w:spacing w:before="20" w:after="20" w:line="240" w:lineRule="auto"/>
              <w:jc w:val="center"/>
            </w:pPr>
          </w:p>
        </w:tc>
        <w:tc>
          <w:tcPr>
            <w:tcW w:w="1701" w:type="dxa"/>
            <w:vAlign w:val="center"/>
          </w:tcPr>
          <w:p w14:paraId="3D57681C">
            <w:pPr>
              <w:spacing w:before="20" w:after="20" w:line="240" w:lineRule="auto"/>
              <w:jc w:val="center"/>
            </w:pPr>
            <w:r>
              <w:rPr>
                <w:rFonts w:ascii="Arial" w:hAnsi="Arial" w:eastAsia="宋体"/>
                <w:b w:val="0"/>
                <w:color w:val="000000"/>
                <w:sz w:val="21"/>
              </w:rPr>
              <w:t>航班与机场信息</w:t>
            </w:r>
          </w:p>
        </w:tc>
        <w:tc>
          <w:tcPr>
            <w:tcW w:w="3742" w:type="dxa"/>
            <w:vAlign w:val="center"/>
          </w:tcPr>
          <w:p w14:paraId="61F344A0">
            <w:pPr>
              <w:spacing w:before="20" w:after="20" w:line="240" w:lineRule="auto"/>
              <w:jc w:val="left"/>
            </w:pPr>
            <w:r>
              <w:rPr>
                <w:rFonts w:ascii="Arial" w:hAnsi="Arial" w:eastAsia="宋体"/>
                <w:b w:val="0"/>
                <w:color w:val="000000"/>
                <w:sz w:val="21"/>
              </w:rPr>
              <w:t>到达/出发/中转实时航班动态、健康与安保要求、机场综合信息、订阅推送</w:t>
            </w:r>
          </w:p>
        </w:tc>
        <w:tc>
          <w:tcPr>
            <w:tcW w:w="2381" w:type="dxa"/>
            <w:vAlign w:val="center"/>
          </w:tcPr>
          <w:p w14:paraId="59CFA6E8">
            <w:pPr>
              <w:spacing w:before="20" w:after="20" w:line="240" w:lineRule="auto"/>
              <w:jc w:val="center"/>
            </w:pPr>
            <w:r>
              <w:rPr>
                <w:rFonts w:ascii="Arial" w:hAnsi="Arial" w:eastAsia="宋体"/>
                <w:b w:val="0"/>
                <w:color w:val="000000"/>
                <w:sz w:val="21"/>
              </w:rPr>
              <w:t>信息实时刷新，推送即时触达</w:t>
            </w:r>
          </w:p>
        </w:tc>
      </w:tr>
      <w:tr w14:paraId="6450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continue"/>
            <w:vAlign w:val="center"/>
          </w:tcPr>
          <w:p w14:paraId="48BD0CA5">
            <w:pPr>
              <w:spacing w:after="0" w:line="240" w:lineRule="auto"/>
            </w:pPr>
          </w:p>
        </w:tc>
        <w:tc>
          <w:tcPr>
            <w:tcW w:w="1701" w:type="dxa"/>
            <w:vAlign w:val="center"/>
          </w:tcPr>
          <w:p w14:paraId="2BB9F5A7">
            <w:pPr>
              <w:spacing w:before="20" w:after="20" w:line="240" w:lineRule="auto"/>
              <w:jc w:val="center"/>
            </w:pPr>
            <w:r>
              <w:rPr>
                <w:rFonts w:ascii="Arial" w:hAnsi="Arial" w:eastAsia="宋体"/>
                <w:b w:val="0"/>
                <w:color w:val="000000"/>
                <w:sz w:val="21"/>
              </w:rPr>
              <w:t>室内地图导航</w:t>
            </w:r>
          </w:p>
        </w:tc>
        <w:tc>
          <w:tcPr>
            <w:tcW w:w="3742" w:type="dxa"/>
            <w:vAlign w:val="center"/>
          </w:tcPr>
          <w:p w14:paraId="4D87DD06">
            <w:pPr>
              <w:spacing w:before="20" w:after="20" w:line="240" w:lineRule="auto"/>
              <w:jc w:val="left"/>
            </w:pPr>
            <w:r>
              <w:rPr>
                <w:rFonts w:ascii="Arial" w:hAnsi="Arial" w:eastAsia="宋体"/>
                <w:b w:val="0"/>
                <w:color w:val="000000"/>
                <w:sz w:val="21"/>
              </w:rPr>
              <w:t>多楼层/多航站楼地图、最短/无障碍路线、兴趣点搜索</w:t>
            </w:r>
          </w:p>
        </w:tc>
        <w:tc>
          <w:tcPr>
            <w:tcW w:w="2381" w:type="dxa"/>
            <w:vAlign w:val="center"/>
          </w:tcPr>
          <w:p w14:paraId="24882C4A">
            <w:pPr>
              <w:spacing w:before="20" w:after="20" w:line="240" w:lineRule="auto"/>
              <w:jc w:val="center"/>
            </w:pPr>
            <w:r>
              <w:rPr>
                <w:rFonts w:ascii="Arial" w:hAnsi="Arial" w:eastAsia="宋体"/>
                <w:b w:val="0"/>
                <w:color w:val="000000"/>
                <w:sz w:val="21"/>
              </w:rPr>
              <w:t>路线计算≤3秒，支持多语言</w:t>
            </w:r>
          </w:p>
        </w:tc>
      </w:tr>
      <w:tr w14:paraId="7CD9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continue"/>
            <w:vAlign w:val="center"/>
          </w:tcPr>
          <w:p w14:paraId="527D2E2A">
            <w:pPr>
              <w:spacing w:after="0" w:line="240" w:lineRule="auto"/>
            </w:pPr>
          </w:p>
        </w:tc>
        <w:tc>
          <w:tcPr>
            <w:tcW w:w="1701" w:type="dxa"/>
            <w:vAlign w:val="center"/>
          </w:tcPr>
          <w:p w14:paraId="6812CFBC">
            <w:pPr>
              <w:spacing w:before="20" w:after="20" w:line="240" w:lineRule="auto"/>
              <w:jc w:val="center"/>
            </w:pPr>
            <w:r>
              <w:rPr>
                <w:rFonts w:ascii="Arial" w:hAnsi="Arial" w:eastAsia="宋体"/>
                <w:b w:val="0"/>
                <w:color w:val="000000"/>
                <w:sz w:val="21"/>
              </w:rPr>
              <w:t>商业零售与预订</w:t>
            </w:r>
          </w:p>
        </w:tc>
        <w:tc>
          <w:tcPr>
            <w:tcW w:w="3742" w:type="dxa"/>
            <w:vAlign w:val="center"/>
          </w:tcPr>
          <w:p w14:paraId="0DA53DFC">
            <w:pPr>
              <w:spacing w:before="20" w:after="20" w:line="240" w:lineRule="auto"/>
              <w:jc w:val="left"/>
            </w:pPr>
            <w:r>
              <w:rPr>
                <w:rFonts w:ascii="Arial" w:hAnsi="Arial" w:eastAsia="宋体"/>
                <w:b w:val="0"/>
                <w:color w:val="000000"/>
                <w:sz w:val="21"/>
              </w:rPr>
              <w:t>零售/餐饮/免税目录、在线预订、优惠推送</w:t>
            </w:r>
          </w:p>
        </w:tc>
        <w:tc>
          <w:tcPr>
            <w:tcW w:w="2381" w:type="dxa"/>
            <w:vAlign w:val="center"/>
          </w:tcPr>
          <w:p w14:paraId="4456CF05">
            <w:pPr>
              <w:spacing w:before="20" w:after="20" w:line="240" w:lineRule="auto"/>
              <w:jc w:val="center"/>
            </w:pPr>
            <w:r>
              <w:rPr>
                <w:rFonts w:ascii="Arial" w:hAnsi="Arial" w:eastAsia="宋体"/>
                <w:b w:val="0"/>
                <w:color w:val="000000"/>
                <w:sz w:val="21"/>
              </w:rPr>
              <w:t>覆盖航站楼全部在营商户</w:t>
            </w:r>
          </w:p>
        </w:tc>
      </w:tr>
      <w:tr w14:paraId="34AD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continue"/>
            <w:vAlign w:val="center"/>
          </w:tcPr>
          <w:p w14:paraId="34AFD33C">
            <w:pPr>
              <w:spacing w:after="0" w:line="240" w:lineRule="auto"/>
            </w:pPr>
          </w:p>
        </w:tc>
        <w:tc>
          <w:tcPr>
            <w:tcW w:w="1701" w:type="dxa"/>
            <w:vAlign w:val="center"/>
          </w:tcPr>
          <w:p w14:paraId="152A9B0F">
            <w:pPr>
              <w:spacing w:before="20" w:after="20" w:line="240" w:lineRule="auto"/>
              <w:jc w:val="center"/>
            </w:pPr>
            <w:r>
              <w:rPr>
                <w:rFonts w:ascii="Arial" w:hAnsi="Arial" w:eastAsia="宋体"/>
                <w:b w:val="0"/>
                <w:color w:val="000000"/>
                <w:sz w:val="21"/>
              </w:rPr>
              <w:t>停车·行李·排队</w:t>
            </w:r>
          </w:p>
        </w:tc>
        <w:tc>
          <w:tcPr>
            <w:tcW w:w="3742" w:type="dxa"/>
            <w:vAlign w:val="center"/>
          </w:tcPr>
          <w:p w14:paraId="35548092">
            <w:pPr>
              <w:spacing w:before="20" w:after="20" w:line="240" w:lineRule="auto"/>
              <w:jc w:val="left"/>
            </w:pPr>
            <w:r>
              <w:rPr>
                <w:rFonts w:ascii="Arial" w:hAnsi="Arial" w:eastAsia="宋体"/>
                <w:b w:val="0"/>
                <w:color w:val="000000"/>
                <w:sz w:val="21"/>
              </w:rPr>
              <w:t>车位查询/在线支付/代客泊车、行李跟踪、排队等候时间</w:t>
            </w:r>
          </w:p>
        </w:tc>
        <w:tc>
          <w:tcPr>
            <w:tcW w:w="2381" w:type="dxa"/>
            <w:vAlign w:val="center"/>
          </w:tcPr>
          <w:p w14:paraId="72A371DF">
            <w:pPr>
              <w:spacing w:before="20" w:after="20" w:line="240" w:lineRule="auto"/>
              <w:jc w:val="center"/>
            </w:pPr>
            <w:r>
              <w:rPr>
                <w:rFonts w:ascii="Arial" w:hAnsi="Arial" w:eastAsia="宋体"/>
                <w:b w:val="0"/>
                <w:color w:val="000000"/>
                <w:sz w:val="21"/>
              </w:rPr>
              <w:t>信息更新≤60秒</w:t>
            </w:r>
          </w:p>
        </w:tc>
      </w:tr>
      <w:tr w14:paraId="30D7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continue"/>
            <w:vAlign w:val="center"/>
          </w:tcPr>
          <w:p w14:paraId="6BEB7D78">
            <w:pPr>
              <w:spacing w:after="0" w:line="240" w:lineRule="auto"/>
            </w:pPr>
          </w:p>
        </w:tc>
        <w:tc>
          <w:tcPr>
            <w:tcW w:w="1701" w:type="dxa"/>
            <w:vAlign w:val="center"/>
          </w:tcPr>
          <w:p w14:paraId="5BCA6543">
            <w:pPr>
              <w:spacing w:before="20" w:after="20" w:line="240" w:lineRule="auto"/>
              <w:jc w:val="center"/>
            </w:pPr>
            <w:r>
              <w:rPr>
                <w:rFonts w:ascii="Arial" w:hAnsi="Arial" w:eastAsia="宋体"/>
                <w:b w:val="0"/>
                <w:color w:val="000000"/>
                <w:sz w:val="21"/>
              </w:rPr>
              <w:t>个性化与续接</w:t>
            </w:r>
          </w:p>
        </w:tc>
        <w:tc>
          <w:tcPr>
            <w:tcW w:w="3742" w:type="dxa"/>
            <w:vAlign w:val="center"/>
          </w:tcPr>
          <w:p w14:paraId="373FBBC2">
            <w:pPr>
              <w:spacing w:before="20" w:after="20" w:line="240" w:lineRule="auto"/>
              <w:jc w:val="left"/>
            </w:pPr>
            <w:r>
              <w:rPr>
                <w:rFonts w:ascii="Arial" w:hAnsi="Arial" w:eastAsia="宋体"/>
                <w:b w:val="0"/>
                <w:color w:val="000000"/>
                <w:sz w:val="21"/>
              </w:rPr>
              <w:t>登机牌扫描/人脸识别、个性化推荐、二维码续接终端</w:t>
            </w:r>
          </w:p>
        </w:tc>
        <w:tc>
          <w:tcPr>
            <w:tcW w:w="2381" w:type="dxa"/>
            <w:vAlign w:val="center"/>
          </w:tcPr>
          <w:p w14:paraId="60E83388">
            <w:pPr>
              <w:spacing w:before="20" w:after="20" w:line="240" w:lineRule="auto"/>
              <w:jc w:val="center"/>
            </w:pPr>
            <w:r>
              <w:rPr>
                <w:rFonts w:ascii="Arial" w:hAnsi="Arial" w:eastAsia="宋体"/>
                <w:b w:val="0"/>
                <w:color w:val="000000"/>
                <w:sz w:val="21"/>
              </w:rPr>
              <w:t>隐私合规、多端数据一致</w:t>
            </w:r>
          </w:p>
        </w:tc>
      </w:tr>
      <w:tr w14:paraId="765B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restart"/>
            <w:vAlign w:val="center"/>
          </w:tcPr>
          <w:p w14:paraId="127B3A18">
            <w:pPr>
              <w:spacing w:before="20" w:after="20" w:line="240" w:lineRule="auto"/>
              <w:jc w:val="center"/>
            </w:pPr>
            <w:r>
              <w:rPr>
                <w:rFonts w:ascii="Arial" w:hAnsi="Arial" w:eastAsia="宋体"/>
                <w:b/>
                <w:color w:val="000000"/>
                <w:sz w:val="21"/>
              </w:rPr>
              <w:t>运营端</w:t>
            </w:r>
            <w:r>
              <w:rPr>
                <w:rFonts w:ascii="Arial" w:hAnsi="Arial" w:eastAsia="宋体"/>
                <w:b/>
                <w:color w:val="000000"/>
                <w:sz w:val="21"/>
              </w:rPr>
              <w:br w:type="textWrapping"/>
            </w:r>
            <w:r>
              <w:rPr>
                <w:rFonts w:ascii="Arial" w:hAnsi="Arial" w:eastAsia="宋体"/>
                <w:b/>
                <w:color w:val="000000"/>
                <w:sz w:val="21"/>
              </w:rPr>
              <w:t>（管理运营平台）</w:t>
            </w:r>
          </w:p>
          <w:p w14:paraId="08EEDEAD">
            <w:pPr>
              <w:spacing w:before="20" w:after="20" w:line="240" w:lineRule="auto"/>
              <w:jc w:val="center"/>
            </w:pPr>
          </w:p>
          <w:p w14:paraId="113D66AB">
            <w:pPr>
              <w:spacing w:before="20" w:after="20" w:line="240" w:lineRule="auto"/>
              <w:jc w:val="center"/>
            </w:pPr>
          </w:p>
          <w:p w14:paraId="5B49CB45">
            <w:pPr>
              <w:spacing w:before="20" w:after="20" w:line="240" w:lineRule="auto"/>
              <w:jc w:val="center"/>
            </w:pPr>
          </w:p>
          <w:p w14:paraId="1095133F">
            <w:pPr>
              <w:spacing w:before="20" w:after="20" w:line="240" w:lineRule="auto"/>
              <w:jc w:val="center"/>
            </w:pPr>
          </w:p>
          <w:p w14:paraId="6E46F95F">
            <w:pPr>
              <w:spacing w:before="20" w:after="20" w:line="240" w:lineRule="auto"/>
              <w:jc w:val="center"/>
            </w:pPr>
          </w:p>
        </w:tc>
        <w:tc>
          <w:tcPr>
            <w:tcW w:w="1701" w:type="dxa"/>
            <w:vAlign w:val="center"/>
          </w:tcPr>
          <w:p w14:paraId="034FF3F8">
            <w:pPr>
              <w:spacing w:before="20" w:after="20" w:line="240" w:lineRule="auto"/>
              <w:jc w:val="center"/>
            </w:pPr>
            <w:r>
              <w:rPr>
                <w:rFonts w:ascii="Arial" w:hAnsi="Arial" w:eastAsia="宋体"/>
                <w:b w:val="0"/>
                <w:color w:val="000000"/>
                <w:sz w:val="21"/>
              </w:rPr>
              <w:t>内容管理（CMS）</w:t>
            </w:r>
          </w:p>
        </w:tc>
        <w:tc>
          <w:tcPr>
            <w:tcW w:w="3742" w:type="dxa"/>
            <w:vAlign w:val="center"/>
          </w:tcPr>
          <w:p w14:paraId="4CFD6ADD">
            <w:pPr>
              <w:spacing w:before="20" w:after="20" w:line="240" w:lineRule="auto"/>
              <w:jc w:val="left"/>
            </w:pPr>
            <w:r>
              <w:rPr>
                <w:rFonts w:ascii="Arial" w:hAnsi="Arial" w:eastAsia="宋体"/>
                <w:b w:val="0"/>
                <w:color w:val="000000"/>
                <w:sz w:val="21"/>
              </w:rPr>
              <w:t>可视化编辑/排期/版本回滚/媒体管理</w:t>
            </w:r>
          </w:p>
        </w:tc>
        <w:tc>
          <w:tcPr>
            <w:tcW w:w="2381" w:type="dxa"/>
            <w:vAlign w:val="center"/>
          </w:tcPr>
          <w:p w14:paraId="59B04449">
            <w:pPr>
              <w:spacing w:before="20" w:after="20" w:line="240" w:lineRule="auto"/>
              <w:jc w:val="center"/>
            </w:pPr>
            <w:r>
              <w:rPr>
                <w:rFonts w:ascii="Arial" w:hAnsi="Arial" w:eastAsia="宋体"/>
                <w:b w:val="0"/>
                <w:color w:val="000000"/>
                <w:sz w:val="21"/>
              </w:rPr>
              <w:t>发布链路≤60秒</w:t>
            </w:r>
          </w:p>
        </w:tc>
      </w:tr>
      <w:tr w14:paraId="48653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continue"/>
            <w:vAlign w:val="center"/>
          </w:tcPr>
          <w:p w14:paraId="508C7946">
            <w:pPr>
              <w:spacing w:after="0" w:line="240" w:lineRule="auto"/>
            </w:pPr>
          </w:p>
        </w:tc>
        <w:tc>
          <w:tcPr>
            <w:tcW w:w="1701" w:type="dxa"/>
            <w:vAlign w:val="center"/>
          </w:tcPr>
          <w:p w14:paraId="5D11FFEB">
            <w:pPr>
              <w:spacing w:before="20" w:after="20" w:line="240" w:lineRule="auto"/>
              <w:jc w:val="center"/>
            </w:pPr>
            <w:r>
              <w:rPr>
                <w:rFonts w:ascii="Arial" w:hAnsi="Arial" w:eastAsia="宋体"/>
                <w:b w:val="0"/>
                <w:color w:val="000000"/>
                <w:sz w:val="21"/>
              </w:rPr>
              <w:t>终端管理</w:t>
            </w:r>
          </w:p>
        </w:tc>
        <w:tc>
          <w:tcPr>
            <w:tcW w:w="3742" w:type="dxa"/>
            <w:vAlign w:val="center"/>
          </w:tcPr>
          <w:p w14:paraId="66FB7BC2">
            <w:pPr>
              <w:spacing w:before="20" w:after="20" w:line="240" w:lineRule="auto"/>
              <w:jc w:val="left"/>
            </w:pPr>
            <w:r>
              <w:rPr>
                <w:rFonts w:ascii="Arial" w:hAnsi="Arial" w:eastAsia="宋体"/>
                <w:b w:val="0"/>
                <w:color w:val="000000"/>
                <w:sz w:val="21"/>
              </w:rPr>
              <w:t>设备健康监测、远程部署/补丁、内容同步</w:t>
            </w:r>
          </w:p>
        </w:tc>
        <w:tc>
          <w:tcPr>
            <w:tcW w:w="2381" w:type="dxa"/>
            <w:vAlign w:val="center"/>
          </w:tcPr>
          <w:p w14:paraId="50FB2A98">
            <w:pPr>
              <w:spacing w:before="20" w:after="20" w:line="240" w:lineRule="auto"/>
              <w:jc w:val="center"/>
            </w:pPr>
            <w:r>
              <w:rPr>
                <w:rFonts w:ascii="Arial" w:hAnsi="Arial" w:eastAsia="宋体"/>
                <w:b w:val="0"/>
                <w:color w:val="000000"/>
                <w:sz w:val="21"/>
              </w:rPr>
              <w:t>24×7远程诊断</w:t>
            </w:r>
          </w:p>
        </w:tc>
      </w:tr>
      <w:tr w14:paraId="6C84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continue"/>
            <w:vAlign w:val="center"/>
          </w:tcPr>
          <w:p w14:paraId="1AFB1FAE">
            <w:pPr>
              <w:spacing w:after="0" w:line="240" w:lineRule="auto"/>
            </w:pPr>
          </w:p>
        </w:tc>
        <w:tc>
          <w:tcPr>
            <w:tcW w:w="1701" w:type="dxa"/>
            <w:vAlign w:val="center"/>
          </w:tcPr>
          <w:p w14:paraId="6F6A7281">
            <w:pPr>
              <w:spacing w:before="20" w:after="20" w:line="240" w:lineRule="auto"/>
              <w:jc w:val="center"/>
            </w:pPr>
            <w:r>
              <w:rPr>
                <w:rFonts w:ascii="Arial" w:hAnsi="Arial" w:eastAsia="宋体"/>
                <w:b w:val="0"/>
                <w:color w:val="000000"/>
                <w:sz w:val="21"/>
              </w:rPr>
              <w:t>数据集成与接口</w:t>
            </w:r>
          </w:p>
        </w:tc>
        <w:tc>
          <w:tcPr>
            <w:tcW w:w="3742" w:type="dxa"/>
            <w:vAlign w:val="center"/>
          </w:tcPr>
          <w:p w14:paraId="194A3C44">
            <w:pPr>
              <w:spacing w:before="20" w:after="20" w:line="240" w:lineRule="auto"/>
              <w:jc w:val="left"/>
            </w:pPr>
            <w:r>
              <w:rPr>
                <w:rFonts w:ascii="Arial" w:hAnsi="Arial" w:eastAsia="宋体"/>
                <w:b w:val="0"/>
                <w:color w:val="000000"/>
                <w:sz w:val="21"/>
              </w:rPr>
              <w:t>信息代理、AODB/FIDS等系统对接、事件分发</w:t>
            </w:r>
          </w:p>
        </w:tc>
        <w:tc>
          <w:tcPr>
            <w:tcW w:w="2381" w:type="dxa"/>
            <w:vAlign w:val="center"/>
          </w:tcPr>
          <w:p w14:paraId="1F0F16DA">
            <w:pPr>
              <w:spacing w:before="20" w:after="20" w:line="240" w:lineRule="auto"/>
              <w:jc w:val="center"/>
            </w:pPr>
            <w:r>
              <w:rPr>
                <w:rFonts w:ascii="Arial" w:hAnsi="Arial" w:eastAsia="宋体"/>
                <w:b w:val="0"/>
                <w:color w:val="000000"/>
                <w:sz w:val="21"/>
              </w:rPr>
              <w:t>事件下发≤30–60秒</w:t>
            </w:r>
          </w:p>
        </w:tc>
      </w:tr>
      <w:tr w14:paraId="23EC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continue"/>
            <w:vAlign w:val="center"/>
          </w:tcPr>
          <w:p w14:paraId="7A2840EF">
            <w:pPr>
              <w:spacing w:after="0" w:line="240" w:lineRule="auto"/>
            </w:pPr>
          </w:p>
        </w:tc>
        <w:tc>
          <w:tcPr>
            <w:tcW w:w="1701" w:type="dxa"/>
            <w:vAlign w:val="center"/>
          </w:tcPr>
          <w:p w14:paraId="7E3DD6D8">
            <w:pPr>
              <w:spacing w:before="20" w:after="20" w:line="240" w:lineRule="auto"/>
              <w:jc w:val="center"/>
            </w:pPr>
            <w:r>
              <w:rPr>
                <w:rFonts w:ascii="Arial" w:hAnsi="Arial" w:eastAsia="宋体"/>
                <w:b w:val="0"/>
                <w:color w:val="000000"/>
                <w:sz w:val="21"/>
              </w:rPr>
              <w:t>监控与告警</w:t>
            </w:r>
          </w:p>
        </w:tc>
        <w:tc>
          <w:tcPr>
            <w:tcW w:w="3742" w:type="dxa"/>
            <w:vAlign w:val="center"/>
          </w:tcPr>
          <w:p w14:paraId="373CBAC6">
            <w:pPr>
              <w:spacing w:before="20" w:after="20" w:line="240" w:lineRule="auto"/>
              <w:jc w:val="left"/>
            </w:pPr>
            <w:r>
              <w:rPr>
                <w:rFonts w:ascii="Arial" w:hAnsi="Arial" w:eastAsia="宋体"/>
                <w:b w:val="0"/>
                <w:color w:val="000000"/>
                <w:sz w:val="21"/>
              </w:rPr>
              <w:t>实时监控、告警、日志审计</w:t>
            </w:r>
          </w:p>
        </w:tc>
        <w:tc>
          <w:tcPr>
            <w:tcW w:w="2381" w:type="dxa"/>
            <w:vAlign w:val="center"/>
          </w:tcPr>
          <w:p w14:paraId="7D812920">
            <w:pPr>
              <w:spacing w:before="20" w:after="20" w:line="240" w:lineRule="auto"/>
              <w:jc w:val="center"/>
            </w:pPr>
            <w:r>
              <w:rPr>
                <w:rFonts w:ascii="Arial" w:hAnsi="Arial" w:eastAsia="宋体"/>
                <w:b w:val="0"/>
                <w:color w:val="000000"/>
                <w:sz w:val="21"/>
              </w:rPr>
              <w:t>24×7×365运行</w:t>
            </w:r>
          </w:p>
        </w:tc>
      </w:tr>
      <w:tr w14:paraId="15CF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continue"/>
            <w:vAlign w:val="center"/>
          </w:tcPr>
          <w:p w14:paraId="7A095F1E">
            <w:pPr>
              <w:spacing w:after="0" w:line="240" w:lineRule="auto"/>
            </w:pPr>
          </w:p>
        </w:tc>
        <w:tc>
          <w:tcPr>
            <w:tcW w:w="1701" w:type="dxa"/>
            <w:vAlign w:val="center"/>
          </w:tcPr>
          <w:p w14:paraId="6C65D34D">
            <w:pPr>
              <w:spacing w:before="20" w:after="20" w:line="240" w:lineRule="auto"/>
              <w:jc w:val="center"/>
            </w:pPr>
            <w:r>
              <w:rPr>
                <w:rFonts w:ascii="Arial" w:hAnsi="Arial" w:eastAsia="宋体"/>
                <w:b w:val="0"/>
                <w:color w:val="000000"/>
                <w:sz w:val="21"/>
              </w:rPr>
              <w:t>分析与报表</w:t>
            </w:r>
          </w:p>
        </w:tc>
        <w:tc>
          <w:tcPr>
            <w:tcW w:w="3742" w:type="dxa"/>
            <w:vAlign w:val="center"/>
          </w:tcPr>
          <w:p w14:paraId="55A7E0EB">
            <w:pPr>
              <w:spacing w:before="20" w:after="20" w:line="240" w:lineRule="auto"/>
              <w:jc w:val="left"/>
            </w:pPr>
            <w:r>
              <w:rPr>
                <w:rFonts w:ascii="Arial" w:hAnsi="Arial" w:eastAsia="宋体"/>
                <w:b w:val="0"/>
                <w:color w:val="000000"/>
                <w:sz w:val="21"/>
              </w:rPr>
              <w:t>使用统计、参与度、可用性、商业转化报表</w:t>
            </w:r>
          </w:p>
        </w:tc>
        <w:tc>
          <w:tcPr>
            <w:tcW w:w="2381" w:type="dxa"/>
            <w:vAlign w:val="center"/>
          </w:tcPr>
          <w:p w14:paraId="1613044F">
            <w:pPr>
              <w:spacing w:before="20" w:after="20" w:line="240" w:lineRule="auto"/>
              <w:jc w:val="center"/>
            </w:pPr>
            <w:r>
              <w:rPr>
                <w:rFonts w:ascii="Arial" w:hAnsi="Arial" w:eastAsia="宋体"/>
                <w:b w:val="0"/>
                <w:color w:val="000000"/>
                <w:sz w:val="21"/>
              </w:rPr>
              <w:t>仪表板刷新≤5秒</w:t>
            </w:r>
          </w:p>
        </w:tc>
      </w:tr>
      <w:tr w14:paraId="6CD9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Merge w:val="continue"/>
            <w:vAlign w:val="center"/>
          </w:tcPr>
          <w:p w14:paraId="1A8910B1">
            <w:pPr>
              <w:spacing w:after="0" w:line="240" w:lineRule="auto"/>
            </w:pPr>
          </w:p>
        </w:tc>
        <w:tc>
          <w:tcPr>
            <w:tcW w:w="1701" w:type="dxa"/>
            <w:vAlign w:val="center"/>
          </w:tcPr>
          <w:p w14:paraId="5E4285D8">
            <w:pPr>
              <w:spacing w:before="20" w:after="20" w:line="240" w:lineRule="auto"/>
              <w:jc w:val="center"/>
            </w:pPr>
            <w:r>
              <w:rPr>
                <w:rFonts w:ascii="Arial" w:hAnsi="Arial" w:eastAsia="宋体"/>
                <w:b w:val="0"/>
                <w:color w:val="000000"/>
                <w:sz w:val="21"/>
              </w:rPr>
              <w:t>权限与安全</w:t>
            </w:r>
          </w:p>
        </w:tc>
        <w:tc>
          <w:tcPr>
            <w:tcW w:w="3742" w:type="dxa"/>
            <w:vAlign w:val="center"/>
          </w:tcPr>
          <w:p w14:paraId="27508EF9">
            <w:pPr>
              <w:spacing w:before="20" w:after="20" w:line="240" w:lineRule="auto"/>
              <w:jc w:val="left"/>
            </w:pPr>
            <w:r>
              <w:rPr>
                <w:rFonts w:ascii="Arial" w:hAnsi="Arial" w:eastAsia="宋体"/>
                <w:b w:val="0"/>
                <w:color w:val="000000"/>
                <w:sz w:val="21"/>
              </w:rPr>
              <w:t>RBAC权限、审计日志、数据加密</w:t>
            </w:r>
          </w:p>
        </w:tc>
        <w:tc>
          <w:tcPr>
            <w:tcW w:w="2381" w:type="dxa"/>
            <w:vAlign w:val="center"/>
          </w:tcPr>
          <w:p w14:paraId="4A09A8B9">
            <w:pPr>
              <w:spacing w:before="20" w:after="20" w:line="240" w:lineRule="auto"/>
              <w:jc w:val="center"/>
            </w:pPr>
            <w:r>
              <w:rPr>
                <w:rFonts w:ascii="Arial" w:hAnsi="Arial" w:eastAsia="宋体"/>
                <w:b w:val="0"/>
                <w:color w:val="000000"/>
                <w:sz w:val="21"/>
              </w:rPr>
              <w:t>全链路TLS加密</w:t>
            </w:r>
          </w:p>
        </w:tc>
      </w:tr>
    </w:tbl>
    <w:p w14:paraId="2105761A">
      <w:pPr>
        <w:pStyle w:val="4"/>
        <w:spacing w:before="220" w:after="100" w:line="312" w:lineRule="auto"/>
        <w:jc w:val="left"/>
      </w:pPr>
      <w:r>
        <w:rPr>
          <w:rFonts w:ascii="Arial" w:hAnsi="Arial" w:eastAsia="黑体"/>
          <w:b/>
          <w:color w:val="000000"/>
          <w:sz w:val="28"/>
        </w:rPr>
        <w:t>（二）硬件</w:t>
      </w:r>
    </w:p>
    <w:p w14:paraId="6DBFA781">
      <w:pPr>
        <w:spacing w:before="0" w:after="0" w:line="360" w:lineRule="auto"/>
        <w:ind w:firstLine="480" w:firstLineChars="200"/>
        <w:jc w:val="both"/>
      </w:pPr>
      <w:r>
        <w:rPr>
          <w:rFonts w:ascii="Arial" w:hAnsi="Arial" w:eastAsia="宋体"/>
          <w:b w:val="0"/>
          <w:color w:val="000000"/>
          <w:sz w:val="24"/>
        </w:rPr>
        <w:t>1. 交互式自助终端。共十台，屏幕不低于五十英寸、四开分辨率，商用级品质、亮度分级配置（常规区域不低于四百尼特，高环境光区域支持八百尼特），采用工业外壳与防篡改设计，配置移动与固定安装配件，适应航站楼多样化场景。</w:t>
      </w:r>
    </w:p>
    <w:p w14:paraId="7BA8FB3F">
      <w:pPr>
        <w:spacing w:before="0" w:after="0" w:line="360" w:lineRule="auto"/>
        <w:ind w:firstLine="480" w:firstLineChars="200"/>
        <w:jc w:val="both"/>
      </w:pPr>
      <w:r>
        <w:rPr>
          <w:rFonts w:ascii="Arial" w:hAnsi="Arial" w:eastAsia="宋体"/>
          <w:b w:val="0"/>
          <w:color w:val="000000"/>
          <w:sz w:val="24"/>
        </w:rPr>
        <w:t>2. 终端计算与供电。采用商用级计算平台，集成不间断电源（续航十五至三十分钟），支持自动优雅关机与来电自动恢复，保障断电等极端场景下的业务连续性。</w:t>
      </w:r>
    </w:p>
    <w:p w14:paraId="6A67C1F6">
      <w:pPr>
        <w:spacing w:before="0" w:after="0" w:line="360" w:lineRule="auto"/>
        <w:ind w:firstLine="480" w:firstLineChars="200"/>
        <w:jc w:val="both"/>
      </w:pPr>
      <w:r>
        <w:rPr>
          <w:rFonts w:ascii="Arial" w:hAnsi="Arial" w:eastAsia="宋体"/>
          <w:b w:val="0"/>
          <w:color w:val="000000"/>
          <w:sz w:val="24"/>
        </w:rPr>
        <w:t>3. 服务器与机房。部署集中管理服务器、备份与灾备节点，按 MAHB 私有云或数据中心规范建设，保障平台稳定可靠运行。</w:t>
      </w:r>
    </w:p>
    <w:p w14:paraId="06CD0299">
      <w:pPr>
        <w:spacing w:before="0" w:after="0" w:line="360" w:lineRule="auto"/>
        <w:ind w:firstLine="480" w:firstLineChars="200"/>
        <w:jc w:val="both"/>
      </w:pPr>
      <w:r>
        <w:rPr>
          <w:rFonts w:ascii="Arial" w:hAnsi="Arial" w:eastAsia="宋体"/>
          <w:b w:val="0"/>
          <w:color w:val="000000"/>
          <w:sz w:val="24"/>
        </w:rPr>
        <w:t>4. 网络与接入。完成局端布线、短段光纤、配线架建设，配合虚拟局域网与防火墙策略实现终端安全接入与数据传输。</w:t>
      </w:r>
    </w:p>
    <w:p w14:paraId="6A16A858">
      <w:pPr>
        <w:pStyle w:val="4"/>
        <w:spacing w:before="220" w:after="100" w:line="312" w:lineRule="auto"/>
        <w:jc w:val="left"/>
      </w:pPr>
      <w:r>
        <w:rPr>
          <w:rFonts w:ascii="Arial" w:hAnsi="Arial" w:eastAsia="黑体"/>
          <w:b/>
          <w:color w:val="000000"/>
          <w:sz w:val="28"/>
        </w:rPr>
        <w:t>（三）配套服务</w:t>
      </w:r>
    </w:p>
    <w:p w14:paraId="59DF1F02">
      <w:pPr>
        <w:spacing w:before="0" w:after="0" w:line="360" w:lineRule="auto"/>
        <w:ind w:firstLine="480" w:firstLineChars="200"/>
        <w:jc w:val="both"/>
      </w:pPr>
      <w:r>
        <w:rPr>
          <w:rFonts w:ascii="Arial" w:hAnsi="Arial" w:eastAsia="宋体"/>
          <w:b w:val="0"/>
          <w:color w:val="000000"/>
          <w:sz w:val="24"/>
        </w:rPr>
        <w:t>1. 前期调研与用户体验设计。开展用户研究与代表性旅客场景验证，输出高保真原型并完成场景验收，确保产品设计贴合旅客实际需求。</w:t>
      </w:r>
    </w:p>
    <w:p w14:paraId="57DFC622">
      <w:pPr>
        <w:spacing w:before="0" w:after="0" w:line="360" w:lineRule="auto"/>
        <w:ind w:firstLine="480" w:firstLineChars="200"/>
        <w:jc w:val="both"/>
      </w:pPr>
      <w:r>
        <w:rPr>
          <w:rFonts w:ascii="Arial" w:hAnsi="Arial" w:eastAsia="宋体"/>
          <w:b w:val="0"/>
          <w:color w:val="000000"/>
          <w:sz w:val="24"/>
        </w:rPr>
        <w:t>2. 软件开发、系统集成与测试。覆盖单元、集成、压力与用户验收测试，完成与机场各业务系统的接口联调与上线支撑。</w:t>
      </w:r>
    </w:p>
    <w:p w14:paraId="6BE45DA7">
      <w:pPr>
        <w:spacing w:before="0" w:after="0" w:line="360" w:lineRule="auto"/>
        <w:ind w:firstLine="480" w:firstLineChars="200"/>
        <w:jc w:val="both"/>
      </w:pPr>
      <w:r>
        <w:rPr>
          <w:rFonts w:ascii="Arial" w:hAnsi="Arial" w:eastAsia="宋体"/>
          <w:b w:val="0"/>
          <w:color w:val="000000"/>
          <w:sz w:val="24"/>
        </w:rPr>
        <w:t>3. 现场部署与试运行支持。完成终端部署、布线、安装与现场调试，提供试运行期现场支持与快速响应。</w:t>
      </w:r>
    </w:p>
    <w:p w14:paraId="73E04A07">
      <w:pPr>
        <w:spacing w:before="0" w:after="0" w:line="360" w:lineRule="auto"/>
        <w:ind w:firstLine="480" w:firstLineChars="200"/>
        <w:jc w:val="both"/>
        <w:rPr>
          <w:rFonts w:hint="eastAsia" w:ascii="Arial" w:hAnsi="Arial" w:eastAsia="宋体"/>
          <w:b w:val="0"/>
          <w:color w:val="000000"/>
          <w:sz w:val="24"/>
          <w:shd w:val="clear" w:fill="FF0000"/>
          <w:lang w:eastAsia="zh-CN"/>
        </w:rPr>
      </w:pPr>
      <w:r>
        <w:rPr>
          <w:rFonts w:ascii="Arial" w:hAnsi="Arial" w:eastAsia="宋体"/>
          <w:b w:val="0"/>
          <w:color w:val="000000"/>
          <w:sz w:val="24"/>
        </w:rPr>
        <w:t>4. 首年运维与服务水平协议。提供安全补丁、内容更新、远程监控等托管运维服务，涵盖预防性与纠正性维护、关键备件保障，并支持长期许可或托管方案。</w:t>
      </w:r>
      <w:r>
        <w:rPr>
          <w:rFonts w:hint="eastAsia" w:ascii="Arial" w:hAnsi="Arial" w:eastAsia="宋体"/>
          <w:b w:val="0"/>
          <w:color w:val="000000"/>
          <w:sz w:val="24"/>
          <w:shd w:val="clear" w:fill="FF0000"/>
          <w:lang w:eastAsia="zh-CN"/>
        </w:rPr>
        <w:t>（</w:t>
      </w:r>
      <w:r>
        <w:rPr>
          <w:rFonts w:hint="eastAsia" w:ascii="Arial" w:hAnsi="Arial" w:eastAsia="宋体"/>
          <w:b w:val="0"/>
          <w:color w:val="000000"/>
          <w:sz w:val="24"/>
          <w:shd w:val="clear" w:fill="FF0000"/>
          <w:lang w:val="en-US" w:eastAsia="zh-CN"/>
        </w:rPr>
        <w:t>细化内容</w:t>
      </w:r>
      <w:r>
        <w:rPr>
          <w:rFonts w:hint="eastAsia" w:ascii="Arial" w:hAnsi="Arial" w:eastAsia="宋体"/>
          <w:b w:val="0"/>
          <w:color w:val="000000"/>
          <w:sz w:val="24"/>
          <w:shd w:val="clear" w:fill="FF0000"/>
          <w:lang w:eastAsia="zh-CN"/>
        </w:rPr>
        <w:t>）</w:t>
      </w:r>
    </w:p>
    <w:p w14:paraId="294D17EE">
      <w:pPr>
        <w:spacing w:before="0" w:after="0" w:line="360" w:lineRule="auto"/>
        <w:ind w:firstLine="480" w:firstLineChars="200"/>
        <w:jc w:val="both"/>
        <w:rPr>
          <w:rFonts w:hint="eastAsia" w:ascii="Arial" w:hAnsi="Arial" w:eastAsia="宋体"/>
          <w:b w:val="0"/>
          <w:color w:val="000000"/>
          <w:sz w:val="24"/>
          <w:shd w:val="clear" w:fill="FF0000"/>
          <w:lang w:val="en-US" w:eastAsia="zh-CN"/>
        </w:rPr>
      </w:pPr>
      <w:r>
        <w:rPr>
          <w:rFonts w:hint="eastAsia" w:ascii="Arial" w:hAnsi="Arial" w:eastAsia="宋体"/>
          <w:b w:val="0"/>
          <w:color w:val="000000"/>
          <w:sz w:val="24"/>
          <w:shd w:val="clear" w:fill="FF0000"/>
          <w:lang w:val="en-US" w:eastAsia="zh-CN"/>
        </w:rPr>
        <w:t>远程维修和服务，覆盖的工作范围进行细化</w:t>
      </w:r>
    </w:p>
    <w:p w14:paraId="18D01074">
      <w:pPr>
        <w:spacing w:before="0" w:after="0" w:line="360" w:lineRule="auto"/>
        <w:ind w:firstLine="480" w:firstLineChars="200"/>
        <w:jc w:val="both"/>
        <w:rPr>
          <w:rFonts w:hint="eastAsia" w:ascii="Arial" w:hAnsi="Arial" w:eastAsia="宋体"/>
          <w:b w:val="0"/>
          <w:color w:val="000000"/>
          <w:sz w:val="24"/>
          <w:shd w:val="clear" w:fill="FF0000"/>
          <w:lang w:val="en-US" w:eastAsia="zh-CN"/>
        </w:rPr>
      </w:pPr>
      <w:r>
        <w:rPr>
          <w:rFonts w:hint="eastAsia" w:ascii="Arial" w:hAnsi="Arial" w:eastAsia="宋体"/>
          <w:b w:val="0"/>
          <w:color w:val="000000"/>
          <w:sz w:val="24"/>
          <w:shd w:val="clear" w:fill="FF0000"/>
          <w:lang w:val="en-US" w:eastAsia="zh-CN"/>
        </w:rPr>
        <w:t>7*24小时，总承包商来承担</w:t>
      </w:r>
    </w:p>
    <w:p w14:paraId="2DCA1417">
      <w:pPr>
        <w:spacing w:before="0" w:after="0" w:line="360" w:lineRule="auto"/>
        <w:ind w:firstLine="480" w:firstLineChars="200"/>
        <w:jc w:val="both"/>
        <w:rPr>
          <w:rFonts w:hint="eastAsia" w:ascii="Arial" w:hAnsi="Arial" w:eastAsia="宋体"/>
          <w:b w:val="0"/>
          <w:color w:val="000000"/>
          <w:sz w:val="24"/>
          <w:shd w:val="clear" w:fill="FF0000"/>
          <w:lang w:val="en-US" w:eastAsia="zh-CN"/>
        </w:rPr>
      </w:pPr>
      <w:r>
        <w:rPr>
          <w:rFonts w:hint="eastAsia" w:ascii="Arial" w:hAnsi="Arial" w:eastAsia="宋体"/>
          <w:b w:val="0"/>
          <w:color w:val="000000"/>
          <w:sz w:val="24"/>
          <w:shd w:val="clear" w:fill="FF0000"/>
          <w:lang w:val="en-US" w:eastAsia="zh-CN"/>
        </w:rPr>
        <w:t>硬件标准维修</w:t>
      </w:r>
    </w:p>
    <w:p w14:paraId="35BA9FCC">
      <w:pPr>
        <w:spacing w:before="0" w:after="0" w:line="360" w:lineRule="auto"/>
        <w:ind w:firstLine="480" w:firstLineChars="200"/>
        <w:jc w:val="both"/>
        <w:rPr>
          <w:rFonts w:hint="eastAsia" w:ascii="Arial" w:hAnsi="Arial" w:eastAsia="宋体"/>
          <w:b w:val="0"/>
          <w:color w:val="000000"/>
          <w:sz w:val="24"/>
          <w:shd w:val="clear" w:fill="FF0000"/>
          <w:lang w:val="en-US" w:eastAsia="zh-CN"/>
        </w:rPr>
      </w:pPr>
      <w:r>
        <w:rPr>
          <w:rFonts w:hint="eastAsia" w:ascii="Arial" w:hAnsi="Arial" w:eastAsia="宋体"/>
          <w:b w:val="0"/>
          <w:color w:val="000000"/>
          <w:sz w:val="24"/>
          <w:shd w:val="clear" w:fill="FF0000"/>
          <w:lang w:val="en-US" w:eastAsia="zh-CN"/>
        </w:rPr>
        <w:t>知识产权转移、维修、</w:t>
      </w:r>
    </w:p>
    <w:p w14:paraId="1B23A78F">
      <w:pPr>
        <w:spacing w:before="0" w:after="0" w:line="360" w:lineRule="auto"/>
        <w:ind w:firstLine="480" w:firstLineChars="200"/>
        <w:jc w:val="both"/>
        <w:rPr>
          <w:rFonts w:hint="eastAsia" w:ascii="Arial" w:hAnsi="Arial" w:eastAsia="宋体"/>
          <w:b w:val="0"/>
          <w:color w:val="000000"/>
          <w:sz w:val="24"/>
          <w:shd w:val="clear" w:fill="FF0000"/>
          <w:lang w:val="en-US" w:eastAsia="zh-CN"/>
        </w:rPr>
      </w:pPr>
      <w:r>
        <w:rPr>
          <w:rFonts w:hint="eastAsia" w:ascii="Arial" w:hAnsi="Arial" w:eastAsia="宋体"/>
          <w:b w:val="0"/>
          <w:color w:val="000000"/>
          <w:sz w:val="24"/>
          <w:shd w:val="clear" w:fill="FF0000"/>
          <w:lang w:val="en-US" w:eastAsia="zh-CN"/>
        </w:rPr>
        <w:t>培训、行政培训内容模板</w:t>
      </w:r>
    </w:p>
    <w:p w14:paraId="2518965C">
      <w:pPr>
        <w:spacing w:before="0" w:after="0" w:line="360" w:lineRule="auto"/>
        <w:ind w:firstLine="480" w:firstLineChars="200"/>
        <w:jc w:val="both"/>
        <w:rPr>
          <w:rFonts w:hint="eastAsia" w:ascii="Arial" w:hAnsi="Arial" w:eastAsia="宋体"/>
          <w:b w:val="0"/>
          <w:color w:val="000000"/>
          <w:sz w:val="24"/>
          <w:shd w:val="clear" w:fill="FF0000"/>
          <w:lang w:val="en-US" w:eastAsia="zh-CN"/>
        </w:rPr>
      </w:pPr>
      <w:r>
        <w:rPr>
          <w:rFonts w:hint="eastAsia" w:ascii="Arial" w:hAnsi="Arial" w:eastAsia="宋体"/>
          <w:b w:val="0"/>
          <w:color w:val="000000"/>
          <w:sz w:val="24"/>
          <w:shd w:val="clear" w:fill="FF0000"/>
          <w:lang w:val="en-US" w:eastAsia="zh-CN"/>
        </w:rPr>
        <w:t>课程培训次数，课时周期也需要梳理出来</w:t>
      </w:r>
    </w:p>
    <w:p w14:paraId="05E23EAC">
      <w:pPr>
        <w:spacing w:before="0" w:after="0" w:line="360" w:lineRule="auto"/>
        <w:ind w:firstLine="480" w:firstLineChars="200"/>
        <w:jc w:val="both"/>
        <w:rPr>
          <w:rFonts w:hint="eastAsia" w:ascii="Arial" w:hAnsi="Arial" w:eastAsia="宋体"/>
          <w:b w:val="0"/>
          <w:color w:val="000000"/>
          <w:sz w:val="24"/>
          <w:shd w:val="clear" w:fill="FF0000"/>
          <w:lang w:val="en-US" w:eastAsia="zh-CN"/>
        </w:rPr>
      </w:pPr>
      <w:r>
        <w:rPr>
          <w:rFonts w:hint="eastAsia" w:ascii="Arial" w:hAnsi="Arial" w:eastAsia="宋体"/>
          <w:b w:val="0"/>
          <w:color w:val="000000"/>
          <w:sz w:val="24"/>
          <w:shd w:val="clear" w:fill="FF0000"/>
          <w:lang w:val="en-US" w:eastAsia="zh-CN"/>
        </w:rPr>
        <w:t>管理终端培训的内容和课时培训天数</w:t>
      </w:r>
    </w:p>
    <w:p w14:paraId="7D50A086">
      <w:pPr>
        <w:spacing w:before="0" w:after="0" w:line="360" w:lineRule="auto"/>
        <w:ind w:firstLine="480" w:firstLineChars="200"/>
        <w:jc w:val="both"/>
        <w:rPr>
          <w:rFonts w:hint="default" w:ascii="Arial" w:hAnsi="Arial" w:eastAsia="宋体"/>
          <w:b w:val="0"/>
          <w:color w:val="000000"/>
          <w:sz w:val="24"/>
          <w:shd w:val="clear" w:fill="FF0000"/>
          <w:lang w:val="en-US" w:eastAsia="zh-CN"/>
        </w:rPr>
      </w:pPr>
      <w:r>
        <w:rPr>
          <w:rFonts w:hint="eastAsia" w:ascii="Arial" w:hAnsi="Arial" w:eastAsia="宋体"/>
          <w:b w:val="0"/>
          <w:color w:val="000000"/>
          <w:sz w:val="24"/>
          <w:shd w:val="clear" w:fill="FF0000"/>
          <w:lang w:val="en-US" w:eastAsia="zh-CN"/>
        </w:rPr>
        <w:t>APP增强的问题沟通和技术支撑能力清单</w:t>
      </w:r>
      <w:bookmarkStart w:id="0" w:name="_GoBack"/>
      <w:bookmarkEnd w:id="0"/>
    </w:p>
    <w:p w14:paraId="3C1C33A1">
      <w:pPr>
        <w:spacing w:before="0" w:after="0" w:line="360" w:lineRule="auto"/>
        <w:ind w:firstLine="480" w:firstLineChars="200"/>
        <w:jc w:val="both"/>
      </w:pPr>
      <w:r>
        <w:rPr>
          <w:rFonts w:ascii="Arial" w:hAnsi="Arial" w:eastAsia="宋体"/>
          <w:b w:val="0"/>
          <w:color w:val="000000"/>
          <w:sz w:val="24"/>
        </w:rPr>
        <w:t>5. 培训与知识转移。面向运营、内容编辑、设备维护等岗位开展培训，输出运维手册与故障处理流程，确保本地团队具备独立运营能力。</w:t>
      </w:r>
    </w:p>
    <w:p w14:paraId="41D1FA12">
      <w:pPr>
        <w:spacing w:before="0" w:after="0" w:line="360" w:lineRule="auto"/>
        <w:ind w:firstLine="480" w:firstLineChars="200"/>
        <w:jc w:val="both"/>
      </w:pPr>
      <w:r>
        <w:rPr>
          <w:rFonts w:ascii="Arial" w:hAnsi="Arial" w:eastAsia="宋体"/>
          <w:b w:val="0"/>
          <w:color w:val="000000"/>
          <w:sz w:val="24"/>
        </w:rPr>
        <w:t>6. 服务保障承诺。提供不少于三个月的 Hypercare 现场支持、二十四个月缺陷通知期（DNP）及后续托管服务，明确服务水平协议（SLA）、备件保障与应急响应机制，确保系统上线后稳定可靠运行。</w:t>
      </w:r>
    </w:p>
    <w:p w14:paraId="004B656F">
      <w:pPr>
        <w:pStyle w:val="3"/>
        <w:spacing w:before="280" w:after="120" w:line="312" w:lineRule="auto"/>
        <w:jc w:val="left"/>
      </w:pPr>
      <w:r>
        <w:rPr>
          <w:rFonts w:ascii="Arial" w:hAnsi="Arial" w:eastAsia="黑体"/>
          <w:b/>
          <w:color w:val="000000"/>
          <w:sz w:val="32"/>
        </w:rPr>
        <w:t>六、系统建设架构</w:t>
      </w:r>
    </w:p>
    <w:p w14:paraId="29EB8E16">
      <w:pPr>
        <w:spacing w:before="0" w:after="0" w:line="360" w:lineRule="auto"/>
        <w:ind w:firstLine="480" w:firstLineChars="200"/>
        <w:jc w:val="both"/>
      </w:pPr>
      <w:r>
        <w:rPr>
          <w:rFonts w:ascii="Arial" w:hAnsi="Arial" w:eastAsia="宋体"/>
          <w:b w:val="0"/>
          <w:color w:val="000000"/>
          <w:sz w:val="24"/>
        </w:rPr>
        <w:t>系统整体采用“旅客服务—平台服务—数据集成与中间层—数据源”四层架构设计，通过信息代理与数据中间件实现与机场各业务系统的松耦合集成，并配套贯穿全链的安全与运维保障体系，确保系统高可用、高安全、可扩展。系统总体架构如下图所示。</w:t>
      </w:r>
    </w:p>
    <w:p w14:paraId="728BB471">
      <w:pPr>
        <w:spacing w:before="80" w:after="0" w:line="240" w:lineRule="auto"/>
        <w:jc w:val="center"/>
      </w:pPr>
      <w:r>
        <w:drawing>
          <wp:inline distT="0" distB="0" distL="114300" distR="114300">
            <wp:extent cx="5760720" cy="3240405"/>
            <wp:effectExtent l="0" t="0" r="0" b="571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a:stretch>
                      <a:fillRect/>
                    </a:stretch>
                  </pic:blipFill>
                  <pic:spPr>
                    <a:xfrm>
                      <a:off x="0" y="0"/>
                      <a:ext cx="5760720" cy="3240405"/>
                    </a:xfrm>
                    <a:prstGeom prst="rect">
                      <a:avLst/>
                    </a:prstGeom>
                    <a:noFill/>
                    <a:ln>
                      <a:noFill/>
                    </a:ln>
                  </pic:spPr>
                </pic:pic>
              </a:graphicData>
            </a:graphic>
          </wp:inline>
        </w:drawing>
      </w:r>
    </w:p>
    <w:p w14:paraId="0D976832">
      <w:pPr>
        <w:spacing w:before="80" w:after="80" w:line="312" w:lineRule="auto"/>
        <w:jc w:val="center"/>
      </w:pPr>
      <w:r>
        <w:rPr>
          <w:rFonts w:ascii="Arial" w:hAnsi="Arial" w:eastAsia="宋体"/>
          <w:b/>
          <w:color w:val="000000"/>
          <w:sz w:val="21"/>
        </w:rPr>
        <w:t>图1  PIA 数字导览平台系统总体架构</w:t>
      </w:r>
    </w:p>
    <w:p w14:paraId="08D78E6D">
      <w:pPr>
        <w:spacing w:before="0" w:after="0" w:line="360" w:lineRule="auto"/>
        <w:ind w:firstLine="480" w:firstLineChars="200"/>
        <w:jc w:val="both"/>
      </w:pPr>
      <w:r>
        <w:rPr>
          <w:rFonts w:ascii="Arial" w:hAnsi="Arial" w:eastAsia="宋体"/>
          <w:b w:val="0"/>
          <w:color w:val="000000"/>
          <w:sz w:val="24"/>
        </w:rPr>
        <w:t xml:space="preserve">各层职责如下。数据源系统层负责接入航班（AODB/FIDS）、行李（BHS/ATR）、排队客流（PFQMS）、行李核对及 </w:t>
      </w:r>
      <w:r>
        <w:rPr>
          <w:rFonts w:hint="eastAsia" w:ascii="Arial" w:hAnsi="Arial" w:eastAsia="宋体"/>
          <w:b w:val="0"/>
          <w:color w:val="000000"/>
          <w:sz w:val="24"/>
          <w:lang w:eastAsia="zh-CN"/>
        </w:rPr>
        <w:t>MyAirPorts</w:t>
      </w:r>
      <w:r>
        <w:rPr>
          <w:rFonts w:ascii="Arial" w:hAnsi="Arial" w:eastAsia="宋体"/>
          <w:b w:val="0"/>
          <w:color w:val="000000"/>
          <w:sz w:val="24"/>
        </w:rPr>
        <w:t>等系统数据；数据集成与中间层由信息代理（IB）与数据中间层构成，承担统一接入、事件分发、缓存、路由与日志等功能，并形成规范化接口控制文档；平台服务层承载导航引擎与地图服务、集中内容管理、</w:t>
      </w:r>
      <w:r>
        <w:rPr>
          <w:rFonts w:hint="eastAsia" w:ascii="Arial" w:hAnsi="Arial" w:eastAsia="宋体"/>
          <w:b w:val="0"/>
          <w:color w:val="000000"/>
          <w:sz w:val="24"/>
          <w:lang w:eastAsia="zh-CN"/>
        </w:rPr>
        <w:t>MyAirPorts</w:t>
      </w:r>
      <w:r>
        <w:rPr>
          <w:rFonts w:ascii="Arial" w:hAnsi="Arial" w:eastAsia="宋体"/>
          <w:b w:val="0"/>
          <w:color w:val="000000"/>
          <w:sz w:val="24"/>
        </w:rPr>
        <w:t xml:space="preserve">本地化扩展、终端管理与监控、分析与报表等核心能力；旅客服务层通过交互式自助终端与 </w:t>
      </w:r>
      <w:r>
        <w:rPr>
          <w:rFonts w:hint="eastAsia" w:ascii="Arial" w:hAnsi="Arial" w:eastAsia="宋体"/>
          <w:b w:val="0"/>
          <w:color w:val="000000"/>
          <w:sz w:val="24"/>
          <w:lang w:eastAsia="zh-CN"/>
        </w:rPr>
        <w:t>MyAirPorts</w:t>
      </w:r>
      <w:r>
        <w:rPr>
          <w:rFonts w:ascii="Arial" w:hAnsi="Arial" w:eastAsia="宋体"/>
          <w:b w:val="0"/>
          <w:color w:val="000000"/>
          <w:sz w:val="24"/>
        </w:rPr>
        <w:t>移动应用，向旅客提供一致、连贯的数字化服务体验。</w:t>
      </w:r>
    </w:p>
    <w:p w14:paraId="48F4356F">
      <w:pPr>
        <w:spacing w:before="0" w:after="0" w:line="360" w:lineRule="auto"/>
        <w:ind w:firstLine="480" w:firstLineChars="200"/>
        <w:jc w:val="both"/>
      </w:pPr>
      <w:r>
        <w:rPr>
          <w:rFonts w:ascii="Arial" w:hAnsi="Arial" w:eastAsia="宋体"/>
          <w:b w:val="0"/>
          <w:color w:val="000000"/>
          <w:sz w:val="24"/>
        </w:rPr>
        <w:t>安全与运维保障贯穿各层：全链路传输加密保障数据安全，终端防护（EPP/EDR）满足端点安全要求，权限管控与审计日志确保操作可追溯，二十四小时监控告警与远程运维保障系统稳定，隐私合规与数据驻留管理满足监管要求。架构遵循开放标准与模块化原则，支持按需扩展，为后续跨机场复制推广预留能力。</w:t>
      </w:r>
    </w:p>
    <w:p w14:paraId="48F6A728">
      <w:pPr>
        <w:pStyle w:val="3"/>
        <w:spacing w:before="280" w:after="120" w:line="312" w:lineRule="auto"/>
        <w:jc w:val="left"/>
      </w:pPr>
      <w:r>
        <w:rPr>
          <w:rFonts w:ascii="Arial" w:hAnsi="Arial" w:eastAsia="黑体"/>
          <w:b/>
          <w:color w:val="000000"/>
          <w:sz w:val="32"/>
        </w:rPr>
        <w:t>七、系统效果图</w:t>
      </w:r>
    </w:p>
    <w:p w14:paraId="42ABA480">
      <w:pPr>
        <w:spacing w:before="80" w:after="0" w:line="240" w:lineRule="auto"/>
        <w:jc w:val="center"/>
      </w:pPr>
      <w:r>
        <w:drawing>
          <wp:inline distT="0" distB="0" distL="114300" distR="114300">
            <wp:extent cx="5759450" cy="4319905"/>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000" cy="4320000"/>
                    </a:xfrm>
                    <a:prstGeom prst="rect">
                      <a:avLst/>
                    </a:prstGeom>
                  </pic:spPr>
                </pic:pic>
              </a:graphicData>
            </a:graphic>
          </wp:inline>
        </w:drawing>
      </w:r>
    </w:p>
    <w:p w14:paraId="757448F1">
      <w:pPr>
        <w:spacing w:before="80" w:after="80" w:line="312" w:lineRule="auto"/>
        <w:jc w:val="center"/>
      </w:pPr>
      <w:r>
        <w:rPr>
          <w:rFonts w:ascii="Arial" w:hAnsi="Arial" w:eastAsia="宋体"/>
          <w:b/>
          <w:color w:val="000000"/>
          <w:sz w:val="21"/>
        </w:rPr>
        <w:t>图2  航站楼交互式导航终端使用场景效果图</w:t>
      </w:r>
    </w:p>
    <w:p w14:paraId="0501A664">
      <w:pPr>
        <w:spacing w:before="0" w:after="0" w:line="360" w:lineRule="auto"/>
        <w:ind w:firstLine="480" w:firstLineChars="200"/>
        <w:jc w:val="both"/>
      </w:pPr>
      <w:r>
        <w:rPr>
          <w:rFonts w:ascii="Arial" w:hAnsi="Arial" w:eastAsia="宋体"/>
          <w:b w:val="0"/>
          <w:color w:val="000000"/>
          <w:sz w:val="24"/>
        </w:rPr>
        <w:t>系统建成后，旅客可在航站楼出发大厅、候机区、中转区等关键节点，通过交互式自助终端自助完成航班动态查询、室内导航、兴趣点搜索与商业信息浏览，使用场景如上图所示。终端界面支持多语言切换，提供登机牌扫码个性化服务与二维码续接移动端功能，实现“大屏自助引导、移动端无缝续接”的全流程数字化出行体验；机场运营方可借助集中内容管理平台统一发布航班、活动与商业促销信息，提升信息触达效率与商业转化，效果图将随界面设计深化持续优化完善。</w:t>
      </w:r>
    </w:p>
    <w:p w14:paraId="59355251">
      <w:pPr>
        <w:spacing w:before="0" w:after="0" w:line="360" w:lineRule="auto"/>
        <w:ind w:firstLine="480" w:firstLineChars="200"/>
        <w:jc w:val="both"/>
      </w:pPr>
      <w:r>
        <w:rPr>
          <w:rFonts w:ascii="Arial" w:hAnsi="Arial" w:eastAsia="宋体"/>
          <w:b w:val="0"/>
          <w:color w:val="000000"/>
          <w:sz w:val="24"/>
        </w:rPr>
        <w:t>移动端（</w:t>
      </w:r>
      <w:r>
        <w:rPr>
          <w:rFonts w:hint="eastAsia" w:ascii="Arial" w:hAnsi="Arial" w:eastAsia="宋体"/>
          <w:b w:val="0"/>
          <w:color w:val="000000"/>
          <w:sz w:val="24"/>
          <w:lang w:eastAsia="zh-CN"/>
        </w:rPr>
        <w:t>MyAirPorts</w:t>
      </w:r>
      <w:r>
        <w:rPr>
          <w:rFonts w:ascii="Arial" w:hAnsi="Arial" w:eastAsia="宋体"/>
          <w:b w:val="0"/>
          <w:color w:val="000000"/>
          <w:sz w:val="24"/>
        </w:rPr>
        <w:t>应用）效果示意图如下。</w:t>
      </w:r>
    </w:p>
    <w:p w14:paraId="6E8E5BC0">
      <w:pPr>
        <w:spacing w:before="80" w:after="0" w:line="240" w:lineRule="auto"/>
        <w:jc w:val="center"/>
      </w:pPr>
      <w:r>
        <w:drawing>
          <wp:inline distT="0" distB="0" distL="114300" distR="114300">
            <wp:extent cx="5219700" cy="391477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20000" cy="3915000"/>
                    </a:xfrm>
                    <a:prstGeom prst="rect">
                      <a:avLst/>
                    </a:prstGeom>
                  </pic:spPr>
                </pic:pic>
              </a:graphicData>
            </a:graphic>
          </wp:inline>
        </w:drawing>
      </w:r>
    </w:p>
    <w:p w14:paraId="57C9810B">
      <w:pPr>
        <w:spacing w:before="80" w:after="80" w:line="312" w:lineRule="auto"/>
        <w:jc w:val="center"/>
      </w:pPr>
      <w:r>
        <w:rPr>
          <w:rFonts w:ascii="Arial" w:hAnsi="Arial" w:eastAsia="宋体"/>
          <w:b/>
          <w:color w:val="000000"/>
          <w:sz w:val="21"/>
        </w:rPr>
        <w:t xml:space="preserve">图4  </w:t>
      </w:r>
      <w:r>
        <w:rPr>
          <w:rFonts w:hint="eastAsia" w:ascii="Arial" w:hAnsi="Arial" w:eastAsia="宋体"/>
          <w:b/>
          <w:color w:val="000000"/>
          <w:sz w:val="21"/>
          <w:lang w:eastAsia="zh-CN"/>
        </w:rPr>
        <w:t>MyAirPorts</w:t>
      </w:r>
      <w:r>
        <w:rPr>
          <w:rFonts w:ascii="Arial" w:hAnsi="Arial" w:eastAsia="宋体"/>
          <w:b/>
          <w:color w:val="000000"/>
          <w:sz w:val="21"/>
        </w:rPr>
        <w:t>室内导航使用场景效果图</w:t>
      </w:r>
    </w:p>
    <w:p w14:paraId="4FEE31B7">
      <w:pPr>
        <w:spacing w:before="80" w:after="0" w:line="240" w:lineRule="auto"/>
        <w:jc w:val="center"/>
      </w:pPr>
      <w:r>
        <w:drawing>
          <wp:inline distT="0" distB="0" distL="114300" distR="114300">
            <wp:extent cx="5219700" cy="391477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20000" cy="3915000"/>
                    </a:xfrm>
                    <a:prstGeom prst="rect">
                      <a:avLst/>
                    </a:prstGeom>
                  </pic:spPr>
                </pic:pic>
              </a:graphicData>
            </a:graphic>
          </wp:inline>
        </w:drawing>
      </w:r>
    </w:p>
    <w:p w14:paraId="4AF6DCCA">
      <w:pPr>
        <w:spacing w:before="80" w:after="80" w:line="312" w:lineRule="auto"/>
        <w:jc w:val="center"/>
      </w:pPr>
      <w:r>
        <w:rPr>
          <w:rFonts w:ascii="Arial" w:hAnsi="Arial" w:eastAsia="宋体"/>
          <w:b/>
          <w:color w:val="000000"/>
          <w:sz w:val="21"/>
        </w:rPr>
        <w:t xml:space="preserve">图5  </w:t>
      </w:r>
      <w:r>
        <w:rPr>
          <w:rFonts w:hint="eastAsia" w:ascii="Arial" w:hAnsi="Arial" w:eastAsia="宋体"/>
          <w:b/>
          <w:color w:val="000000"/>
          <w:sz w:val="21"/>
          <w:lang w:eastAsia="zh-CN"/>
        </w:rPr>
        <w:t>MyAirPorts</w:t>
      </w:r>
      <w:r>
        <w:rPr>
          <w:rFonts w:ascii="Arial" w:hAnsi="Arial" w:eastAsia="宋体"/>
          <w:b/>
          <w:color w:val="000000"/>
          <w:sz w:val="21"/>
        </w:rPr>
        <w:t>移动应用界面效果图（示意）</w:t>
      </w:r>
    </w:p>
    <w:p w14:paraId="72E55CF8">
      <w:pPr>
        <w:spacing w:before="80" w:after="0" w:line="240" w:lineRule="auto"/>
        <w:jc w:val="center"/>
      </w:pPr>
      <w:r>
        <w:drawing>
          <wp:inline distT="0" distB="0" distL="114300" distR="114300">
            <wp:extent cx="5219700" cy="3914775"/>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20000" cy="3915000"/>
                    </a:xfrm>
                    <a:prstGeom prst="rect">
                      <a:avLst/>
                    </a:prstGeom>
                  </pic:spPr>
                </pic:pic>
              </a:graphicData>
            </a:graphic>
          </wp:inline>
        </w:drawing>
      </w:r>
    </w:p>
    <w:p w14:paraId="03C74D6F">
      <w:pPr>
        <w:spacing w:before="80" w:after="80" w:line="312" w:lineRule="auto"/>
        <w:jc w:val="center"/>
      </w:pPr>
      <w:r>
        <w:rPr>
          <w:rFonts w:ascii="Arial" w:hAnsi="Arial" w:eastAsia="宋体"/>
          <w:b/>
          <w:color w:val="000000"/>
          <w:sz w:val="21"/>
        </w:rPr>
        <w:t xml:space="preserve">图6  </w:t>
      </w:r>
      <w:r>
        <w:rPr>
          <w:rFonts w:hint="eastAsia" w:ascii="Arial" w:hAnsi="Arial" w:eastAsia="宋体"/>
          <w:b/>
          <w:color w:val="000000"/>
          <w:sz w:val="21"/>
          <w:lang w:eastAsia="zh-CN"/>
        </w:rPr>
        <w:t>MyAirPorts</w:t>
      </w:r>
      <w:r>
        <w:rPr>
          <w:rFonts w:ascii="Arial" w:hAnsi="Arial" w:eastAsia="宋体"/>
          <w:b/>
          <w:color w:val="000000"/>
          <w:sz w:val="21"/>
        </w:rPr>
        <w:t>移动应用商业服务场景效果图</w:t>
      </w:r>
    </w:p>
    <w:p w14:paraId="0FD900D0">
      <w:pPr>
        <w:spacing w:before="0" w:after="0" w:line="360" w:lineRule="auto"/>
        <w:ind w:firstLine="480" w:firstLineChars="200"/>
        <w:jc w:val="both"/>
      </w:pPr>
      <w:r>
        <w:rPr>
          <w:rFonts w:ascii="Arial" w:hAnsi="Arial" w:eastAsia="宋体"/>
          <w:b w:val="0"/>
          <w:color w:val="000000"/>
          <w:sz w:val="24"/>
        </w:rPr>
        <w:t xml:space="preserve">旅客在航站楼内使用 </w:t>
      </w:r>
      <w:r>
        <w:rPr>
          <w:rFonts w:hint="eastAsia" w:ascii="Arial" w:hAnsi="Arial" w:eastAsia="宋体"/>
          <w:b w:val="0"/>
          <w:color w:val="000000"/>
          <w:sz w:val="24"/>
          <w:lang w:eastAsia="zh-CN"/>
        </w:rPr>
        <w:t>MyAirPorts</w:t>
      </w:r>
      <w:r>
        <w:rPr>
          <w:rFonts w:ascii="Arial" w:hAnsi="Arial" w:eastAsia="宋体"/>
          <w:b w:val="0"/>
          <w:color w:val="000000"/>
          <w:sz w:val="24"/>
        </w:rPr>
        <w:t>移动应用完成室内导航，实时查看当前位置、最优路线与目标登机口或商铺，配合二维码续接能力实现手机端与自助终端路线无缝衔接。移动应用以航班信息、室内导航与商业服务为核心组织界面，一键切换航班动态、路线规划与在线预订，遵循多语言、大字号与无障碍设计原则，适配不同旅客群体。旅客在机场商铺或餐饮区通过移动应用完成在线预订核销与优惠兑换，实现“线上预订—到店核销—优惠触达”的商业闭环，为机场商业运营提供数字化增收渠道。相关界面与场景效果图将随界面设计深化持续优化完善。</w:t>
      </w:r>
    </w:p>
    <w:p w14:paraId="429EE9AF">
      <w:pPr>
        <w:pStyle w:val="3"/>
        <w:spacing w:before="280" w:after="120" w:line="312" w:lineRule="auto"/>
        <w:jc w:val="left"/>
      </w:pPr>
      <w:r>
        <w:rPr>
          <w:rFonts w:ascii="Arial" w:hAnsi="Arial" w:eastAsia="黑体"/>
          <w:b/>
          <w:color w:val="000000"/>
          <w:sz w:val="32"/>
        </w:rPr>
        <w:t>八、实施计划</w:t>
      </w:r>
    </w:p>
    <w:p w14:paraId="4B0FEFB5">
      <w:pPr>
        <w:spacing w:before="0" w:after="0" w:line="360" w:lineRule="auto"/>
        <w:ind w:firstLine="480" w:firstLineChars="200"/>
        <w:jc w:val="both"/>
      </w:pPr>
      <w:r>
        <w:rPr>
          <w:rFonts w:ascii="Arial" w:hAnsi="Arial" w:eastAsia="宋体"/>
          <w:b w:val="0"/>
          <w:color w:val="000000"/>
          <w:sz w:val="24"/>
        </w:rPr>
        <w:t>项目按照“调研先行、设计牵引、集成贯通、现场落地、运营移交”的总体思路组织实施，通过里程碑管理保障各阶段有序衔接、风险可控。项目总周期十八个月，划分为五个阶段，具体安排如下。</w:t>
      </w:r>
    </w:p>
    <w:p w14:paraId="03FF3EB1">
      <w:pPr>
        <w:spacing w:before="0" w:after="0" w:line="360" w:lineRule="auto"/>
        <w:ind w:firstLine="480" w:firstLineChars="200"/>
        <w:jc w:val="both"/>
      </w:pPr>
      <w:r>
        <w:rPr>
          <w:rFonts w:ascii="Arial" w:hAnsi="Arial" w:eastAsia="宋体"/>
          <w:b w:val="0"/>
          <w:color w:val="000000"/>
          <w:sz w:val="24"/>
        </w:rPr>
        <w:t>第一阶段（第一至三月）：项目启动与调研。完成项目治理架构搭建、需求确认、现场网络与电力勘查、接口控制文档初稿编制与界面原型设计。</w:t>
      </w:r>
    </w:p>
    <w:p w14:paraId="2B38F14B">
      <w:pPr>
        <w:spacing w:before="0" w:after="0" w:line="360" w:lineRule="auto"/>
        <w:ind w:firstLine="480" w:firstLineChars="200"/>
        <w:jc w:val="both"/>
      </w:pPr>
      <w:r>
        <w:rPr>
          <w:rFonts w:ascii="Arial" w:hAnsi="Arial" w:eastAsia="宋体"/>
          <w:b w:val="0"/>
          <w:color w:val="000000"/>
          <w:sz w:val="24"/>
        </w:rPr>
        <w:t>第二阶段（第四至八月）：设计与核心开发。完成导航引擎设计、内容管理平台架构、</w:t>
      </w:r>
      <w:r>
        <w:rPr>
          <w:rFonts w:hint="eastAsia" w:ascii="Arial" w:hAnsi="Arial" w:eastAsia="宋体"/>
          <w:b w:val="0"/>
          <w:color w:val="000000"/>
          <w:sz w:val="24"/>
          <w:lang w:eastAsia="zh-CN"/>
        </w:rPr>
        <w:t>MyAirPorts</w:t>
      </w:r>
      <w:r>
        <w:rPr>
          <w:rFonts w:ascii="Arial" w:hAnsi="Arial" w:eastAsia="宋体"/>
          <w:b w:val="0"/>
          <w:color w:val="000000"/>
          <w:sz w:val="24"/>
        </w:rPr>
        <w:t>本地化接口开发、硬件选型与样机验证。</w:t>
      </w:r>
    </w:p>
    <w:p w14:paraId="69D27734">
      <w:pPr>
        <w:spacing w:before="0" w:after="0" w:line="360" w:lineRule="auto"/>
        <w:ind w:firstLine="480" w:firstLineChars="200"/>
        <w:jc w:val="both"/>
      </w:pPr>
      <w:r>
        <w:rPr>
          <w:rFonts w:ascii="Arial" w:hAnsi="Arial" w:eastAsia="宋体"/>
          <w:b w:val="0"/>
          <w:color w:val="000000"/>
          <w:sz w:val="24"/>
        </w:rPr>
        <w:t>第三阶段（第九至十二月）：集成开发与迭代测试。完成航班、行李、排队等系统集成，终端管理平台开发，首批终端交付与工厂验收（FAT），并实施安全加固。</w:t>
      </w:r>
    </w:p>
    <w:p w14:paraId="620EB858">
      <w:pPr>
        <w:spacing w:before="0" w:after="0" w:line="360" w:lineRule="auto"/>
        <w:ind w:firstLine="480" w:firstLineChars="200"/>
        <w:jc w:val="both"/>
      </w:pPr>
      <w:r>
        <w:rPr>
          <w:rFonts w:ascii="Arial" w:hAnsi="Arial" w:eastAsia="宋体"/>
          <w:b w:val="0"/>
          <w:color w:val="000000"/>
          <w:sz w:val="24"/>
        </w:rPr>
        <w:t>第四阶段（第十三至十五月）：现场部署与验收。完成现场布线、终端安装与调优、系统联调、代表性旅客场景验收（UAT）与公开演示。</w:t>
      </w:r>
    </w:p>
    <w:p w14:paraId="0F93A503">
      <w:pPr>
        <w:spacing w:before="0" w:after="0" w:line="360" w:lineRule="auto"/>
        <w:ind w:firstLine="480" w:firstLineChars="200"/>
        <w:jc w:val="both"/>
        <w:rPr>
          <w:rFonts w:ascii="Arial" w:hAnsi="Arial" w:eastAsia="宋体"/>
          <w:b w:val="0"/>
          <w:color w:val="000000"/>
          <w:sz w:val="24"/>
        </w:rPr>
      </w:pPr>
      <w:r>
        <w:rPr>
          <w:rFonts w:ascii="Arial" w:hAnsi="Arial" w:eastAsia="宋体"/>
          <w:b w:val="0"/>
          <w:color w:val="000000"/>
          <w:sz w:val="24"/>
        </w:rPr>
        <w:t>第五阶段（第十六至十八月）：试运行与移交。提供不少于三个月的 Hypercare 现场支持，开展运维知识转移，启动服务水平协议考核与缺陷通知期（DNP），完成最终验收与结项。</w:t>
      </w:r>
    </w:p>
    <w:p w14:paraId="217597FD">
      <w:pPr>
        <w:spacing w:before="0" w:after="0" w:line="360" w:lineRule="auto"/>
        <w:ind w:firstLine="480" w:firstLineChars="200"/>
        <w:jc w:val="both"/>
        <w:rPr>
          <w:rFonts w:hint="default" w:ascii="Arial" w:hAnsi="Arial" w:eastAsia="宋体"/>
          <w:b w:val="0"/>
          <w:color w:val="FF0000"/>
          <w:sz w:val="24"/>
          <w:lang w:val="en-US" w:eastAsia="zh-CN"/>
        </w:rPr>
      </w:pPr>
      <w:r>
        <w:rPr>
          <w:rFonts w:hint="eastAsia" w:ascii="Arial" w:hAnsi="Arial" w:eastAsia="宋体"/>
          <w:b w:val="0"/>
          <w:color w:val="FF0000"/>
          <w:sz w:val="24"/>
          <w:lang w:val="en-US" w:eastAsia="zh-CN"/>
        </w:rPr>
        <w:t>按照十二个月进行计划梳理/客户配合协调联动的项目风险点梳理出来</w:t>
      </w:r>
    </w:p>
    <w:p w14:paraId="120BC9A1">
      <w:pPr>
        <w:pStyle w:val="3"/>
        <w:spacing w:before="280" w:after="120" w:line="312" w:lineRule="auto"/>
        <w:jc w:val="left"/>
      </w:pPr>
      <w:r>
        <w:rPr>
          <w:rFonts w:ascii="Arial" w:hAnsi="Arial" w:eastAsia="黑体"/>
          <w:b/>
          <w:color w:val="000000"/>
          <w:sz w:val="32"/>
        </w:rPr>
        <w:t>九、建设条件</w:t>
      </w:r>
    </w:p>
    <w:p w14:paraId="71E98882">
      <w:pPr>
        <w:spacing w:before="0" w:after="0" w:line="360" w:lineRule="auto"/>
        <w:ind w:firstLine="480" w:firstLineChars="200"/>
        <w:jc w:val="both"/>
      </w:pPr>
      <w:r>
        <w:rPr>
          <w:rFonts w:ascii="Arial" w:hAnsi="Arial" w:eastAsia="宋体"/>
          <w:b w:val="0"/>
          <w:color w:val="000000"/>
          <w:sz w:val="24"/>
        </w:rPr>
        <w:t xml:space="preserve">一是业主支持。MAHB/PIA 需提供与 </w:t>
      </w:r>
      <w:r>
        <w:rPr>
          <w:rFonts w:hint="eastAsia" w:ascii="Arial" w:hAnsi="Arial" w:eastAsia="宋体"/>
          <w:b w:val="0"/>
          <w:color w:val="000000"/>
          <w:sz w:val="24"/>
          <w:lang w:eastAsia="zh-CN"/>
        </w:rPr>
        <w:t>MyAirPorts</w:t>
      </w:r>
      <w:r>
        <w:rPr>
          <w:rFonts w:ascii="Arial" w:hAnsi="Arial" w:eastAsia="宋体"/>
          <w:b w:val="0"/>
          <w:color w:val="000000"/>
          <w:sz w:val="24"/>
        </w:rPr>
        <w:t>开发团队对接的资源、接口访问权限与数据授权。</w:t>
      </w:r>
    </w:p>
    <w:p w14:paraId="0BEAA9BD">
      <w:pPr>
        <w:spacing w:before="0" w:after="0" w:line="360" w:lineRule="auto"/>
        <w:ind w:firstLine="480" w:firstLineChars="200"/>
        <w:jc w:val="both"/>
      </w:pPr>
      <w:r>
        <w:rPr>
          <w:rFonts w:ascii="Arial" w:hAnsi="Arial" w:eastAsia="宋体"/>
          <w:b w:val="0"/>
          <w:color w:val="000000"/>
          <w:sz w:val="24"/>
        </w:rPr>
        <w:t>二是机房与网络。机场需提供目标网络接入点、机房位置、虚拟局域网与防火墙策略及基础带宽。</w:t>
      </w:r>
    </w:p>
    <w:p w14:paraId="6A6F72DE">
      <w:pPr>
        <w:spacing w:before="0" w:after="0" w:line="360" w:lineRule="auto"/>
        <w:ind w:firstLine="480" w:firstLineChars="200"/>
        <w:jc w:val="both"/>
      </w:pPr>
      <w:r>
        <w:rPr>
          <w:rFonts w:ascii="Arial" w:hAnsi="Arial" w:eastAsia="宋体"/>
          <w:b w:val="0"/>
          <w:color w:val="000000"/>
          <w:sz w:val="24"/>
        </w:rPr>
        <w:t>三是电力与安装许可。落实终端安装点的供电条件及建筑、消防许可审批。</w:t>
      </w:r>
    </w:p>
    <w:p w14:paraId="179453C4">
      <w:pPr>
        <w:spacing w:before="0" w:after="0" w:line="360" w:lineRule="auto"/>
        <w:ind w:firstLine="480" w:firstLineChars="200"/>
        <w:jc w:val="both"/>
      </w:pPr>
      <w:r>
        <w:rPr>
          <w:rFonts w:ascii="Arial" w:hAnsi="Arial" w:eastAsia="宋体"/>
          <w:b w:val="0"/>
          <w:color w:val="000000"/>
          <w:sz w:val="24"/>
        </w:rPr>
        <w:t>四是第三方系统配合。航班、行李、排队等系统的接口方需提供技术配合与测试环境支持。</w:t>
      </w:r>
    </w:p>
    <w:p w14:paraId="6C433F5C">
      <w:pPr>
        <w:spacing w:before="0" w:after="0" w:line="360" w:lineRule="auto"/>
        <w:ind w:firstLine="480" w:firstLineChars="200"/>
        <w:jc w:val="both"/>
      </w:pPr>
      <w:r>
        <w:rPr>
          <w:rFonts w:ascii="Arial" w:hAnsi="Arial" w:eastAsia="宋体"/>
          <w:b w:val="0"/>
          <w:color w:val="000000"/>
          <w:sz w:val="24"/>
        </w:rPr>
        <w:t>五是安全合规要求。明确 MAHB 关于终端防护、证书管理、数据驻留与隐私合规的具体条款，作为建设与验收依据。</w:t>
      </w:r>
    </w:p>
    <w:p w14:paraId="05436FCD">
      <w:pPr>
        <w:pStyle w:val="3"/>
        <w:spacing w:before="280" w:after="120" w:line="312" w:lineRule="auto"/>
        <w:jc w:val="left"/>
      </w:pPr>
      <w:r>
        <w:rPr>
          <w:rFonts w:ascii="Arial" w:hAnsi="Arial" w:eastAsia="黑体"/>
          <w:b/>
          <w:color w:val="000000"/>
          <w:sz w:val="32"/>
        </w:rPr>
        <w:t>十、投资估算及资金来源</w:t>
      </w:r>
    </w:p>
    <w:p w14:paraId="28BE7D44">
      <w:pPr>
        <w:spacing w:before="0" w:after="0" w:line="360" w:lineRule="auto"/>
        <w:ind w:firstLine="480" w:firstLineChars="200"/>
        <w:jc w:val="both"/>
      </w:pPr>
      <w:r>
        <w:rPr>
          <w:rFonts w:ascii="Arial" w:hAnsi="Arial" w:eastAsia="宋体"/>
          <w:b w:val="0"/>
          <w:color w:val="000000"/>
          <w:sz w:val="24"/>
        </w:rPr>
        <w:t>项目计划总投资</w:t>
      </w:r>
      <w:r>
        <w:rPr>
          <w:rFonts w:hint="eastAsia" w:ascii="Arial" w:hAnsi="Arial" w:eastAsia="宋体"/>
          <w:b w:val="0"/>
          <w:color w:val="000000"/>
          <w:sz w:val="24"/>
          <w:lang w:val="en-US" w:eastAsia="zh-CN"/>
        </w:rPr>
        <w:t>XXX</w:t>
      </w:r>
      <w:r>
        <w:rPr>
          <w:rFonts w:ascii="Arial" w:hAnsi="Arial" w:eastAsia="宋体"/>
          <w:b w:val="0"/>
          <w:color w:val="000000"/>
          <w:sz w:val="24"/>
        </w:rPr>
        <w:t>万元，其中软件与系统建设</w:t>
      </w:r>
      <w:r>
        <w:rPr>
          <w:rFonts w:hint="eastAsia" w:ascii="Arial" w:hAnsi="Arial" w:eastAsia="宋体"/>
          <w:b w:val="0"/>
          <w:color w:val="000000"/>
          <w:sz w:val="24"/>
          <w:lang w:val="en-US" w:eastAsia="zh-CN"/>
        </w:rPr>
        <w:t>XXXX</w:t>
      </w:r>
      <w:r>
        <w:rPr>
          <w:rFonts w:ascii="Arial" w:hAnsi="Arial" w:eastAsia="宋体"/>
          <w:b w:val="0"/>
          <w:color w:val="000000"/>
          <w:sz w:val="24"/>
        </w:rPr>
        <w:t>万元、硬件采购与部署</w:t>
      </w:r>
      <w:r>
        <w:rPr>
          <w:rFonts w:hint="eastAsia" w:ascii="Arial" w:hAnsi="Arial" w:eastAsia="宋体"/>
          <w:b w:val="0"/>
          <w:color w:val="000000"/>
          <w:sz w:val="24"/>
          <w:lang w:val="en-US" w:eastAsia="zh-CN"/>
        </w:rPr>
        <w:t>XXXX</w:t>
      </w:r>
      <w:r>
        <w:rPr>
          <w:rFonts w:ascii="Arial" w:hAnsi="Arial" w:eastAsia="宋体"/>
          <w:b w:val="0"/>
          <w:color w:val="000000"/>
          <w:sz w:val="24"/>
        </w:rPr>
        <w:t>万元、配套服务</w:t>
      </w:r>
      <w:r>
        <w:rPr>
          <w:rFonts w:hint="eastAsia" w:ascii="Arial" w:hAnsi="Arial" w:eastAsia="宋体"/>
          <w:b w:val="0"/>
          <w:color w:val="000000"/>
          <w:sz w:val="24"/>
          <w:lang w:val="en-US" w:eastAsia="zh-CN"/>
        </w:rPr>
        <w:t>XXX</w:t>
      </w:r>
      <w:r>
        <w:rPr>
          <w:rFonts w:ascii="Arial" w:hAnsi="Arial" w:eastAsia="宋体"/>
          <w:b w:val="0"/>
          <w:color w:val="000000"/>
          <w:sz w:val="24"/>
        </w:rPr>
        <w:t>万元、运营与运维</w:t>
      </w:r>
      <w:r>
        <w:rPr>
          <w:rFonts w:hint="eastAsia" w:ascii="Arial" w:hAnsi="Arial" w:eastAsia="宋体"/>
          <w:b w:val="0"/>
          <w:color w:val="000000"/>
          <w:sz w:val="24"/>
          <w:lang w:val="en-US" w:eastAsia="zh-CN"/>
        </w:rPr>
        <w:t>XXX</w:t>
      </w:r>
      <w:r>
        <w:rPr>
          <w:rFonts w:ascii="Arial" w:hAnsi="Arial" w:eastAsia="宋体"/>
          <w:b w:val="0"/>
          <w:color w:val="000000"/>
          <w:sz w:val="24"/>
        </w:rPr>
        <w:t>万元、第三方接口与许可</w:t>
      </w:r>
      <w:r>
        <w:rPr>
          <w:rFonts w:hint="eastAsia" w:ascii="Arial" w:hAnsi="Arial" w:eastAsia="宋体"/>
          <w:b w:val="0"/>
          <w:color w:val="000000"/>
          <w:sz w:val="24"/>
          <w:lang w:val="en-US" w:eastAsia="zh-CN"/>
        </w:rPr>
        <w:t>XXX</w:t>
      </w:r>
      <w:r>
        <w:rPr>
          <w:rFonts w:ascii="Arial" w:hAnsi="Arial" w:eastAsia="宋体"/>
          <w:b w:val="0"/>
          <w:color w:val="000000"/>
          <w:sz w:val="24"/>
        </w:rPr>
        <w:t>万元、预备费</w:t>
      </w:r>
      <w:r>
        <w:rPr>
          <w:rFonts w:hint="eastAsia" w:ascii="Arial" w:hAnsi="Arial" w:eastAsia="宋体"/>
          <w:b w:val="0"/>
          <w:color w:val="000000"/>
          <w:sz w:val="24"/>
          <w:lang w:val="en-US" w:eastAsia="zh-CN"/>
        </w:rPr>
        <w:t>XXX</w:t>
      </w:r>
      <w:r>
        <w:rPr>
          <w:rFonts w:ascii="Arial" w:hAnsi="Arial" w:eastAsia="宋体"/>
          <w:b w:val="0"/>
          <w:color w:val="000000"/>
          <w:sz w:val="24"/>
        </w:rPr>
        <w:t>万元，投资构成如下表所示。</w:t>
      </w:r>
    </w:p>
    <w:p w14:paraId="11C65F76">
      <w:pPr>
        <w:keepNext/>
        <w:spacing w:before="80" w:after="80" w:line="312" w:lineRule="auto"/>
        <w:jc w:val="center"/>
      </w:pPr>
      <w:r>
        <w:rPr>
          <w:rFonts w:ascii="Arial" w:hAnsi="Arial" w:eastAsia="宋体"/>
          <w:b/>
          <w:color w:val="000000"/>
          <w:sz w:val="21"/>
        </w:rPr>
        <w:t>表1  投资估算明细表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A65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D9D9D9"/>
            <w:vAlign w:val="center"/>
          </w:tcPr>
          <w:p w14:paraId="02234557">
            <w:pPr>
              <w:spacing w:before="20" w:after="20" w:line="240" w:lineRule="auto"/>
              <w:jc w:val="center"/>
            </w:pPr>
            <w:r>
              <w:rPr>
                <w:rFonts w:ascii="Arial" w:hAnsi="Arial" w:eastAsia="宋体"/>
                <w:b/>
                <w:color w:val="000000"/>
                <w:sz w:val="21"/>
              </w:rPr>
              <w:t>序号</w:t>
            </w:r>
          </w:p>
        </w:tc>
        <w:tc>
          <w:tcPr>
            <w:tcW w:w="3024" w:type="dxa"/>
            <w:shd w:val="clear" w:color="auto" w:fill="D9D9D9"/>
            <w:vAlign w:val="center"/>
          </w:tcPr>
          <w:p w14:paraId="2D5A208C">
            <w:pPr>
              <w:spacing w:before="20" w:after="20" w:line="240" w:lineRule="auto"/>
              <w:jc w:val="center"/>
            </w:pPr>
            <w:r>
              <w:rPr>
                <w:rFonts w:ascii="Arial" w:hAnsi="Arial" w:eastAsia="宋体"/>
                <w:b/>
                <w:color w:val="000000"/>
                <w:sz w:val="21"/>
              </w:rPr>
              <w:t>投资类别</w:t>
            </w:r>
          </w:p>
        </w:tc>
        <w:tc>
          <w:tcPr>
            <w:tcW w:w="3024" w:type="dxa"/>
            <w:shd w:val="clear" w:color="auto" w:fill="D9D9D9"/>
            <w:vAlign w:val="center"/>
          </w:tcPr>
          <w:p w14:paraId="4E825A86">
            <w:pPr>
              <w:spacing w:before="20" w:after="20" w:line="240" w:lineRule="auto"/>
              <w:jc w:val="center"/>
            </w:pPr>
            <w:r>
              <w:rPr>
                <w:rFonts w:ascii="Arial" w:hAnsi="Arial" w:eastAsia="宋体"/>
                <w:b/>
                <w:color w:val="000000"/>
                <w:sz w:val="21"/>
              </w:rPr>
              <w:t>金额（万元）</w:t>
            </w:r>
          </w:p>
        </w:tc>
      </w:tr>
      <w:tr w14:paraId="022C5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5F8B7645">
            <w:pPr>
              <w:spacing w:before="20" w:after="20" w:line="240" w:lineRule="auto"/>
              <w:jc w:val="center"/>
            </w:pPr>
            <w:r>
              <w:rPr>
                <w:rFonts w:ascii="Arial" w:hAnsi="Arial" w:eastAsia="宋体"/>
                <w:b w:val="0"/>
                <w:color w:val="000000"/>
                <w:sz w:val="21"/>
              </w:rPr>
              <w:t>1</w:t>
            </w:r>
          </w:p>
        </w:tc>
        <w:tc>
          <w:tcPr>
            <w:tcW w:w="3024" w:type="dxa"/>
            <w:vAlign w:val="center"/>
          </w:tcPr>
          <w:p w14:paraId="3F5A0590">
            <w:pPr>
              <w:spacing w:before="20" w:after="20" w:line="240" w:lineRule="auto"/>
              <w:jc w:val="left"/>
            </w:pPr>
            <w:r>
              <w:rPr>
                <w:rFonts w:ascii="Arial" w:hAnsi="Arial" w:eastAsia="宋体"/>
                <w:b w:val="0"/>
                <w:color w:val="000000"/>
                <w:sz w:val="21"/>
              </w:rPr>
              <w:t>软件与系统建设</w:t>
            </w:r>
          </w:p>
        </w:tc>
        <w:tc>
          <w:tcPr>
            <w:tcW w:w="3024" w:type="dxa"/>
            <w:vAlign w:val="center"/>
          </w:tcPr>
          <w:p w14:paraId="39C6462C">
            <w:pPr>
              <w:spacing w:before="20" w:after="20" w:line="240" w:lineRule="auto"/>
              <w:jc w:val="center"/>
              <w:rPr>
                <w:rFonts w:hint="default" w:eastAsia="宋体"/>
                <w:lang w:val="en-US" w:eastAsia="zh-CN"/>
              </w:rPr>
            </w:pPr>
            <w:r>
              <w:rPr>
                <w:rFonts w:hint="eastAsia" w:eastAsia="宋体"/>
                <w:lang w:val="en-US" w:eastAsia="zh-CN"/>
              </w:rPr>
              <w:t>550</w:t>
            </w:r>
          </w:p>
        </w:tc>
      </w:tr>
      <w:tr w14:paraId="63D5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5C569CE9">
            <w:pPr>
              <w:spacing w:before="20" w:after="20" w:line="240" w:lineRule="auto"/>
              <w:jc w:val="center"/>
            </w:pPr>
            <w:r>
              <w:rPr>
                <w:rFonts w:ascii="Arial" w:hAnsi="Arial" w:eastAsia="宋体"/>
                <w:b w:val="0"/>
                <w:color w:val="000000"/>
                <w:sz w:val="21"/>
              </w:rPr>
              <w:t>2</w:t>
            </w:r>
          </w:p>
        </w:tc>
        <w:tc>
          <w:tcPr>
            <w:tcW w:w="3024" w:type="dxa"/>
            <w:vAlign w:val="center"/>
          </w:tcPr>
          <w:p w14:paraId="7A82DE21">
            <w:pPr>
              <w:spacing w:before="20" w:after="20" w:line="240" w:lineRule="auto"/>
              <w:jc w:val="left"/>
            </w:pPr>
            <w:r>
              <w:rPr>
                <w:rFonts w:ascii="Arial" w:hAnsi="Arial" w:eastAsia="宋体"/>
                <w:b w:val="0"/>
                <w:color w:val="000000"/>
                <w:sz w:val="21"/>
              </w:rPr>
              <w:t>硬件采购与部署</w:t>
            </w:r>
          </w:p>
        </w:tc>
        <w:tc>
          <w:tcPr>
            <w:tcW w:w="3024" w:type="dxa"/>
            <w:vAlign w:val="center"/>
          </w:tcPr>
          <w:p w14:paraId="51C66B62">
            <w:pPr>
              <w:spacing w:before="20" w:after="20" w:line="240" w:lineRule="auto"/>
              <w:jc w:val="center"/>
              <w:rPr>
                <w:rFonts w:hint="default" w:eastAsia="宋体"/>
                <w:lang w:val="en-US" w:eastAsia="zh-CN"/>
              </w:rPr>
            </w:pPr>
            <w:r>
              <w:rPr>
                <w:rFonts w:hint="eastAsia" w:eastAsia="宋体"/>
                <w:lang w:val="en-US" w:eastAsia="zh-CN"/>
              </w:rPr>
              <w:t>700</w:t>
            </w:r>
          </w:p>
        </w:tc>
      </w:tr>
      <w:tr w14:paraId="1CDCB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4F67BA44">
            <w:pPr>
              <w:spacing w:before="20" w:after="20" w:line="240" w:lineRule="auto"/>
              <w:jc w:val="center"/>
            </w:pPr>
            <w:r>
              <w:rPr>
                <w:rFonts w:ascii="Arial" w:hAnsi="Arial" w:eastAsia="宋体"/>
                <w:b w:val="0"/>
                <w:color w:val="000000"/>
                <w:sz w:val="21"/>
              </w:rPr>
              <w:t>3</w:t>
            </w:r>
          </w:p>
        </w:tc>
        <w:tc>
          <w:tcPr>
            <w:tcW w:w="3024" w:type="dxa"/>
            <w:vAlign w:val="center"/>
          </w:tcPr>
          <w:p w14:paraId="2B4E6D98">
            <w:pPr>
              <w:spacing w:before="20" w:after="20" w:line="240" w:lineRule="auto"/>
              <w:jc w:val="left"/>
            </w:pPr>
            <w:r>
              <w:rPr>
                <w:rFonts w:ascii="Arial" w:hAnsi="Arial" w:eastAsia="宋体"/>
                <w:b w:val="0"/>
                <w:color w:val="000000"/>
                <w:sz w:val="21"/>
              </w:rPr>
              <w:t>配套服务</w:t>
            </w:r>
          </w:p>
        </w:tc>
        <w:tc>
          <w:tcPr>
            <w:tcW w:w="3024" w:type="dxa"/>
            <w:vAlign w:val="center"/>
          </w:tcPr>
          <w:p w14:paraId="625B02BC">
            <w:pPr>
              <w:spacing w:before="20" w:after="20" w:line="240" w:lineRule="auto"/>
              <w:jc w:val="center"/>
              <w:rPr>
                <w:rFonts w:hint="default" w:eastAsia="宋体"/>
                <w:lang w:val="en-US" w:eastAsia="zh-CN"/>
              </w:rPr>
            </w:pPr>
            <w:r>
              <w:rPr>
                <w:rFonts w:hint="eastAsia" w:eastAsia="宋体"/>
                <w:lang w:val="en-US" w:eastAsia="zh-CN"/>
              </w:rPr>
              <w:t>500</w:t>
            </w:r>
          </w:p>
        </w:tc>
      </w:tr>
      <w:tr w14:paraId="7514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56175CA6">
            <w:pPr>
              <w:spacing w:before="20" w:after="20" w:line="240" w:lineRule="auto"/>
              <w:jc w:val="center"/>
            </w:pPr>
            <w:r>
              <w:rPr>
                <w:rFonts w:ascii="Arial" w:hAnsi="Arial" w:eastAsia="宋体"/>
                <w:b w:val="0"/>
                <w:color w:val="000000"/>
                <w:sz w:val="21"/>
              </w:rPr>
              <w:t>4</w:t>
            </w:r>
          </w:p>
        </w:tc>
        <w:tc>
          <w:tcPr>
            <w:tcW w:w="3024" w:type="dxa"/>
            <w:vAlign w:val="center"/>
          </w:tcPr>
          <w:p w14:paraId="04DE616B">
            <w:pPr>
              <w:spacing w:before="20" w:after="20" w:line="240" w:lineRule="auto"/>
              <w:jc w:val="left"/>
            </w:pPr>
            <w:r>
              <w:rPr>
                <w:rFonts w:ascii="Arial" w:hAnsi="Arial" w:eastAsia="宋体"/>
                <w:b w:val="0"/>
                <w:color w:val="000000"/>
                <w:sz w:val="21"/>
              </w:rPr>
              <w:t>运营与运维（首年）</w:t>
            </w:r>
          </w:p>
        </w:tc>
        <w:tc>
          <w:tcPr>
            <w:tcW w:w="3024" w:type="dxa"/>
            <w:vAlign w:val="center"/>
          </w:tcPr>
          <w:p w14:paraId="5A40D5B8">
            <w:pPr>
              <w:spacing w:before="20" w:after="20" w:line="240" w:lineRule="auto"/>
              <w:jc w:val="center"/>
              <w:rPr>
                <w:rFonts w:hint="default" w:eastAsia="宋体"/>
                <w:lang w:val="en-US" w:eastAsia="zh-CN"/>
              </w:rPr>
            </w:pPr>
            <w:r>
              <w:rPr>
                <w:rFonts w:hint="eastAsia" w:eastAsia="宋体"/>
                <w:lang w:val="en-US" w:eastAsia="zh-CN"/>
              </w:rPr>
              <w:t>200</w:t>
            </w:r>
          </w:p>
        </w:tc>
      </w:tr>
      <w:tr w14:paraId="1D0F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55487E14">
            <w:pPr>
              <w:spacing w:before="20" w:after="20" w:line="240" w:lineRule="auto"/>
              <w:jc w:val="center"/>
            </w:pPr>
            <w:r>
              <w:rPr>
                <w:rFonts w:ascii="Arial" w:hAnsi="Arial" w:eastAsia="宋体"/>
                <w:b w:val="0"/>
                <w:color w:val="000000"/>
                <w:sz w:val="21"/>
              </w:rPr>
              <w:t>5</w:t>
            </w:r>
          </w:p>
        </w:tc>
        <w:tc>
          <w:tcPr>
            <w:tcW w:w="3024" w:type="dxa"/>
            <w:vAlign w:val="center"/>
          </w:tcPr>
          <w:p w14:paraId="51C3D3BB">
            <w:pPr>
              <w:spacing w:before="20" w:after="20" w:line="240" w:lineRule="auto"/>
              <w:jc w:val="left"/>
            </w:pPr>
            <w:r>
              <w:rPr>
                <w:rFonts w:ascii="Arial" w:hAnsi="Arial" w:eastAsia="宋体"/>
                <w:b w:val="0"/>
                <w:color w:val="000000"/>
                <w:sz w:val="21"/>
              </w:rPr>
              <w:t>第三方接口与许可</w:t>
            </w:r>
          </w:p>
        </w:tc>
        <w:tc>
          <w:tcPr>
            <w:tcW w:w="3024" w:type="dxa"/>
            <w:vAlign w:val="center"/>
          </w:tcPr>
          <w:p w14:paraId="09446AFB">
            <w:pPr>
              <w:spacing w:before="20" w:after="20" w:line="240" w:lineRule="auto"/>
              <w:jc w:val="center"/>
              <w:rPr>
                <w:rFonts w:hint="default" w:eastAsia="宋体"/>
                <w:lang w:val="en-US" w:eastAsia="zh-CN"/>
              </w:rPr>
            </w:pPr>
            <w:r>
              <w:rPr>
                <w:rFonts w:hint="eastAsia" w:eastAsia="宋体"/>
                <w:lang w:val="en-US" w:eastAsia="zh-CN"/>
              </w:rPr>
              <w:t>150</w:t>
            </w:r>
          </w:p>
        </w:tc>
      </w:tr>
      <w:tr w14:paraId="4480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3B3A2562">
            <w:pPr>
              <w:spacing w:before="20" w:after="20" w:line="240" w:lineRule="auto"/>
              <w:jc w:val="center"/>
            </w:pPr>
            <w:r>
              <w:rPr>
                <w:rFonts w:ascii="Arial" w:hAnsi="Arial" w:eastAsia="宋体"/>
                <w:b w:val="0"/>
                <w:color w:val="000000"/>
                <w:sz w:val="21"/>
              </w:rPr>
              <w:t>6</w:t>
            </w:r>
          </w:p>
        </w:tc>
        <w:tc>
          <w:tcPr>
            <w:tcW w:w="3024" w:type="dxa"/>
            <w:vAlign w:val="center"/>
          </w:tcPr>
          <w:p w14:paraId="1CDAE6D2">
            <w:pPr>
              <w:spacing w:before="20" w:after="20" w:line="240" w:lineRule="auto"/>
              <w:jc w:val="left"/>
            </w:pPr>
            <w:r>
              <w:rPr>
                <w:rFonts w:ascii="Arial" w:hAnsi="Arial" w:eastAsia="宋体"/>
                <w:b w:val="0"/>
                <w:color w:val="000000"/>
                <w:sz w:val="21"/>
              </w:rPr>
              <w:t>预备费（风险预备金）</w:t>
            </w:r>
          </w:p>
        </w:tc>
        <w:tc>
          <w:tcPr>
            <w:tcW w:w="3024" w:type="dxa"/>
            <w:vAlign w:val="center"/>
          </w:tcPr>
          <w:p w14:paraId="1BAD2B82">
            <w:pPr>
              <w:spacing w:before="20" w:after="20" w:line="240" w:lineRule="auto"/>
              <w:jc w:val="center"/>
              <w:rPr>
                <w:rFonts w:hint="default" w:eastAsia="宋体"/>
                <w:lang w:val="en-US" w:eastAsia="zh-CN"/>
              </w:rPr>
            </w:pPr>
            <w:r>
              <w:rPr>
                <w:rFonts w:hint="eastAsia" w:eastAsia="宋体"/>
                <w:lang w:val="en-US" w:eastAsia="zh-CN"/>
              </w:rPr>
              <w:t>200</w:t>
            </w:r>
          </w:p>
        </w:tc>
      </w:tr>
      <w:tr w14:paraId="1383E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5689AD27">
            <w:pPr>
              <w:spacing w:before="20" w:after="20" w:line="240" w:lineRule="auto"/>
              <w:jc w:val="center"/>
            </w:pPr>
          </w:p>
        </w:tc>
        <w:tc>
          <w:tcPr>
            <w:tcW w:w="3024" w:type="dxa"/>
            <w:vAlign w:val="center"/>
          </w:tcPr>
          <w:p w14:paraId="35DAE089">
            <w:pPr>
              <w:spacing w:before="20" w:after="20" w:line="240" w:lineRule="auto"/>
              <w:jc w:val="left"/>
            </w:pPr>
            <w:r>
              <w:rPr>
                <w:rFonts w:ascii="Arial" w:hAnsi="Arial" w:eastAsia="宋体"/>
                <w:b/>
                <w:color w:val="000000"/>
                <w:sz w:val="21"/>
              </w:rPr>
              <w:t>合计</w:t>
            </w:r>
          </w:p>
        </w:tc>
        <w:tc>
          <w:tcPr>
            <w:tcW w:w="3024" w:type="dxa"/>
            <w:vAlign w:val="center"/>
          </w:tcPr>
          <w:p w14:paraId="2F706A73">
            <w:pPr>
              <w:spacing w:before="20" w:after="20" w:line="240" w:lineRule="auto"/>
              <w:jc w:val="center"/>
              <w:rPr>
                <w:rFonts w:hint="default" w:eastAsia="宋体"/>
                <w:lang w:val="en-US" w:eastAsia="zh-CN"/>
              </w:rPr>
            </w:pPr>
            <w:r>
              <w:rPr>
                <w:rFonts w:hint="eastAsia" w:eastAsia="宋体"/>
                <w:lang w:val="en-US" w:eastAsia="zh-CN"/>
              </w:rPr>
              <w:t>2300</w:t>
            </w:r>
          </w:p>
        </w:tc>
      </w:tr>
    </w:tbl>
    <w:p w14:paraId="7D81E1EF">
      <w:pPr>
        <w:spacing w:before="0" w:after="0" w:line="360" w:lineRule="auto"/>
        <w:ind w:firstLine="480" w:firstLineChars="200"/>
        <w:jc w:val="both"/>
      </w:pPr>
      <w:r>
        <w:rPr>
          <w:rFonts w:ascii="Arial" w:hAnsi="Arial" w:eastAsia="宋体"/>
          <w:b w:val="0"/>
          <w:color w:val="000000"/>
          <w:sz w:val="24"/>
        </w:rPr>
        <w:t>资金来源以机场自筹或资本预算优先安排，同时建议争取 MAHB 集中项目基金或专项支持。商业化部分（如广告位、商业预订交易手续费）可作为长期运营收入，补贴运营维护成本；亦可考虑与设备及内容供应商协商分期付款或 BOT 模式，降低初期资金压力。</w:t>
      </w:r>
    </w:p>
    <w:p w14:paraId="517ED40F">
      <w:pPr>
        <w:pStyle w:val="3"/>
        <w:spacing w:before="280" w:after="120" w:line="312" w:lineRule="auto"/>
        <w:jc w:val="left"/>
      </w:pPr>
      <w:r>
        <w:rPr>
          <w:rFonts w:ascii="Arial" w:hAnsi="Arial" w:eastAsia="黑体"/>
          <w:b/>
          <w:color w:val="000000"/>
          <w:sz w:val="32"/>
        </w:rPr>
        <w:t>十一、业主需求符合性对标</w:t>
      </w:r>
    </w:p>
    <w:p w14:paraId="4801E07F">
      <w:pPr>
        <w:spacing w:before="0" w:after="0" w:line="360" w:lineRule="auto"/>
        <w:ind w:firstLine="480" w:firstLineChars="200"/>
        <w:jc w:val="both"/>
      </w:pPr>
      <w:r>
        <w:rPr>
          <w:rFonts w:ascii="Arial" w:hAnsi="Arial" w:eastAsia="宋体"/>
          <w:b w:val="0"/>
          <w:color w:val="000000"/>
          <w:sz w:val="24"/>
        </w:rPr>
        <w:t>本章依据业主《数字导览应用与交互式自助终端技术规格书》（D10）所提需求，对项目建设内容、量化指标与投资投入进行逐项对标，明确每项需求均有对应的交付方案与预算支撑，确保投入可量化、需求全覆盖。对标关系如下表所示，各分项投资合计四千五百万元，另含预备费五百万元，总投资五千万元，与表1投资估算构成一致。</w:t>
      </w:r>
    </w:p>
    <w:p w14:paraId="16F78671">
      <w:pPr>
        <w:keepNext/>
        <w:spacing w:before="80" w:after="80" w:line="312" w:lineRule="auto"/>
        <w:jc w:val="center"/>
      </w:pPr>
      <w:r>
        <w:rPr>
          <w:rFonts w:ascii="Arial" w:hAnsi="Arial" w:eastAsia="宋体"/>
          <w:b/>
          <w:color w:val="000000"/>
          <w:sz w:val="21"/>
        </w:rPr>
        <w:t>表2  业主需求与投入量化对标表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494"/>
        <w:gridCol w:w="3628"/>
        <w:gridCol w:w="2268"/>
      </w:tblGrid>
      <w:tr w14:paraId="4D2DA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80" w:type="dxa"/>
            <w:shd w:val="clear" w:color="auto" w:fill="D9D9D9"/>
            <w:vAlign w:val="center"/>
          </w:tcPr>
          <w:p w14:paraId="3D00A66A">
            <w:pPr>
              <w:spacing w:before="20" w:after="20" w:line="240" w:lineRule="auto"/>
              <w:jc w:val="center"/>
            </w:pPr>
            <w:r>
              <w:rPr>
                <w:rFonts w:ascii="Arial" w:hAnsi="Arial" w:eastAsia="宋体"/>
                <w:b/>
                <w:color w:val="000000"/>
                <w:sz w:val="21"/>
              </w:rPr>
              <w:t>序号</w:t>
            </w:r>
          </w:p>
        </w:tc>
        <w:tc>
          <w:tcPr>
            <w:tcW w:w="2494" w:type="dxa"/>
            <w:shd w:val="clear" w:color="auto" w:fill="D9D9D9"/>
            <w:vAlign w:val="center"/>
          </w:tcPr>
          <w:p w14:paraId="759CC6F8">
            <w:pPr>
              <w:spacing w:before="20" w:after="20" w:line="240" w:lineRule="auto"/>
              <w:jc w:val="left"/>
            </w:pPr>
            <w:r>
              <w:rPr>
                <w:rFonts w:ascii="Arial" w:hAnsi="Arial" w:eastAsia="宋体"/>
                <w:b/>
                <w:color w:val="000000"/>
                <w:sz w:val="21"/>
              </w:rPr>
              <w:t>业主需求要点（招标规格章节）</w:t>
            </w:r>
          </w:p>
        </w:tc>
        <w:tc>
          <w:tcPr>
            <w:tcW w:w="3628" w:type="dxa"/>
            <w:shd w:val="clear" w:color="auto" w:fill="D9D9D9"/>
            <w:vAlign w:val="center"/>
          </w:tcPr>
          <w:p w14:paraId="683BE0B4">
            <w:pPr>
              <w:spacing w:before="20" w:after="20" w:line="240" w:lineRule="auto"/>
              <w:jc w:val="left"/>
            </w:pPr>
            <w:r>
              <w:rPr>
                <w:rFonts w:ascii="Arial" w:hAnsi="Arial" w:eastAsia="宋体"/>
                <w:b/>
                <w:color w:val="000000"/>
                <w:sz w:val="21"/>
              </w:rPr>
              <w:t>方案响应与量化指标</w:t>
            </w:r>
          </w:p>
        </w:tc>
        <w:tc>
          <w:tcPr>
            <w:tcW w:w="2268" w:type="dxa"/>
            <w:shd w:val="clear" w:color="auto" w:fill="D9D9D9"/>
            <w:vAlign w:val="center"/>
          </w:tcPr>
          <w:p w14:paraId="5E751CEB">
            <w:pPr>
              <w:spacing w:before="20" w:after="20" w:line="240" w:lineRule="auto"/>
              <w:jc w:val="left"/>
            </w:pPr>
            <w:r>
              <w:rPr>
                <w:rFonts w:ascii="Arial" w:hAnsi="Arial" w:eastAsia="宋体"/>
                <w:b/>
                <w:color w:val="000000"/>
                <w:sz w:val="21"/>
              </w:rPr>
              <w:t>对应投资（万元）</w:t>
            </w:r>
          </w:p>
        </w:tc>
      </w:tr>
      <w:tr w14:paraId="315F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55AE946">
            <w:pPr>
              <w:spacing w:before="20" w:after="20" w:line="240" w:lineRule="auto"/>
              <w:jc w:val="center"/>
            </w:pPr>
            <w:r>
              <w:rPr>
                <w:rFonts w:ascii="Arial" w:hAnsi="Arial" w:eastAsia="宋体"/>
                <w:b w:val="0"/>
                <w:color w:val="000000"/>
                <w:sz w:val="21"/>
              </w:rPr>
              <w:t>1</w:t>
            </w:r>
          </w:p>
        </w:tc>
        <w:tc>
          <w:tcPr>
            <w:tcW w:w="2494" w:type="dxa"/>
            <w:vAlign w:val="center"/>
          </w:tcPr>
          <w:p w14:paraId="0D10D7C6">
            <w:pPr>
              <w:spacing w:before="20" w:after="20" w:line="240" w:lineRule="auto"/>
              <w:jc w:val="left"/>
            </w:pPr>
            <w:r>
              <w:rPr>
                <w:rFonts w:ascii="Arial" w:hAnsi="Arial" w:eastAsia="宋体"/>
                <w:b w:val="0"/>
                <w:color w:val="000000"/>
                <w:sz w:val="21"/>
              </w:rPr>
              <w:t>移动应用扩展：航班跟踪、商业零售预订、停车/行李/排队管理、导览个性化（2.1、2.2.2节）</w:t>
            </w:r>
          </w:p>
        </w:tc>
        <w:tc>
          <w:tcPr>
            <w:tcW w:w="3628" w:type="dxa"/>
            <w:vAlign w:val="center"/>
          </w:tcPr>
          <w:p w14:paraId="42577FFA">
            <w:pPr>
              <w:spacing w:before="20" w:after="20" w:line="240" w:lineRule="auto"/>
              <w:jc w:val="left"/>
            </w:pPr>
            <w:r>
              <w:rPr>
                <w:rFonts w:hint="eastAsia" w:ascii="Arial" w:hAnsi="Arial" w:eastAsia="宋体"/>
                <w:b w:val="0"/>
                <w:color w:val="000000"/>
                <w:sz w:val="21"/>
                <w:lang w:eastAsia="zh-CN"/>
              </w:rPr>
              <w:t>MyAirPorts</w:t>
            </w:r>
            <w:r>
              <w:rPr>
                <w:rFonts w:ascii="Arial" w:hAnsi="Arial" w:eastAsia="宋体"/>
                <w:b w:val="0"/>
                <w:color w:val="000000"/>
                <w:sz w:val="21"/>
              </w:rPr>
              <w:t>本地化扩展并对接 MAHB 开发者：四大功能模块、≥6种语言、iOS/Android双平台、页面响应≤2秒、排队/行李信息≤60秒、路线计算≤3秒、二维码续接</w:t>
            </w:r>
          </w:p>
        </w:tc>
        <w:tc>
          <w:tcPr>
            <w:tcW w:w="2268" w:type="dxa"/>
            <w:vAlign w:val="center"/>
          </w:tcPr>
          <w:p w14:paraId="533FF46D">
            <w:pPr>
              <w:spacing w:before="20" w:after="20" w:line="240" w:lineRule="auto"/>
              <w:jc w:val="left"/>
            </w:pPr>
            <w:r>
              <w:rPr>
                <w:rFonts w:ascii="Arial" w:hAnsi="Arial" w:eastAsia="宋体"/>
                <w:b w:val="0"/>
                <w:color w:val="000000"/>
                <w:sz w:val="21"/>
              </w:rPr>
              <w:t xml:space="preserve">软件—本地化 </w:t>
            </w:r>
            <w:r>
              <w:rPr>
                <w:rFonts w:hint="eastAsia" w:ascii="Arial" w:hAnsi="Arial" w:eastAsia="宋体"/>
                <w:b w:val="0"/>
                <w:color w:val="000000"/>
                <w:sz w:val="21"/>
                <w:lang w:val="en-US" w:eastAsia="zh-CN"/>
              </w:rPr>
              <w:t>1</w:t>
            </w:r>
            <w:r>
              <w:rPr>
                <w:rFonts w:ascii="Arial" w:hAnsi="Arial" w:eastAsia="宋体"/>
                <w:b w:val="0"/>
                <w:color w:val="000000"/>
                <w:sz w:val="21"/>
              </w:rPr>
              <w:t>00</w:t>
            </w:r>
          </w:p>
        </w:tc>
      </w:tr>
      <w:tr w14:paraId="0E62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93A7D78">
            <w:pPr>
              <w:spacing w:before="20" w:after="20" w:line="240" w:lineRule="auto"/>
              <w:jc w:val="center"/>
            </w:pPr>
            <w:r>
              <w:rPr>
                <w:rFonts w:ascii="Arial" w:hAnsi="Arial" w:eastAsia="宋体"/>
                <w:b w:val="0"/>
                <w:color w:val="000000"/>
                <w:sz w:val="21"/>
              </w:rPr>
              <w:t>2</w:t>
            </w:r>
          </w:p>
        </w:tc>
        <w:tc>
          <w:tcPr>
            <w:tcW w:w="2494" w:type="dxa"/>
            <w:vAlign w:val="center"/>
          </w:tcPr>
          <w:p w14:paraId="6CC332F8">
            <w:pPr>
              <w:spacing w:before="20" w:after="20" w:line="240" w:lineRule="auto"/>
              <w:jc w:val="left"/>
            </w:pPr>
            <w:r>
              <w:rPr>
                <w:rFonts w:ascii="Arial" w:hAnsi="Arial" w:eastAsia="宋体"/>
                <w:b w:val="0"/>
                <w:color w:val="000000"/>
                <w:sz w:val="21"/>
              </w:rPr>
              <w:t>交互式导览应用：2D/3D多层地图、智能分步路线、POI搜索与个性化（2.2.1、2.2.2节）</w:t>
            </w:r>
          </w:p>
        </w:tc>
        <w:tc>
          <w:tcPr>
            <w:tcW w:w="3628" w:type="dxa"/>
            <w:vAlign w:val="center"/>
          </w:tcPr>
          <w:p w14:paraId="5B1AE025">
            <w:pPr>
              <w:spacing w:before="20" w:after="20" w:line="240" w:lineRule="auto"/>
              <w:jc w:val="left"/>
            </w:pPr>
            <w:r>
              <w:rPr>
                <w:rFonts w:ascii="Arial" w:hAnsi="Arial" w:eastAsia="宋体"/>
                <w:b w:val="0"/>
                <w:color w:val="000000"/>
                <w:sz w:val="21"/>
              </w:rPr>
              <w:t>导航引擎：CAD/BIM/IFC导入、多楼层多航站楼、最短/无障碍/限制区/临时关闭路线、中转/值机/贵宾室场景路线、GPS+室内Wi-Fi定位、二维码续接；路线计算≤3秒</w:t>
            </w:r>
          </w:p>
        </w:tc>
        <w:tc>
          <w:tcPr>
            <w:tcW w:w="2268" w:type="dxa"/>
            <w:vAlign w:val="center"/>
          </w:tcPr>
          <w:p w14:paraId="0311A15A">
            <w:pPr>
              <w:spacing w:before="20" w:after="20" w:line="240" w:lineRule="auto"/>
              <w:jc w:val="left"/>
              <w:rPr>
                <w:rFonts w:hint="default" w:eastAsia="宋体"/>
                <w:lang w:val="en-US" w:eastAsia="zh-CN"/>
              </w:rPr>
            </w:pPr>
            <w:r>
              <w:rPr>
                <w:rFonts w:ascii="Arial" w:hAnsi="Arial" w:eastAsia="宋体"/>
                <w:b w:val="0"/>
                <w:color w:val="000000"/>
                <w:sz w:val="21"/>
              </w:rPr>
              <w:t xml:space="preserve">软件—导航 </w:t>
            </w:r>
            <w:r>
              <w:rPr>
                <w:rFonts w:hint="eastAsia" w:ascii="Arial" w:hAnsi="Arial" w:eastAsia="宋体"/>
                <w:b w:val="0"/>
                <w:color w:val="000000"/>
                <w:sz w:val="21"/>
                <w:lang w:val="en-US" w:eastAsia="zh-CN"/>
              </w:rPr>
              <w:t>12</w:t>
            </w:r>
            <w:r>
              <w:rPr>
                <w:rFonts w:ascii="Arial" w:hAnsi="Arial" w:eastAsia="宋体"/>
                <w:b w:val="0"/>
                <w:color w:val="000000"/>
                <w:sz w:val="21"/>
              </w:rPr>
              <w:t>0</w:t>
            </w:r>
            <w:r>
              <w:rPr>
                <w:rFonts w:hint="eastAsia" w:ascii="Arial" w:hAnsi="Arial" w:eastAsia="宋体"/>
                <w:b w:val="0"/>
                <w:color w:val="000000"/>
                <w:sz w:val="21"/>
                <w:lang w:val="en-US" w:eastAsia="zh-CN"/>
              </w:rPr>
              <w:t>/可能没用CAD图</w:t>
            </w:r>
          </w:p>
        </w:tc>
      </w:tr>
      <w:tr w14:paraId="63BD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CC93667">
            <w:pPr>
              <w:spacing w:before="20" w:after="20" w:line="240" w:lineRule="auto"/>
              <w:jc w:val="center"/>
            </w:pPr>
            <w:r>
              <w:rPr>
                <w:rFonts w:ascii="Arial" w:hAnsi="Arial" w:eastAsia="宋体"/>
                <w:b w:val="0"/>
                <w:color w:val="000000"/>
                <w:sz w:val="21"/>
              </w:rPr>
              <w:t>3</w:t>
            </w:r>
          </w:p>
        </w:tc>
        <w:tc>
          <w:tcPr>
            <w:tcW w:w="2494" w:type="dxa"/>
            <w:vAlign w:val="center"/>
          </w:tcPr>
          <w:p w14:paraId="264769D5">
            <w:pPr>
              <w:spacing w:before="20" w:after="20" w:line="240" w:lineRule="auto"/>
              <w:jc w:val="left"/>
            </w:pPr>
            <w:r>
              <w:rPr>
                <w:rFonts w:ascii="Arial" w:hAnsi="Arial" w:eastAsia="宋体"/>
                <w:b w:val="0"/>
                <w:color w:val="000000"/>
                <w:sz w:val="21"/>
              </w:rPr>
              <w:t>集中内容管理：免编码更新、RBAC、排期、版本回滚（2.2.3节）</w:t>
            </w:r>
          </w:p>
        </w:tc>
        <w:tc>
          <w:tcPr>
            <w:tcW w:w="3628" w:type="dxa"/>
            <w:vAlign w:val="center"/>
          </w:tcPr>
          <w:p w14:paraId="7DB59874">
            <w:pPr>
              <w:spacing w:before="20" w:after="20" w:line="240" w:lineRule="auto"/>
              <w:jc w:val="left"/>
            </w:pPr>
            <w:r>
              <w:rPr>
                <w:rFonts w:ascii="Arial" w:hAnsi="Arial" w:eastAsia="宋体"/>
                <w:b w:val="0"/>
                <w:color w:val="000000"/>
                <w:sz w:val="21"/>
              </w:rPr>
              <w:t>CMS：多航站楼/多层/多区域配置、角色权限+审计、内容排期与预览、版本控制回滚；发布链路≤60秒</w:t>
            </w:r>
          </w:p>
        </w:tc>
        <w:tc>
          <w:tcPr>
            <w:tcW w:w="2268" w:type="dxa"/>
            <w:vAlign w:val="center"/>
          </w:tcPr>
          <w:p w14:paraId="23945F0B">
            <w:pPr>
              <w:spacing w:before="20" w:after="20" w:line="240" w:lineRule="auto"/>
              <w:jc w:val="left"/>
              <w:rPr>
                <w:rFonts w:hint="default" w:eastAsia="宋体"/>
                <w:lang w:val="en-US" w:eastAsia="zh-CN"/>
              </w:rPr>
            </w:pPr>
            <w:r>
              <w:rPr>
                <w:rFonts w:ascii="Arial" w:hAnsi="Arial" w:eastAsia="宋体"/>
                <w:b w:val="0"/>
                <w:color w:val="000000"/>
                <w:sz w:val="21"/>
              </w:rPr>
              <w:t xml:space="preserve">软件—CMS </w:t>
            </w:r>
            <w:r>
              <w:rPr>
                <w:rFonts w:hint="eastAsia" w:ascii="Arial" w:hAnsi="Arial" w:eastAsia="宋体"/>
                <w:b w:val="0"/>
                <w:color w:val="000000"/>
                <w:sz w:val="21"/>
                <w:lang w:val="en-US" w:eastAsia="zh-CN"/>
              </w:rPr>
              <w:t>50</w:t>
            </w:r>
          </w:p>
        </w:tc>
      </w:tr>
      <w:tr w14:paraId="4DD4C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991DC16">
            <w:pPr>
              <w:spacing w:before="20" w:after="20" w:line="240" w:lineRule="auto"/>
              <w:jc w:val="center"/>
            </w:pPr>
            <w:r>
              <w:rPr>
                <w:rFonts w:ascii="Arial" w:hAnsi="Arial" w:eastAsia="宋体"/>
                <w:b w:val="0"/>
                <w:color w:val="000000"/>
                <w:sz w:val="21"/>
              </w:rPr>
              <w:t>4</w:t>
            </w:r>
          </w:p>
        </w:tc>
        <w:tc>
          <w:tcPr>
            <w:tcW w:w="2494" w:type="dxa"/>
            <w:vAlign w:val="center"/>
          </w:tcPr>
          <w:p w14:paraId="0856AA11">
            <w:pPr>
              <w:spacing w:before="20" w:after="20" w:line="240" w:lineRule="auto"/>
              <w:jc w:val="left"/>
            </w:pPr>
            <w:r>
              <w:rPr>
                <w:rFonts w:ascii="Arial" w:hAnsi="Arial" w:eastAsia="宋体"/>
                <w:b w:val="0"/>
                <w:color w:val="000000"/>
                <w:sz w:val="21"/>
              </w:rPr>
              <w:t>系统集成：AODB/FIDS、BHS/ATR、PFQMS、行李核对、MYairports、BDA（2.4.3节）</w:t>
            </w:r>
          </w:p>
        </w:tc>
        <w:tc>
          <w:tcPr>
            <w:tcW w:w="3628" w:type="dxa"/>
            <w:vAlign w:val="center"/>
          </w:tcPr>
          <w:p w14:paraId="61E6BBFE">
            <w:pPr>
              <w:spacing w:before="20" w:after="20" w:line="240" w:lineRule="auto"/>
              <w:jc w:val="left"/>
            </w:pPr>
            <w:r>
              <w:rPr>
                <w:rFonts w:ascii="Arial" w:hAnsi="Arial" w:eastAsia="宋体"/>
                <w:b w:val="0"/>
                <w:color w:val="000000"/>
                <w:sz w:val="21"/>
              </w:rPr>
              <w:t>信息代理（IB）+数据中间层：统一接入、事件分发、幂等与日志；REST/JSON/Webhook；事件下发≤30–60秒；ICD文档</w:t>
            </w:r>
          </w:p>
        </w:tc>
        <w:tc>
          <w:tcPr>
            <w:tcW w:w="2268" w:type="dxa"/>
            <w:vAlign w:val="center"/>
          </w:tcPr>
          <w:p w14:paraId="3D11B0D3">
            <w:pPr>
              <w:spacing w:before="20" w:after="20" w:line="240" w:lineRule="auto"/>
              <w:jc w:val="left"/>
            </w:pPr>
            <w:r>
              <w:rPr>
                <w:rFonts w:ascii="Arial" w:hAnsi="Arial" w:eastAsia="宋体"/>
                <w:b w:val="0"/>
                <w:color w:val="000000"/>
                <w:sz w:val="21"/>
              </w:rPr>
              <w:t xml:space="preserve">软件—IB </w:t>
            </w:r>
            <w:r>
              <w:rPr>
                <w:rFonts w:hint="eastAsia" w:ascii="Arial" w:hAnsi="Arial" w:eastAsia="宋体"/>
                <w:b w:val="0"/>
                <w:color w:val="000000"/>
                <w:sz w:val="21"/>
                <w:lang w:val="en-US" w:eastAsia="zh-CN"/>
              </w:rPr>
              <w:t>1</w:t>
            </w:r>
            <w:r>
              <w:rPr>
                <w:rFonts w:ascii="Arial" w:hAnsi="Arial" w:eastAsia="宋体"/>
                <w:b w:val="0"/>
                <w:color w:val="000000"/>
                <w:sz w:val="21"/>
              </w:rPr>
              <w:t xml:space="preserve">00＋接口 </w:t>
            </w:r>
            <w:r>
              <w:rPr>
                <w:rFonts w:hint="eastAsia" w:ascii="Arial" w:hAnsi="Arial" w:eastAsia="宋体"/>
                <w:b w:val="0"/>
                <w:color w:val="000000"/>
                <w:sz w:val="21"/>
                <w:lang w:val="en-US" w:eastAsia="zh-CN"/>
              </w:rPr>
              <w:t>5</w:t>
            </w:r>
            <w:r>
              <w:rPr>
                <w:rFonts w:ascii="Arial" w:hAnsi="Arial" w:eastAsia="宋体"/>
                <w:b w:val="0"/>
                <w:color w:val="000000"/>
                <w:sz w:val="21"/>
              </w:rPr>
              <w:t>0</w:t>
            </w:r>
          </w:p>
        </w:tc>
      </w:tr>
      <w:tr w14:paraId="02E5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3FDF55B">
            <w:pPr>
              <w:spacing w:before="20" w:after="20" w:line="240" w:lineRule="auto"/>
              <w:jc w:val="center"/>
            </w:pPr>
            <w:r>
              <w:rPr>
                <w:rFonts w:ascii="Arial" w:hAnsi="Arial" w:eastAsia="宋体"/>
                <w:b w:val="0"/>
                <w:color w:val="000000"/>
                <w:sz w:val="21"/>
              </w:rPr>
              <w:t>5</w:t>
            </w:r>
          </w:p>
        </w:tc>
        <w:tc>
          <w:tcPr>
            <w:tcW w:w="2494" w:type="dxa"/>
            <w:vAlign w:val="center"/>
          </w:tcPr>
          <w:p w14:paraId="43225F9B">
            <w:pPr>
              <w:spacing w:before="20" w:after="20" w:line="240" w:lineRule="auto"/>
              <w:jc w:val="left"/>
            </w:pPr>
            <w:r>
              <w:rPr>
                <w:rFonts w:ascii="Arial" w:hAnsi="Arial" w:eastAsia="宋体"/>
                <w:b w:val="0"/>
                <w:color w:val="000000"/>
                <w:sz w:val="21"/>
              </w:rPr>
              <w:t>终端硬件：10台50″4K、400/800尼特、防篡改、UPS（2.3节）</w:t>
            </w:r>
          </w:p>
        </w:tc>
        <w:tc>
          <w:tcPr>
            <w:tcW w:w="3628" w:type="dxa"/>
            <w:vAlign w:val="center"/>
          </w:tcPr>
          <w:p w14:paraId="44283DFE">
            <w:pPr>
              <w:spacing w:before="20" w:after="20" w:line="240" w:lineRule="auto"/>
              <w:jc w:val="left"/>
            </w:pPr>
            <w:r>
              <w:rPr>
                <w:rFonts w:ascii="Arial" w:hAnsi="Arial" w:eastAsia="宋体"/>
                <w:b w:val="0"/>
                <w:color w:val="000000"/>
                <w:sz w:val="21"/>
              </w:rPr>
              <w:t>商用级4K（3840×2160）终端、工业防篡改外壳、多种安装方式、集成UPS（15–30分钟）+自动恢复、以太网/Wi-Fi6</w:t>
            </w:r>
          </w:p>
        </w:tc>
        <w:tc>
          <w:tcPr>
            <w:tcW w:w="2268" w:type="dxa"/>
            <w:vAlign w:val="center"/>
          </w:tcPr>
          <w:p w14:paraId="25E14119">
            <w:pPr>
              <w:spacing w:before="20" w:after="20" w:line="240" w:lineRule="auto"/>
              <w:jc w:val="left"/>
            </w:pPr>
            <w:r>
              <w:rPr>
                <w:rFonts w:ascii="Arial" w:hAnsi="Arial" w:eastAsia="宋体"/>
                <w:b w:val="0"/>
                <w:color w:val="000000"/>
                <w:sz w:val="21"/>
              </w:rPr>
              <w:t xml:space="preserve">硬件—终端 </w:t>
            </w:r>
            <w:r>
              <w:rPr>
                <w:rFonts w:hint="eastAsia" w:ascii="Arial" w:hAnsi="Arial" w:eastAsia="宋体"/>
                <w:b w:val="0"/>
                <w:color w:val="000000"/>
                <w:sz w:val="21"/>
                <w:lang w:val="en-US" w:eastAsia="zh-CN"/>
              </w:rPr>
              <w:t>2</w:t>
            </w:r>
            <w:r>
              <w:rPr>
                <w:rFonts w:ascii="Arial" w:hAnsi="Arial" w:eastAsia="宋体"/>
                <w:b w:val="0"/>
                <w:color w:val="000000"/>
                <w:sz w:val="21"/>
              </w:rPr>
              <w:t>00＋电力 70</w:t>
            </w:r>
          </w:p>
        </w:tc>
      </w:tr>
      <w:tr w14:paraId="6B52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3FDC582">
            <w:pPr>
              <w:spacing w:before="20" w:after="20" w:line="240" w:lineRule="auto"/>
              <w:jc w:val="center"/>
            </w:pPr>
            <w:r>
              <w:rPr>
                <w:rFonts w:ascii="Arial" w:hAnsi="Arial" w:eastAsia="宋体"/>
                <w:b w:val="0"/>
                <w:color w:val="000000"/>
                <w:sz w:val="21"/>
              </w:rPr>
              <w:t>6</w:t>
            </w:r>
          </w:p>
        </w:tc>
        <w:tc>
          <w:tcPr>
            <w:tcW w:w="2494" w:type="dxa"/>
            <w:vAlign w:val="center"/>
          </w:tcPr>
          <w:p w14:paraId="719545F3">
            <w:pPr>
              <w:spacing w:before="20" w:after="20" w:line="240" w:lineRule="auto"/>
              <w:jc w:val="left"/>
            </w:pPr>
            <w:r>
              <w:rPr>
                <w:rFonts w:ascii="Arial" w:hAnsi="Arial" w:eastAsia="宋体"/>
                <w:b w:val="0"/>
                <w:color w:val="000000"/>
                <w:sz w:val="21"/>
              </w:rPr>
              <w:t>终端管理：远程部署、健康监控、补丁（2.4.1节）</w:t>
            </w:r>
          </w:p>
        </w:tc>
        <w:tc>
          <w:tcPr>
            <w:tcW w:w="3628" w:type="dxa"/>
            <w:vAlign w:val="center"/>
          </w:tcPr>
          <w:p w14:paraId="45E76414">
            <w:pPr>
              <w:spacing w:before="20" w:after="20" w:line="240" w:lineRule="auto"/>
              <w:jc w:val="left"/>
            </w:pPr>
            <w:r>
              <w:rPr>
                <w:rFonts w:ascii="Arial" w:hAnsi="Arial" w:eastAsia="宋体"/>
                <w:b w:val="0"/>
                <w:color w:val="000000"/>
                <w:sz w:val="21"/>
              </w:rPr>
              <w:t>终端管理平台：遥测、远程部署/补丁、健康告警、RBAC管理；24×7远程诊断</w:t>
            </w:r>
          </w:p>
        </w:tc>
        <w:tc>
          <w:tcPr>
            <w:tcW w:w="2268" w:type="dxa"/>
            <w:vAlign w:val="center"/>
          </w:tcPr>
          <w:p w14:paraId="1C7216CC">
            <w:pPr>
              <w:spacing w:before="20" w:after="20" w:line="240" w:lineRule="auto"/>
              <w:jc w:val="left"/>
            </w:pPr>
            <w:r>
              <w:rPr>
                <w:rFonts w:ascii="Arial" w:hAnsi="Arial" w:eastAsia="宋体"/>
                <w:b w:val="0"/>
                <w:color w:val="000000"/>
                <w:sz w:val="21"/>
              </w:rPr>
              <w:t xml:space="preserve">软件—终端管理 </w:t>
            </w:r>
            <w:r>
              <w:rPr>
                <w:rFonts w:hint="eastAsia" w:ascii="Arial" w:hAnsi="Arial" w:eastAsia="宋体"/>
                <w:b w:val="0"/>
                <w:color w:val="000000"/>
                <w:sz w:val="21"/>
                <w:lang w:val="en-US" w:eastAsia="zh-CN"/>
              </w:rPr>
              <w:t>5</w:t>
            </w:r>
            <w:r>
              <w:rPr>
                <w:rFonts w:ascii="Arial" w:hAnsi="Arial" w:eastAsia="宋体"/>
                <w:b w:val="0"/>
                <w:color w:val="000000"/>
                <w:sz w:val="21"/>
              </w:rPr>
              <w:t>0</w:t>
            </w:r>
          </w:p>
        </w:tc>
      </w:tr>
      <w:tr w14:paraId="7DF1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C29DC6E">
            <w:pPr>
              <w:spacing w:before="20" w:after="20" w:line="240" w:lineRule="auto"/>
              <w:jc w:val="center"/>
            </w:pPr>
            <w:r>
              <w:rPr>
                <w:rFonts w:ascii="Arial" w:hAnsi="Arial" w:eastAsia="宋体"/>
                <w:b w:val="0"/>
                <w:color w:val="000000"/>
                <w:sz w:val="21"/>
              </w:rPr>
              <w:t>7</w:t>
            </w:r>
          </w:p>
        </w:tc>
        <w:tc>
          <w:tcPr>
            <w:tcW w:w="2494" w:type="dxa"/>
            <w:vAlign w:val="center"/>
          </w:tcPr>
          <w:p w14:paraId="6A569617">
            <w:pPr>
              <w:spacing w:before="20" w:after="20" w:line="240" w:lineRule="auto"/>
              <w:jc w:val="left"/>
            </w:pPr>
            <w:r>
              <w:rPr>
                <w:rFonts w:ascii="Arial" w:hAnsi="Arial" w:eastAsia="宋体"/>
                <w:b w:val="0"/>
                <w:color w:val="000000"/>
                <w:sz w:val="21"/>
              </w:rPr>
              <w:t>分析与报告：使用统计、内容参与度、可用性（2.4.2节）</w:t>
            </w:r>
          </w:p>
        </w:tc>
        <w:tc>
          <w:tcPr>
            <w:tcW w:w="3628" w:type="dxa"/>
            <w:vAlign w:val="center"/>
          </w:tcPr>
          <w:p w14:paraId="3577D921">
            <w:pPr>
              <w:spacing w:before="20" w:after="20" w:line="240" w:lineRule="auto"/>
              <w:jc w:val="left"/>
            </w:pPr>
            <w:r>
              <w:rPr>
                <w:rFonts w:ascii="Arial" w:hAnsi="Arial" w:eastAsia="宋体"/>
                <w:b w:val="0"/>
                <w:color w:val="000000"/>
                <w:sz w:val="21"/>
              </w:rPr>
              <w:t>分析报表模块：使用统计/参与度/可用性报表，对接 MAHB BDA</w:t>
            </w:r>
          </w:p>
        </w:tc>
        <w:tc>
          <w:tcPr>
            <w:tcW w:w="2268" w:type="dxa"/>
            <w:vAlign w:val="center"/>
          </w:tcPr>
          <w:p w14:paraId="44600261">
            <w:pPr>
              <w:spacing w:before="20" w:after="20" w:line="240" w:lineRule="auto"/>
              <w:jc w:val="left"/>
            </w:pPr>
            <w:r>
              <w:rPr>
                <w:rFonts w:ascii="Arial" w:hAnsi="Arial" w:eastAsia="宋体"/>
                <w:b w:val="0"/>
                <w:color w:val="000000"/>
                <w:sz w:val="21"/>
              </w:rPr>
              <w:t xml:space="preserve">软件—分析 </w:t>
            </w:r>
            <w:r>
              <w:rPr>
                <w:rFonts w:hint="eastAsia" w:ascii="Arial" w:hAnsi="Arial" w:eastAsia="宋体"/>
                <w:b w:val="0"/>
                <w:color w:val="000000"/>
                <w:sz w:val="21"/>
                <w:lang w:val="en-US" w:eastAsia="zh-CN"/>
              </w:rPr>
              <w:t>3</w:t>
            </w:r>
            <w:r>
              <w:rPr>
                <w:rFonts w:ascii="Arial" w:hAnsi="Arial" w:eastAsia="宋体"/>
                <w:b w:val="0"/>
                <w:color w:val="000000"/>
                <w:sz w:val="21"/>
              </w:rPr>
              <w:t>0</w:t>
            </w:r>
          </w:p>
        </w:tc>
      </w:tr>
      <w:tr w14:paraId="3BA0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FEF25F4">
            <w:pPr>
              <w:spacing w:before="20" w:after="20" w:line="240" w:lineRule="auto"/>
              <w:jc w:val="center"/>
            </w:pPr>
            <w:r>
              <w:rPr>
                <w:rFonts w:ascii="Arial" w:hAnsi="Arial" w:eastAsia="宋体"/>
                <w:b w:val="0"/>
                <w:color w:val="000000"/>
                <w:sz w:val="21"/>
              </w:rPr>
              <w:t>8</w:t>
            </w:r>
          </w:p>
        </w:tc>
        <w:tc>
          <w:tcPr>
            <w:tcW w:w="2494" w:type="dxa"/>
            <w:vAlign w:val="center"/>
          </w:tcPr>
          <w:p w14:paraId="5609E250">
            <w:pPr>
              <w:spacing w:before="20" w:after="20" w:line="240" w:lineRule="auto"/>
              <w:jc w:val="left"/>
            </w:pPr>
            <w:r>
              <w:rPr>
                <w:rFonts w:ascii="Arial" w:hAnsi="Arial" w:eastAsia="宋体"/>
                <w:b w:val="0"/>
                <w:color w:val="000000"/>
                <w:sz w:val="21"/>
              </w:rPr>
              <w:t>私有云/数据中心：高可用、备份、RTO/RPO（第4节）</w:t>
            </w:r>
          </w:p>
        </w:tc>
        <w:tc>
          <w:tcPr>
            <w:tcW w:w="3628" w:type="dxa"/>
            <w:vAlign w:val="center"/>
          </w:tcPr>
          <w:p w14:paraId="7F56761C">
            <w:pPr>
              <w:spacing w:before="20" w:after="20" w:line="240" w:lineRule="auto"/>
              <w:jc w:val="left"/>
            </w:pPr>
            <w:r>
              <w:rPr>
                <w:rFonts w:ascii="Arial" w:hAnsi="Arial" w:eastAsia="宋体"/>
                <w:b w:val="0"/>
                <w:color w:val="000000"/>
                <w:sz w:val="21"/>
              </w:rPr>
              <w:t>集中管理服务器、备份与灾备节点，申报RTO/RPO，自动备份恢复</w:t>
            </w:r>
          </w:p>
        </w:tc>
        <w:tc>
          <w:tcPr>
            <w:tcW w:w="2268" w:type="dxa"/>
            <w:vAlign w:val="center"/>
          </w:tcPr>
          <w:p w14:paraId="2268DD3E">
            <w:pPr>
              <w:spacing w:before="20" w:after="20" w:line="240" w:lineRule="auto"/>
              <w:jc w:val="left"/>
              <w:rPr>
                <w:rFonts w:hint="default" w:eastAsia="宋体"/>
                <w:lang w:val="en-US" w:eastAsia="zh-CN"/>
              </w:rPr>
            </w:pPr>
            <w:r>
              <w:rPr>
                <w:rFonts w:ascii="Arial" w:hAnsi="Arial" w:eastAsia="宋体"/>
                <w:b w:val="0"/>
                <w:color w:val="000000"/>
                <w:sz w:val="21"/>
              </w:rPr>
              <w:t>硬件—服务器 150</w:t>
            </w:r>
            <w:r>
              <w:rPr>
                <w:rFonts w:hint="eastAsia" w:ascii="Arial" w:hAnsi="Arial" w:eastAsia="宋体"/>
                <w:b w:val="0"/>
                <w:color w:val="000000"/>
                <w:sz w:val="21"/>
                <w:lang w:val="en-US" w:eastAsia="zh-CN"/>
              </w:rPr>
              <w:t>-</w:t>
            </w:r>
            <w:r>
              <w:rPr>
                <w:rFonts w:hint="eastAsia" w:ascii="Arial" w:hAnsi="Arial" w:eastAsia="宋体"/>
                <w:b w:val="0"/>
                <w:color w:val="FF0000"/>
                <w:sz w:val="21"/>
                <w:lang w:val="en-US" w:eastAsia="zh-CN"/>
              </w:rPr>
              <w:t>详细的部署清单</w:t>
            </w:r>
          </w:p>
        </w:tc>
      </w:tr>
      <w:tr w14:paraId="05213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8E59AF8">
            <w:pPr>
              <w:spacing w:before="20" w:after="20" w:line="240" w:lineRule="auto"/>
              <w:jc w:val="center"/>
            </w:pPr>
            <w:r>
              <w:rPr>
                <w:rFonts w:ascii="Arial" w:hAnsi="Arial" w:eastAsia="宋体"/>
                <w:b w:val="0"/>
                <w:color w:val="000000"/>
                <w:sz w:val="21"/>
              </w:rPr>
              <w:t>9</w:t>
            </w:r>
          </w:p>
        </w:tc>
        <w:tc>
          <w:tcPr>
            <w:tcW w:w="2494" w:type="dxa"/>
            <w:vAlign w:val="center"/>
          </w:tcPr>
          <w:p w14:paraId="30D5AE0C">
            <w:pPr>
              <w:spacing w:before="20" w:after="20" w:line="240" w:lineRule="auto"/>
              <w:jc w:val="left"/>
            </w:pPr>
            <w:r>
              <w:rPr>
                <w:rFonts w:ascii="Arial" w:hAnsi="Arial" w:eastAsia="宋体"/>
                <w:b w:val="0"/>
                <w:color w:val="000000"/>
                <w:sz w:val="21"/>
              </w:rPr>
              <w:t>网络：布线、VLAN、延迟、TLS（3.7节）</w:t>
            </w:r>
          </w:p>
        </w:tc>
        <w:tc>
          <w:tcPr>
            <w:tcW w:w="3628" w:type="dxa"/>
            <w:vAlign w:val="center"/>
          </w:tcPr>
          <w:p w14:paraId="2E441F94">
            <w:pPr>
              <w:spacing w:before="20" w:after="20" w:line="240" w:lineRule="auto"/>
              <w:jc w:val="left"/>
            </w:pPr>
            <w:r>
              <w:rPr>
                <w:rFonts w:ascii="Arial" w:hAnsi="Arial" w:eastAsia="宋体"/>
                <w:b w:val="0"/>
                <w:color w:val="000000"/>
                <w:sz w:val="21"/>
              </w:rPr>
              <w:t>本地布线/光纤/配线架、VLAN与防火墙协调、网络接口矩阵；终端延迟≤100ms、HTTPS/TLS</w:t>
            </w:r>
          </w:p>
        </w:tc>
        <w:tc>
          <w:tcPr>
            <w:tcW w:w="2268" w:type="dxa"/>
            <w:vAlign w:val="center"/>
          </w:tcPr>
          <w:p w14:paraId="54E5B089">
            <w:pPr>
              <w:spacing w:before="20" w:after="20" w:line="240" w:lineRule="auto"/>
              <w:jc w:val="left"/>
            </w:pPr>
            <w:r>
              <w:rPr>
                <w:rFonts w:ascii="Arial" w:hAnsi="Arial" w:eastAsia="宋体"/>
                <w:b w:val="0"/>
                <w:color w:val="000000"/>
                <w:sz w:val="21"/>
              </w:rPr>
              <w:t>硬件—网络 80</w:t>
            </w:r>
          </w:p>
        </w:tc>
      </w:tr>
      <w:tr w14:paraId="78D7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A0F181A">
            <w:pPr>
              <w:spacing w:before="20" w:after="20" w:line="240" w:lineRule="auto"/>
              <w:jc w:val="center"/>
            </w:pPr>
            <w:r>
              <w:rPr>
                <w:rFonts w:ascii="Arial" w:hAnsi="Arial" w:eastAsia="宋体"/>
                <w:b w:val="0"/>
                <w:color w:val="000000"/>
                <w:sz w:val="21"/>
              </w:rPr>
              <w:t>10</w:t>
            </w:r>
          </w:p>
        </w:tc>
        <w:tc>
          <w:tcPr>
            <w:tcW w:w="2494" w:type="dxa"/>
            <w:vAlign w:val="center"/>
          </w:tcPr>
          <w:p w14:paraId="0CBF0EB7">
            <w:pPr>
              <w:spacing w:before="20" w:after="20" w:line="240" w:lineRule="auto"/>
              <w:jc w:val="left"/>
            </w:pPr>
            <w:r>
              <w:rPr>
                <w:rFonts w:ascii="Arial" w:hAnsi="Arial" w:eastAsia="宋体"/>
                <w:b w:val="0"/>
                <w:color w:val="000000"/>
                <w:sz w:val="21"/>
              </w:rPr>
              <w:t>安全合规：KHCS/EPP/EDR、隐私（2.3.4、2.5节）</w:t>
            </w:r>
          </w:p>
        </w:tc>
        <w:tc>
          <w:tcPr>
            <w:tcW w:w="3628" w:type="dxa"/>
            <w:vAlign w:val="center"/>
          </w:tcPr>
          <w:p w14:paraId="29CDA88F">
            <w:pPr>
              <w:spacing w:before="20" w:after="20" w:line="240" w:lineRule="auto"/>
              <w:jc w:val="left"/>
            </w:pPr>
            <w:r>
              <w:rPr>
                <w:rFonts w:ascii="Arial" w:hAnsi="Arial" w:eastAsia="宋体"/>
                <w:b w:val="0"/>
                <w:color w:val="000000"/>
                <w:sz w:val="21"/>
              </w:rPr>
              <w:t>EPP/EDR部署（KHCS 5.1+或等效）、TLS/mTLS、审计日志、隐私合规认证</w:t>
            </w:r>
          </w:p>
        </w:tc>
        <w:tc>
          <w:tcPr>
            <w:tcW w:w="2268" w:type="dxa"/>
            <w:vAlign w:val="center"/>
          </w:tcPr>
          <w:p w14:paraId="05C03B6B">
            <w:pPr>
              <w:spacing w:before="20" w:after="20" w:line="240" w:lineRule="auto"/>
              <w:jc w:val="left"/>
            </w:pPr>
            <w:r>
              <w:rPr>
                <w:rFonts w:ascii="Arial" w:hAnsi="Arial" w:eastAsia="宋体"/>
                <w:b w:val="0"/>
                <w:color w:val="000000"/>
                <w:sz w:val="21"/>
              </w:rPr>
              <w:t xml:space="preserve">接口—EDR 80＋合规 </w:t>
            </w:r>
            <w:r>
              <w:rPr>
                <w:rFonts w:hint="eastAsia" w:ascii="Arial" w:hAnsi="Arial" w:eastAsia="宋体"/>
                <w:b w:val="0"/>
                <w:color w:val="000000"/>
                <w:sz w:val="21"/>
                <w:lang w:val="en-US" w:eastAsia="zh-CN"/>
              </w:rPr>
              <w:t>12</w:t>
            </w:r>
            <w:r>
              <w:rPr>
                <w:rFonts w:ascii="Arial" w:hAnsi="Arial" w:eastAsia="宋体"/>
                <w:b w:val="0"/>
                <w:color w:val="000000"/>
                <w:sz w:val="21"/>
              </w:rPr>
              <w:t>0</w:t>
            </w:r>
          </w:p>
        </w:tc>
      </w:tr>
      <w:tr w14:paraId="0D43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720864F">
            <w:pPr>
              <w:spacing w:before="20" w:after="20" w:line="240" w:lineRule="auto"/>
              <w:jc w:val="center"/>
            </w:pPr>
            <w:r>
              <w:rPr>
                <w:rFonts w:ascii="Arial" w:hAnsi="Arial" w:eastAsia="宋体"/>
                <w:b w:val="0"/>
                <w:color w:val="000000"/>
                <w:sz w:val="21"/>
              </w:rPr>
              <w:t>11</w:t>
            </w:r>
          </w:p>
        </w:tc>
        <w:tc>
          <w:tcPr>
            <w:tcW w:w="2494" w:type="dxa"/>
            <w:vAlign w:val="center"/>
          </w:tcPr>
          <w:p w14:paraId="4E08F411">
            <w:pPr>
              <w:spacing w:before="20" w:after="20" w:line="240" w:lineRule="auto"/>
              <w:jc w:val="left"/>
            </w:pPr>
            <w:r>
              <w:rPr>
                <w:rFonts w:ascii="Arial" w:hAnsi="Arial" w:eastAsia="宋体"/>
                <w:b w:val="0"/>
                <w:color w:val="000000"/>
                <w:sz w:val="21"/>
              </w:rPr>
              <w:t>测试验收：FAT/SAT/性能/UAT（第5节）</w:t>
            </w:r>
          </w:p>
        </w:tc>
        <w:tc>
          <w:tcPr>
            <w:tcW w:w="3628" w:type="dxa"/>
            <w:vAlign w:val="center"/>
          </w:tcPr>
          <w:p w14:paraId="6E91E01D">
            <w:pPr>
              <w:spacing w:before="20" w:after="20" w:line="240" w:lineRule="auto"/>
              <w:jc w:val="left"/>
            </w:pPr>
            <w:r>
              <w:rPr>
                <w:rFonts w:ascii="Arial" w:hAnsi="Arial" w:eastAsia="宋体"/>
                <w:b w:val="0"/>
                <w:color w:val="000000"/>
                <w:sz w:val="21"/>
              </w:rPr>
              <w:t>FAT/SAT/性能/UAT全流程测试、缺陷闭环、调试投运</w:t>
            </w:r>
          </w:p>
        </w:tc>
        <w:tc>
          <w:tcPr>
            <w:tcW w:w="2268" w:type="dxa"/>
            <w:vAlign w:val="center"/>
          </w:tcPr>
          <w:p w14:paraId="28803509">
            <w:pPr>
              <w:spacing w:before="20" w:after="20" w:line="240" w:lineRule="auto"/>
              <w:jc w:val="left"/>
            </w:pPr>
            <w:r>
              <w:rPr>
                <w:rFonts w:ascii="Arial" w:hAnsi="Arial" w:eastAsia="宋体"/>
                <w:b w:val="0"/>
                <w:color w:val="000000"/>
                <w:sz w:val="21"/>
              </w:rPr>
              <w:t>服务—集成测试 50</w:t>
            </w:r>
          </w:p>
        </w:tc>
      </w:tr>
      <w:tr w14:paraId="09FCA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F7489C9">
            <w:pPr>
              <w:spacing w:before="20" w:after="20" w:line="240" w:lineRule="auto"/>
              <w:jc w:val="center"/>
            </w:pPr>
            <w:r>
              <w:rPr>
                <w:rFonts w:ascii="Arial" w:hAnsi="Arial" w:eastAsia="宋体"/>
                <w:b w:val="0"/>
                <w:color w:val="000000"/>
                <w:sz w:val="21"/>
              </w:rPr>
              <w:t>12</w:t>
            </w:r>
          </w:p>
        </w:tc>
        <w:tc>
          <w:tcPr>
            <w:tcW w:w="2494" w:type="dxa"/>
            <w:vAlign w:val="center"/>
          </w:tcPr>
          <w:p w14:paraId="015F09FD">
            <w:pPr>
              <w:spacing w:before="20" w:after="20" w:line="240" w:lineRule="auto"/>
              <w:jc w:val="left"/>
            </w:pPr>
            <w:r>
              <w:rPr>
                <w:rFonts w:ascii="Arial" w:hAnsi="Arial" w:eastAsia="宋体"/>
                <w:b w:val="0"/>
                <w:color w:val="000000"/>
                <w:sz w:val="21"/>
              </w:rPr>
              <w:t>实施部署与割接：选址布局、分阶段部署（第8节）</w:t>
            </w:r>
          </w:p>
        </w:tc>
        <w:tc>
          <w:tcPr>
            <w:tcW w:w="3628" w:type="dxa"/>
            <w:vAlign w:val="center"/>
          </w:tcPr>
          <w:p w14:paraId="7BABF01C">
            <w:pPr>
              <w:spacing w:before="20" w:after="20" w:line="240" w:lineRule="auto"/>
              <w:jc w:val="left"/>
            </w:pPr>
            <w:r>
              <w:rPr>
                <w:rFonts w:ascii="Arial" w:hAnsi="Arial" w:eastAsia="宋体"/>
                <w:b w:val="0"/>
                <w:color w:val="000000"/>
                <w:sz w:val="21"/>
              </w:rPr>
              <w:t>现场调研、终端战略性布局、分阶段部署、割接计划与回退</w:t>
            </w:r>
          </w:p>
        </w:tc>
        <w:tc>
          <w:tcPr>
            <w:tcW w:w="2268" w:type="dxa"/>
            <w:vAlign w:val="center"/>
          </w:tcPr>
          <w:p w14:paraId="7AA14C7E">
            <w:pPr>
              <w:spacing w:before="20" w:after="20" w:line="240" w:lineRule="auto"/>
              <w:jc w:val="left"/>
            </w:pPr>
            <w:r>
              <w:rPr>
                <w:rFonts w:ascii="Arial" w:hAnsi="Arial" w:eastAsia="宋体"/>
                <w:b w:val="0"/>
                <w:color w:val="000000"/>
                <w:sz w:val="21"/>
              </w:rPr>
              <w:t xml:space="preserve">服务—调研UX </w:t>
            </w:r>
            <w:r>
              <w:rPr>
                <w:rFonts w:hint="eastAsia" w:ascii="Arial" w:hAnsi="Arial" w:eastAsia="宋体"/>
                <w:b w:val="0"/>
                <w:color w:val="000000"/>
                <w:sz w:val="21"/>
                <w:lang w:val="en-US" w:eastAsia="zh-CN"/>
              </w:rPr>
              <w:t>1</w:t>
            </w:r>
            <w:r>
              <w:rPr>
                <w:rFonts w:ascii="Arial" w:hAnsi="Arial" w:eastAsia="宋体"/>
                <w:b w:val="0"/>
                <w:color w:val="000000"/>
                <w:sz w:val="21"/>
              </w:rPr>
              <w:t xml:space="preserve">00＋项目管理 </w:t>
            </w:r>
            <w:r>
              <w:rPr>
                <w:rFonts w:hint="eastAsia" w:ascii="Arial" w:hAnsi="Arial" w:eastAsia="宋体"/>
                <w:b w:val="0"/>
                <w:color w:val="000000"/>
                <w:sz w:val="21"/>
                <w:lang w:val="en-US" w:eastAsia="zh-CN"/>
              </w:rPr>
              <w:t>5</w:t>
            </w:r>
            <w:r>
              <w:rPr>
                <w:rFonts w:ascii="Arial" w:hAnsi="Arial" w:eastAsia="宋体"/>
                <w:b w:val="0"/>
                <w:color w:val="000000"/>
                <w:sz w:val="21"/>
              </w:rPr>
              <w:t>0</w:t>
            </w:r>
          </w:p>
        </w:tc>
      </w:tr>
      <w:tr w14:paraId="2F93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672B840">
            <w:pPr>
              <w:spacing w:before="20" w:after="20" w:line="240" w:lineRule="auto"/>
              <w:jc w:val="center"/>
            </w:pPr>
            <w:r>
              <w:rPr>
                <w:rFonts w:ascii="Arial" w:hAnsi="Arial" w:eastAsia="宋体"/>
                <w:b w:val="0"/>
                <w:color w:val="000000"/>
                <w:sz w:val="21"/>
              </w:rPr>
              <w:t>13</w:t>
            </w:r>
          </w:p>
        </w:tc>
        <w:tc>
          <w:tcPr>
            <w:tcW w:w="2494" w:type="dxa"/>
            <w:vAlign w:val="center"/>
          </w:tcPr>
          <w:p w14:paraId="408CD530">
            <w:pPr>
              <w:spacing w:before="20" w:after="20" w:line="240" w:lineRule="auto"/>
              <w:jc w:val="left"/>
            </w:pPr>
            <w:r>
              <w:rPr>
                <w:rFonts w:ascii="Arial" w:hAnsi="Arial" w:eastAsia="宋体"/>
                <w:b w:val="0"/>
                <w:color w:val="000000"/>
                <w:sz w:val="21"/>
              </w:rPr>
              <w:t>支持维护：Hypercare、预防/纠正维护、备件（第6、12节）</w:t>
            </w:r>
          </w:p>
        </w:tc>
        <w:tc>
          <w:tcPr>
            <w:tcW w:w="3628" w:type="dxa"/>
            <w:vAlign w:val="center"/>
          </w:tcPr>
          <w:p w14:paraId="18493ACF">
            <w:pPr>
              <w:spacing w:before="20" w:after="20" w:line="240" w:lineRule="auto"/>
              <w:jc w:val="left"/>
            </w:pPr>
            <w:r>
              <w:rPr>
                <w:rFonts w:ascii="Arial" w:hAnsi="Arial" w:eastAsia="宋体"/>
                <w:b w:val="0"/>
                <w:color w:val="000000"/>
                <w:sz w:val="21"/>
              </w:rPr>
              <w:t>Hypercare≥3个月、DNP 24个月、预防性与纠正性维护、关键备件</w:t>
            </w:r>
          </w:p>
        </w:tc>
        <w:tc>
          <w:tcPr>
            <w:tcW w:w="2268" w:type="dxa"/>
            <w:vAlign w:val="center"/>
          </w:tcPr>
          <w:p w14:paraId="62817926">
            <w:pPr>
              <w:spacing w:before="20" w:after="20" w:line="240" w:lineRule="auto"/>
              <w:jc w:val="left"/>
            </w:pPr>
            <w:r>
              <w:rPr>
                <w:rFonts w:ascii="Arial" w:hAnsi="Arial" w:eastAsia="宋体"/>
                <w:b w:val="0"/>
                <w:color w:val="000000"/>
                <w:sz w:val="21"/>
              </w:rPr>
              <w:t xml:space="preserve">服务—Hypercare </w:t>
            </w:r>
            <w:r>
              <w:rPr>
                <w:rFonts w:hint="eastAsia" w:ascii="Arial" w:hAnsi="Arial" w:eastAsia="宋体"/>
                <w:b w:val="0"/>
                <w:color w:val="000000"/>
                <w:sz w:val="21"/>
                <w:lang w:val="en-US" w:eastAsia="zh-CN"/>
              </w:rPr>
              <w:t>1</w:t>
            </w:r>
            <w:r>
              <w:rPr>
                <w:rFonts w:ascii="Arial" w:hAnsi="Arial" w:eastAsia="宋体"/>
                <w:b w:val="0"/>
                <w:color w:val="000000"/>
                <w:sz w:val="21"/>
              </w:rPr>
              <w:t xml:space="preserve">00＋托管 </w:t>
            </w:r>
            <w:r>
              <w:rPr>
                <w:rFonts w:hint="eastAsia" w:ascii="Arial" w:hAnsi="Arial" w:eastAsia="宋体"/>
                <w:b w:val="0"/>
                <w:color w:val="000000"/>
                <w:sz w:val="21"/>
                <w:lang w:val="en-US" w:eastAsia="zh-CN"/>
              </w:rPr>
              <w:t>5</w:t>
            </w:r>
            <w:r>
              <w:rPr>
                <w:rFonts w:ascii="Arial" w:hAnsi="Arial" w:eastAsia="宋体"/>
                <w:b w:val="0"/>
                <w:color w:val="000000"/>
                <w:sz w:val="21"/>
              </w:rPr>
              <w:t>0</w:t>
            </w:r>
          </w:p>
        </w:tc>
      </w:tr>
      <w:tr w14:paraId="65A69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4111A69">
            <w:pPr>
              <w:spacing w:before="20" w:after="20" w:line="240" w:lineRule="auto"/>
              <w:jc w:val="center"/>
            </w:pPr>
            <w:r>
              <w:rPr>
                <w:rFonts w:ascii="Arial" w:hAnsi="Arial" w:eastAsia="宋体"/>
                <w:b w:val="0"/>
                <w:color w:val="000000"/>
                <w:sz w:val="21"/>
              </w:rPr>
              <w:t>14</w:t>
            </w:r>
          </w:p>
        </w:tc>
        <w:tc>
          <w:tcPr>
            <w:tcW w:w="2494" w:type="dxa"/>
            <w:vAlign w:val="center"/>
          </w:tcPr>
          <w:p w14:paraId="3B85D0F9">
            <w:pPr>
              <w:spacing w:before="20" w:after="20" w:line="240" w:lineRule="auto"/>
              <w:jc w:val="left"/>
            </w:pPr>
            <w:r>
              <w:rPr>
                <w:rFonts w:ascii="Arial" w:hAnsi="Arial" w:eastAsia="宋体"/>
                <w:b w:val="0"/>
                <w:color w:val="000000"/>
                <w:sz w:val="21"/>
              </w:rPr>
              <w:t>培训与移交：分层培训、文档、SOP（第9节）</w:t>
            </w:r>
          </w:p>
        </w:tc>
        <w:tc>
          <w:tcPr>
            <w:tcW w:w="3628" w:type="dxa"/>
            <w:vAlign w:val="center"/>
          </w:tcPr>
          <w:p w14:paraId="688269DC">
            <w:pPr>
              <w:spacing w:before="20" w:after="20" w:line="240" w:lineRule="auto"/>
              <w:jc w:val="left"/>
            </w:pPr>
            <w:r>
              <w:rPr>
                <w:rFonts w:ascii="Arial" w:hAnsi="Arial" w:eastAsia="宋体"/>
                <w:b w:val="0"/>
                <w:color w:val="000000"/>
                <w:sz w:val="21"/>
              </w:rPr>
              <w:t>管理员/运营/IT分层培训、用户及技术手册、SOP、竣工文档</w:t>
            </w:r>
          </w:p>
        </w:tc>
        <w:tc>
          <w:tcPr>
            <w:tcW w:w="2268" w:type="dxa"/>
            <w:vAlign w:val="center"/>
          </w:tcPr>
          <w:p w14:paraId="48D09073">
            <w:pPr>
              <w:spacing w:before="20" w:after="20" w:line="240" w:lineRule="auto"/>
              <w:jc w:val="left"/>
            </w:pPr>
            <w:r>
              <w:rPr>
                <w:rFonts w:ascii="Arial" w:hAnsi="Arial" w:eastAsia="宋体"/>
                <w:b w:val="0"/>
                <w:color w:val="000000"/>
                <w:sz w:val="21"/>
              </w:rPr>
              <w:t xml:space="preserve">服务—培训 </w:t>
            </w:r>
            <w:r>
              <w:rPr>
                <w:rFonts w:hint="eastAsia" w:ascii="Arial" w:hAnsi="Arial" w:eastAsia="宋体"/>
                <w:b w:val="0"/>
                <w:color w:val="000000"/>
                <w:sz w:val="21"/>
                <w:lang w:val="en-US" w:eastAsia="zh-CN"/>
              </w:rPr>
              <w:t>2</w:t>
            </w:r>
            <w:r>
              <w:rPr>
                <w:rFonts w:ascii="Arial" w:hAnsi="Arial" w:eastAsia="宋体"/>
                <w:b w:val="0"/>
                <w:color w:val="000000"/>
                <w:sz w:val="21"/>
              </w:rPr>
              <w:t>0</w:t>
            </w:r>
          </w:p>
        </w:tc>
      </w:tr>
      <w:tr w14:paraId="2B3D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30E2B2A">
            <w:pPr>
              <w:spacing w:before="20" w:after="20" w:line="240" w:lineRule="auto"/>
              <w:jc w:val="center"/>
            </w:pPr>
            <w:r>
              <w:rPr>
                <w:rFonts w:ascii="Arial" w:hAnsi="Arial" w:eastAsia="宋体"/>
                <w:b w:val="0"/>
                <w:color w:val="000000"/>
                <w:sz w:val="21"/>
              </w:rPr>
              <w:t>15</w:t>
            </w:r>
          </w:p>
        </w:tc>
        <w:tc>
          <w:tcPr>
            <w:tcW w:w="2494" w:type="dxa"/>
            <w:vAlign w:val="center"/>
          </w:tcPr>
          <w:p w14:paraId="1BCFD7BC">
            <w:pPr>
              <w:spacing w:before="20" w:after="20" w:line="240" w:lineRule="auto"/>
              <w:jc w:val="left"/>
            </w:pPr>
            <w:r>
              <w:rPr>
                <w:rFonts w:ascii="Arial" w:hAnsi="Arial" w:eastAsia="宋体"/>
                <w:b w:val="0"/>
                <w:color w:val="000000"/>
                <w:sz w:val="21"/>
              </w:rPr>
              <w:t>监控与可观测性：实时监控、告警、日志审计（第10节）</w:t>
            </w:r>
          </w:p>
        </w:tc>
        <w:tc>
          <w:tcPr>
            <w:tcW w:w="3628" w:type="dxa"/>
            <w:vAlign w:val="center"/>
          </w:tcPr>
          <w:p w14:paraId="49C1AC2B">
            <w:pPr>
              <w:spacing w:before="20" w:after="20" w:line="240" w:lineRule="auto"/>
              <w:jc w:val="left"/>
            </w:pPr>
            <w:r>
              <w:rPr>
                <w:rFonts w:ascii="Arial" w:hAnsi="Arial" w:eastAsia="宋体"/>
                <w:b w:val="0"/>
                <w:color w:val="000000"/>
                <w:sz w:val="21"/>
              </w:rPr>
              <w:t>终端/集成实时监控、自动告警、日志保留、管理仪表板</w:t>
            </w:r>
          </w:p>
        </w:tc>
        <w:tc>
          <w:tcPr>
            <w:tcW w:w="2268" w:type="dxa"/>
            <w:vAlign w:val="center"/>
          </w:tcPr>
          <w:p w14:paraId="471F6673">
            <w:pPr>
              <w:spacing w:before="20" w:after="20" w:line="240" w:lineRule="auto"/>
              <w:jc w:val="left"/>
            </w:pPr>
            <w:r>
              <w:rPr>
                <w:rFonts w:ascii="Arial" w:hAnsi="Arial" w:eastAsia="宋体"/>
                <w:b w:val="0"/>
                <w:color w:val="000000"/>
                <w:sz w:val="21"/>
              </w:rPr>
              <w:t xml:space="preserve">运营—监控 </w:t>
            </w:r>
            <w:r>
              <w:rPr>
                <w:rFonts w:hint="eastAsia" w:ascii="Arial" w:hAnsi="Arial" w:eastAsia="宋体"/>
                <w:b w:val="0"/>
                <w:color w:val="000000"/>
                <w:sz w:val="21"/>
                <w:lang w:val="en-US" w:eastAsia="zh-CN"/>
              </w:rPr>
              <w:t>4</w:t>
            </w:r>
            <w:r>
              <w:rPr>
                <w:rFonts w:ascii="Arial" w:hAnsi="Arial" w:eastAsia="宋体"/>
                <w:b w:val="0"/>
                <w:color w:val="000000"/>
                <w:sz w:val="21"/>
              </w:rPr>
              <w:t>0</w:t>
            </w:r>
          </w:p>
        </w:tc>
      </w:tr>
      <w:tr w14:paraId="6680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A4A93A2">
            <w:pPr>
              <w:spacing w:before="20" w:after="20" w:line="240" w:lineRule="auto"/>
              <w:jc w:val="center"/>
            </w:pPr>
            <w:r>
              <w:rPr>
                <w:rFonts w:ascii="Arial" w:hAnsi="Arial" w:eastAsia="宋体"/>
                <w:b w:val="0"/>
                <w:color w:val="000000"/>
                <w:sz w:val="21"/>
              </w:rPr>
              <w:t>16</w:t>
            </w:r>
          </w:p>
        </w:tc>
        <w:tc>
          <w:tcPr>
            <w:tcW w:w="2494" w:type="dxa"/>
            <w:vAlign w:val="center"/>
          </w:tcPr>
          <w:p w14:paraId="4ED1BE0E">
            <w:pPr>
              <w:spacing w:before="20" w:after="20" w:line="240" w:lineRule="auto"/>
              <w:jc w:val="left"/>
            </w:pPr>
            <w:r>
              <w:rPr>
                <w:rFonts w:ascii="Arial" w:hAnsi="Arial" w:eastAsia="宋体"/>
                <w:b w:val="0"/>
                <w:color w:val="000000"/>
                <w:sz w:val="21"/>
              </w:rPr>
              <w:t>地图与定位服务、未来扩展（11.4节）</w:t>
            </w:r>
          </w:p>
        </w:tc>
        <w:tc>
          <w:tcPr>
            <w:tcW w:w="3628" w:type="dxa"/>
            <w:vAlign w:val="center"/>
          </w:tcPr>
          <w:p w14:paraId="45D1C1C6">
            <w:pPr>
              <w:spacing w:before="20" w:after="20" w:line="240" w:lineRule="auto"/>
              <w:jc w:val="left"/>
            </w:pPr>
            <w:r>
              <w:rPr>
                <w:rFonts w:ascii="Arial" w:hAnsi="Arial" w:eastAsia="宋体"/>
                <w:b w:val="0"/>
                <w:color w:val="000000"/>
                <w:sz w:val="21"/>
              </w:rPr>
              <w:t>地图数据与定位许可、开放API；支持AI/数字孪生等未来扩展</w:t>
            </w:r>
          </w:p>
        </w:tc>
        <w:tc>
          <w:tcPr>
            <w:tcW w:w="2268" w:type="dxa"/>
            <w:vAlign w:val="center"/>
          </w:tcPr>
          <w:p w14:paraId="65809A65">
            <w:pPr>
              <w:spacing w:before="20" w:after="20" w:line="240" w:lineRule="auto"/>
              <w:jc w:val="left"/>
            </w:pPr>
            <w:r>
              <w:rPr>
                <w:rFonts w:ascii="Arial" w:hAnsi="Arial" w:eastAsia="宋体"/>
                <w:b w:val="0"/>
                <w:color w:val="000000"/>
                <w:sz w:val="21"/>
              </w:rPr>
              <w:t>许可 150＋地图定位 120</w:t>
            </w:r>
          </w:p>
        </w:tc>
      </w:tr>
    </w:tbl>
    <w:p w14:paraId="7BD60AF6">
      <w:pPr>
        <w:spacing w:before="0" w:after="0" w:line="360" w:lineRule="auto"/>
        <w:ind w:firstLine="480" w:firstLineChars="200"/>
        <w:jc w:val="both"/>
      </w:pPr>
      <w:r>
        <w:rPr>
          <w:rFonts w:ascii="Arial" w:hAnsi="Arial" w:eastAsia="宋体"/>
          <w:b w:val="0"/>
          <w:color w:val="000000"/>
          <w:sz w:val="24"/>
        </w:rPr>
        <w:t>上表覆盖业主需求中移动应用、交互式导览、硬件终端、平台管理、非功能性要求、测试验收、支持维护、实施部署、运营过渡与监控治理等全部模块，各项需求均已形成明确的交付方案、量化性能指标与投资映射，不存在需求缺口。备品备件、应急响应及服务水平协议（SLA）等将纳入托管服务与E1/E4治理框架执行，为系统全生命周期稳定运行提供保障。</w:t>
      </w:r>
    </w:p>
    <w:p w14:paraId="7A2534D1">
      <w:pPr>
        <w:pStyle w:val="3"/>
        <w:spacing w:before="280" w:after="120" w:line="312" w:lineRule="auto"/>
        <w:jc w:val="left"/>
      </w:pPr>
      <w:r>
        <w:rPr>
          <w:rFonts w:ascii="Arial" w:hAnsi="Arial" w:eastAsia="黑体"/>
          <w:b/>
          <w:color w:val="000000"/>
          <w:sz w:val="32"/>
        </w:rPr>
        <w:t>十二、效益分析</w:t>
      </w:r>
    </w:p>
    <w:p w14:paraId="2E887037">
      <w:pPr>
        <w:pStyle w:val="4"/>
        <w:spacing w:before="220" w:after="100" w:line="312" w:lineRule="auto"/>
        <w:jc w:val="left"/>
      </w:pPr>
      <w:r>
        <w:rPr>
          <w:rFonts w:ascii="Arial" w:hAnsi="Arial" w:eastAsia="黑体"/>
          <w:b/>
          <w:color w:val="000000"/>
          <w:sz w:val="28"/>
        </w:rPr>
        <w:t>（一）经济效益</w:t>
      </w:r>
    </w:p>
    <w:p w14:paraId="205D240A">
      <w:pPr>
        <w:spacing w:before="0" w:after="0" w:line="360" w:lineRule="auto"/>
        <w:ind w:firstLine="480" w:firstLineChars="200"/>
        <w:jc w:val="both"/>
      </w:pPr>
      <w:r>
        <w:rPr>
          <w:rFonts w:ascii="Arial" w:hAnsi="Arial" w:eastAsia="宋体"/>
          <w:b w:val="0"/>
          <w:color w:val="000000"/>
          <w:sz w:val="24"/>
        </w:rPr>
        <w:t>一是商业收入提升。通过在线订购、优惠推送、广告位与预约服务，预计商业净收入提升百分之八至十二，按机场商业规模估算，首年年增收约二百至五百万元（视租户合作深度而定）。</w:t>
      </w:r>
    </w:p>
    <w:p w14:paraId="3D9E1727">
      <w:pPr>
        <w:spacing w:before="0" w:after="0" w:line="360" w:lineRule="auto"/>
        <w:ind w:firstLine="480" w:firstLineChars="200"/>
        <w:jc w:val="both"/>
      </w:pPr>
      <w:r>
        <w:rPr>
          <w:rFonts w:ascii="Arial" w:hAnsi="Arial" w:eastAsia="宋体"/>
          <w:b w:val="0"/>
          <w:color w:val="000000"/>
          <w:sz w:val="24"/>
        </w:rPr>
        <w:t>二是运营成本优化。自助导览与信息终端替代部分人工问询与地面引导工作，预计人力相关成本降低约百分之十。</w:t>
      </w:r>
    </w:p>
    <w:p w14:paraId="5555006B">
      <w:pPr>
        <w:spacing w:before="0" w:after="0" w:line="360" w:lineRule="auto"/>
        <w:ind w:firstLine="480" w:firstLineChars="200"/>
        <w:jc w:val="both"/>
      </w:pPr>
      <w:r>
        <w:rPr>
          <w:rFonts w:ascii="Arial" w:hAnsi="Arial" w:eastAsia="宋体"/>
          <w:b w:val="0"/>
          <w:color w:val="000000"/>
          <w:sz w:val="24"/>
        </w:rPr>
        <w:t>三是流转效率提升。实时排队信息与最优路径引导有助于降低旅客在安检、登机口的滞留时间，间接减少航班延误引发的地面处理成本，提升整体运营效率。</w:t>
      </w:r>
    </w:p>
    <w:p w14:paraId="1160DDE8">
      <w:pPr>
        <w:spacing w:before="0" w:after="0" w:line="360" w:lineRule="auto"/>
        <w:ind w:firstLine="480" w:firstLineChars="200"/>
        <w:jc w:val="both"/>
      </w:pPr>
      <w:r>
        <w:rPr>
          <w:rFonts w:ascii="Arial" w:hAnsi="Arial" w:eastAsia="宋体"/>
          <w:b w:val="0"/>
          <w:color w:val="000000"/>
          <w:sz w:val="24"/>
        </w:rPr>
        <w:t>四是长期价值突出。随着商业运营深化与数据价值释放，平台对非航空收入的贡献将持续放大，形成可持续的数字化收益来源，项目综合回报长期向好。</w:t>
      </w:r>
    </w:p>
    <w:p w14:paraId="7C83F5BE">
      <w:pPr>
        <w:pStyle w:val="4"/>
        <w:spacing w:before="220" w:after="100" w:line="312" w:lineRule="auto"/>
        <w:jc w:val="left"/>
      </w:pPr>
      <w:r>
        <w:rPr>
          <w:rFonts w:ascii="Arial" w:hAnsi="Arial" w:eastAsia="黑体"/>
          <w:b/>
          <w:color w:val="000000"/>
          <w:sz w:val="28"/>
        </w:rPr>
        <w:t>（二）社会与管理效益</w:t>
      </w:r>
    </w:p>
    <w:p w14:paraId="65D3EFCA">
      <w:pPr>
        <w:spacing w:before="0" w:after="0" w:line="360" w:lineRule="auto"/>
        <w:ind w:firstLine="480" w:firstLineChars="200"/>
        <w:jc w:val="both"/>
      </w:pPr>
      <w:r>
        <w:rPr>
          <w:rFonts w:ascii="Arial" w:hAnsi="Arial" w:eastAsia="宋体"/>
          <w:b w:val="0"/>
          <w:color w:val="000000"/>
          <w:sz w:val="24"/>
        </w:rPr>
        <w:t>一是旅客满意度与机场品牌形象显著提升，增强 PIA 作为区域航空枢纽的竞争力。</w:t>
      </w:r>
    </w:p>
    <w:p w14:paraId="0066A132">
      <w:pPr>
        <w:spacing w:before="0" w:after="0" w:line="360" w:lineRule="auto"/>
        <w:ind w:firstLine="480" w:firstLineChars="200"/>
        <w:jc w:val="both"/>
      </w:pPr>
      <w:r>
        <w:rPr>
          <w:rFonts w:ascii="Arial" w:hAnsi="Arial" w:eastAsia="宋体"/>
          <w:b w:val="0"/>
          <w:color w:val="000000"/>
          <w:sz w:val="24"/>
        </w:rPr>
        <w:t>二是数据资产积累。旅客行为、内容互动与交易数据可导入 MAHB 大数据平台，为长期商业与运营优化提供支撑。</w:t>
      </w:r>
    </w:p>
    <w:p w14:paraId="7A387274">
      <w:pPr>
        <w:spacing w:before="0" w:after="0" w:line="360" w:lineRule="auto"/>
        <w:ind w:firstLine="480" w:firstLineChars="200"/>
        <w:jc w:val="both"/>
      </w:pPr>
      <w:r>
        <w:rPr>
          <w:rFonts w:ascii="Arial" w:hAnsi="Arial" w:eastAsia="宋体"/>
          <w:b w:val="0"/>
          <w:color w:val="000000"/>
          <w:sz w:val="24"/>
        </w:rPr>
        <w:t>三是可复制性。系统遵循开放标准与规范接口，便于在 MAHB 其他机场复制推广，形成规模化效益。</w:t>
      </w:r>
    </w:p>
    <w:p w14:paraId="5F07ECC3">
      <w:pPr>
        <w:pStyle w:val="3"/>
        <w:spacing w:before="280" w:after="120" w:line="312" w:lineRule="auto"/>
        <w:jc w:val="left"/>
      </w:pPr>
      <w:r>
        <w:rPr>
          <w:rFonts w:ascii="Arial" w:hAnsi="Arial" w:eastAsia="黑体"/>
          <w:b/>
          <w:color w:val="000000"/>
          <w:sz w:val="32"/>
        </w:rPr>
        <w:t>十三、风险分析与应对措施</w:t>
      </w:r>
    </w:p>
    <w:p w14:paraId="32D332D1">
      <w:pPr>
        <w:spacing w:before="0" w:after="0" w:line="360" w:lineRule="auto"/>
        <w:ind w:firstLine="480" w:firstLineChars="200"/>
        <w:jc w:val="both"/>
      </w:pPr>
      <w:r>
        <w:rPr>
          <w:rFonts w:ascii="Arial" w:hAnsi="Arial" w:eastAsia="宋体"/>
          <w:b w:val="0"/>
          <w:color w:val="000000"/>
          <w:sz w:val="24"/>
        </w:rPr>
        <w:t>一是接口与数据可用性风险。航班、行李、排队等系统接口可能存在延迟或数据不完整。应对措施：早期完成接口控制文档并建立模拟数据环境；在系统设计中加入离线缓存与优雅降级机制，保障信息不中断。</w:t>
      </w:r>
    </w:p>
    <w:p w14:paraId="03349249">
      <w:pPr>
        <w:spacing w:before="0" w:after="0" w:line="360" w:lineRule="auto"/>
        <w:ind w:firstLine="480" w:firstLineChars="200"/>
        <w:jc w:val="both"/>
      </w:pPr>
      <w:r>
        <w:rPr>
          <w:rFonts w:ascii="Arial" w:hAnsi="Arial" w:eastAsia="宋体"/>
          <w:b w:val="0"/>
          <w:color w:val="000000"/>
          <w:sz w:val="24"/>
        </w:rPr>
        <w:t>二是项目进度风险。多方协调与许可审批可能导致延期。应对措施：建立明确的治理日程与关键路径里程碑，预留缓冲期与预备费，动态跟踪纠偏。</w:t>
      </w:r>
    </w:p>
    <w:p w14:paraId="6D78F32C">
      <w:pPr>
        <w:spacing w:before="0" w:after="0" w:line="360" w:lineRule="auto"/>
        <w:ind w:firstLine="480" w:firstLineChars="200"/>
        <w:jc w:val="both"/>
      </w:pPr>
      <w:r>
        <w:rPr>
          <w:rFonts w:ascii="Arial" w:hAnsi="Arial" w:eastAsia="宋体"/>
          <w:b w:val="0"/>
          <w:color w:val="000000"/>
          <w:sz w:val="24"/>
        </w:rPr>
        <w:t>三是安全合规与隐私风险。终端或平台可能遭受攻击，生物识别数据处理不当将引发合规问题。应对措施：采用行业最佳安全实践，按 MAHB 要求部署终端防护、传输加密与审计日志；生物识别严格遵循隐私政策并提供用户同意机制。</w:t>
      </w:r>
    </w:p>
    <w:p w14:paraId="00B19651">
      <w:pPr>
        <w:spacing w:before="0" w:after="0" w:line="360" w:lineRule="auto"/>
        <w:ind w:firstLine="480" w:firstLineChars="200"/>
        <w:jc w:val="both"/>
      </w:pPr>
      <w:r>
        <w:rPr>
          <w:rFonts w:ascii="Arial" w:hAnsi="Arial" w:eastAsia="宋体"/>
          <w:b w:val="0"/>
          <w:color w:val="000000"/>
          <w:sz w:val="24"/>
        </w:rPr>
        <w:t>四是供应与质量风险。终端硬件交付延迟或质量不达标。应对措施：采用招标评审流程，实施样机验收、第三方验证与现场测试，从源头把控质量。</w:t>
      </w:r>
    </w:p>
    <w:p w14:paraId="7F8CAF43">
      <w:pPr>
        <w:spacing w:before="0" w:after="0" w:line="360" w:lineRule="auto"/>
        <w:ind w:firstLine="480" w:firstLineChars="200"/>
        <w:jc w:val="both"/>
      </w:pPr>
      <w:r>
        <w:rPr>
          <w:rFonts w:ascii="Arial" w:hAnsi="Arial" w:eastAsia="宋体"/>
          <w:b w:val="0"/>
          <w:color w:val="000000"/>
          <w:sz w:val="24"/>
        </w:rPr>
        <w:t>五是运营维护风险。交付后内容更新与运维投入不足将影响系统可用性。应对措施：明确服务水平协议、编制运维手册、开展系统培训，并提供首年 Hypercare 支持，建立本地维护团队与远程支持机制。</w:t>
      </w:r>
    </w:p>
    <w:p w14:paraId="57B8B8CF">
      <w:pPr>
        <w:pStyle w:val="3"/>
        <w:spacing w:before="280" w:after="120" w:line="312" w:lineRule="auto"/>
        <w:jc w:val="left"/>
      </w:pPr>
      <w:r>
        <w:rPr>
          <w:rFonts w:ascii="Arial" w:hAnsi="Arial" w:eastAsia="黑体"/>
          <w:b/>
          <w:color w:val="000000"/>
          <w:sz w:val="32"/>
        </w:rPr>
        <w:t>十四、结论与建议</w:t>
      </w:r>
    </w:p>
    <w:p w14:paraId="04A6EC05">
      <w:pPr>
        <w:spacing w:before="0" w:after="0" w:line="360" w:lineRule="auto"/>
        <w:ind w:firstLine="480" w:firstLineChars="200"/>
        <w:jc w:val="both"/>
      </w:pPr>
      <w:r>
        <w:rPr>
          <w:rFonts w:ascii="Arial" w:hAnsi="Arial" w:eastAsia="宋体"/>
          <w:b w:val="0"/>
          <w:color w:val="000000"/>
          <w:sz w:val="24"/>
        </w:rPr>
        <w:t>本项目兼具旅客体验提升、机场运营优化与商业增值多重价值，符合 MAHB 统一生态建设方向，技术路线成熟、实施路径清晰、风险总体可控。建议尽快批准立项并启动采购与对接工作，在十八个月内完成建设，实现首年商业化目标与运营数据积累。具体建议如下。</w:t>
      </w:r>
    </w:p>
    <w:p w14:paraId="42816999">
      <w:pPr>
        <w:spacing w:before="0" w:after="0" w:line="360" w:lineRule="auto"/>
        <w:ind w:firstLine="480" w:firstLineChars="200"/>
        <w:jc w:val="both"/>
      </w:pPr>
      <w:r>
        <w:rPr>
          <w:rFonts w:ascii="Arial" w:hAnsi="Arial" w:eastAsia="宋体"/>
          <w:b w:val="0"/>
          <w:color w:val="000000"/>
          <w:sz w:val="24"/>
        </w:rPr>
        <w:t>一是批准五千万元投资预算与十八个月建设周期，尽快启动立项程序。</w:t>
      </w:r>
    </w:p>
    <w:p w14:paraId="6D4941D3">
      <w:pPr>
        <w:spacing w:before="0" w:after="0" w:line="360" w:lineRule="auto"/>
        <w:ind w:firstLine="480" w:firstLineChars="200"/>
        <w:jc w:val="both"/>
      </w:pPr>
      <w:r>
        <w:rPr>
          <w:rFonts w:ascii="Arial" w:hAnsi="Arial" w:eastAsia="宋体"/>
          <w:b w:val="0"/>
          <w:color w:val="000000"/>
          <w:sz w:val="24"/>
        </w:rPr>
        <w:t xml:space="preserve">二是指定 MAHB/PIA 项目联络小组与开发对接负责人，确保与 </w:t>
      </w:r>
      <w:r>
        <w:rPr>
          <w:rFonts w:hint="eastAsia" w:ascii="Arial" w:hAnsi="Arial" w:eastAsia="宋体"/>
          <w:b w:val="0"/>
          <w:color w:val="000000"/>
          <w:sz w:val="24"/>
          <w:lang w:eastAsia="zh-CN"/>
        </w:rPr>
        <w:t>MyAirPorts</w:t>
      </w:r>
      <w:r>
        <w:rPr>
          <w:rFonts w:ascii="Arial" w:hAnsi="Arial" w:eastAsia="宋体"/>
          <w:b w:val="0"/>
          <w:color w:val="000000"/>
          <w:sz w:val="24"/>
        </w:rPr>
        <w:t>团队紧密协作。</w:t>
      </w:r>
    </w:p>
    <w:p w14:paraId="635994CC">
      <w:pPr>
        <w:spacing w:before="0" w:after="0" w:line="360" w:lineRule="auto"/>
        <w:ind w:firstLine="480" w:firstLineChars="200"/>
        <w:jc w:val="both"/>
      </w:pPr>
      <w:r>
        <w:rPr>
          <w:rFonts w:ascii="Arial" w:hAnsi="Arial" w:eastAsia="宋体"/>
          <w:b w:val="0"/>
          <w:color w:val="000000"/>
          <w:sz w:val="24"/>
        </w:rPr>
        <w:t>三是尽早开展现场网络与电力勘查及接口控制文档编制，确保接口通道与测试环境准备充分。</w:t>
      </w:r>
    </w:p>
    <w:p w14:paraId="7FC1CA17">
      <w:pPr>
        <w:spacing w:before="0" w:after="0" w:line="360" w:lineRule="auto"/>
        <w:ind w:firstLine="480" w:firstLineChars="200"/>
        <w:jc w:val="both"/>
      </w:pPr>
      <w:r>
        <w:rPr>
          <w:rFonts w:ascii="Arial" w:hAnsi="Arial" w:eastAsia="宋体"/>
          <w:b w:val="0"/>
          <w:color w:val="000000"/>
          <w:sz w:val="24"/>
        </w:rPr>
        <w:t>四是招标与选型中强调开放标准、可扩展性、运维能力与安全合规，优先选择具有机场行业实施经验的供应商。</w:t>
      </w:r>
    </w:p>
    <w:p w14:paraId="69E9D10C">
      <w:pPr>
        <w:spacing w:before="0" w:after="0" w:line="360" w:lineRule="auto"/>
        <w:ind w:firstLine="480" w:firstLineChars="200"/>
        <w:jc w:val="both"/>
      </w:pPr>
      <w:r>
        <w:rPr>
          <w:rFonts w:ascii="Arial" w:hAnsi="Arial" w:eastAsia="宋体"/>
          <w:b w:val="0"/>
          <w:color w:val="000000"/>
          <w:sz w:val="24"/>
        </w:rPr>
        <w:t>五是在合同中明确交付里程碑、验收标准、服务水平协议与数据归属及退出条款，保障业主长期权益。</w:t>
      </w:r>
    </w:p>
    <w:sectPr>
      <w:footerReference r:id="rId5"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BC9C7">
    <w:pPr>
      <w:pStyle w:val="24"/>
      <w:jc w:val="center"/>
    </w:pPr>
    <w:r>
      <w:rPr>
        <w:rFonts w:ascii="Arial" w:hAnsi="Arial" w:eastAsia="宋体"/>
        <w:b w:val="0"/>
        <w:color w:val="000000"/>
        <w:sz w:val="21"/>
      </w:rPr>
      <w:fldChar w:fldCharType="begin"/>
    </w:r>
    <w:r>
      <w:rPr>
        <w:rFonts w:ascii="Arial" w:hAnsi="Arial" w:eastAsia="宋体"/>
        <w:b w:val="0"/>
        <w:color w:val="000000"/>
        <w:sz w:val="21"/>
      </w:rPr>
      <w:instrText xml:space="preserve">PAGE</w:instrText>
    </w:r>
    <w:r>
      <w:rPr>
        <w:rFonts w:ascii="Arial" w:hAnsi="Arial" w:eastAsia="宋体"/>
        <w:b w:val="0"/>
        <w:color w:val="00000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CB5B0D"/>
    <w:rsid w:val="0F091AD0"/>
    <w:rsid w:val="0FCA48A5"/>
    <w:rsid w:val="14CB59BF"/>
    <w:rsid w:val="1CA55AF7"/>
    <w:rsid w:val="1F864A34"/>
    <w:rsid w:val="2AA14B6E"/>
    <w:rsid w:val="31EB0DE6"/>
    <w:rsid w:val="369F24AA"/>
    <w:rsid w:val="36BD202D"/>
    <w:rsid w:val="4F0109BE"/>
    <w:rsid w:val="658C1FA6"/>
    <w:rsid w:val="71812962"/>
    <w:rsid w:val="76310DB2"/>
    <w:rsid w:val="7DB31E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280</Words>
  <Characters>300</Characters>
  <Lines>0</Lines>
  <Paragraphs>0</Paragraphs>
  <TotalTime>219</TotalTime>
  <ScaleCrop>false</ScaleCrop>
  <LinksUpToDate>false</LinksUpToDate>
  <CharactersWithSpaces>323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刘勇</cp:lastModifiedBy>
  <dcterms:modified xsi:type="dcterms:W3CDTF">2026-10-08T02:57:32Z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eyJoZGlkIjoiZWIyMTQzODY4NDk5NTVkMDlhMGE4MTExOWQ0ZWIxMzUiLCJ1c2VySWQiOiI0MzYzMDY4NjEifQ==</vt:lpwstr>
  </property>
  <property fmtid="{D5CDD505-2E9C-101B-9397-08002B2CF9AE}" pid="3" name="KSOProductBuildVer">
    <vt:lpwstr>2052-12.1.0.28505</vt:lpwstr>
  </property>
  <property fmtid="{D5CDD505-2E9C-101B-9397-08002B2CF9AE}" pid="4" name="ICV">
    <vt:lpwstr>47817A8F0C574A339CE91F20524F3D25_13</vt:lpwstr>
  </property>
</Properties>
</file>