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удалённой работы</w:t>
      </w:r>
    </w:p>
    <w:p>
      <w:pPr>
        <w:pStyle w:val="Heading1"/>
      </w:pPr>
      <w:r>
        <w:t>1. Общие положения</w:t>
      </w:r>
    </w:p>
    <w:p>
      <w:r>
        <w:t>Сотрудники могут работать удалённо до 3 дней в неделю по согласованию с непосредственным руководителем. Полностью удалённый формат согласуется с директором департамента.</w:t>
      </w:r>
    </w:p>
    <w:p>
      <w:pPr>
        <w:pStyle w:val="Heading1"/>
      </w:pPr>
      <w:r>
        <w:t>2. Рабочее время</w:t>
      </w:r>
    </w:p>
    <w:p>
      <w:r>
        <w:t>Рабочий день длится 8 часов. Обязательные часы присутствия онлайн — с 11:00 до 16:00. В это время сотрудник должен быть доступен в корпоративном мессенджере.</w:t>
      </w:r>
    </w:p>
    <w:p>
      <w:pPr>
        <w:pStyle w:val="Heading1"/>
      </w:pPr>
      <w:r>
        <w:t>3. Оборудование</w:t>
      </w:r>
    </w:p>
    <w:p>
      <w:r>
        <w:t>Компания предоставляет ноутбук и компенсирует до 3000 руб./мес. на интернет. Заявка на компенсацию подаётся через портал до 5 числа месяца.</w:t>
      </w:r>
    </w:p>
    <w:p>
      <w:pPr>
        <w:pStyle w:val="Heading1"/>
      </w:pPr>
      <w:r>
        <w:t>4. Отпуск</w:t>
      </w:r>
    </w:p>
    <w:p>
      <w:r>
        <w:t>Ежегодный оплачиваемый отпуск — 28 календарных дней. Заявление подаётся не позднее чем за 14 дней до начала отпуска.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