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r>
        <w:br w:type="page"/>
      </w:r>
    </w:p>
    <w:p>
      <w:pPr>
        <w:pStyle w:val="Heading1"/>
        <w:rPr/>
      </w:pPr>
      <w:bookmarkStart w:id="0" w:name="__RefHeading___Toc20069_1933410216"/>
      <w:bookmarkStart w:id="1" w:name="remerciements"/>
      <w:bookmarkEnd w:id="0"/>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bookmarkStart w:id="2" w:name="remerciements"/>
      <w:r>
        <w:rPr/>
        <w:t>Je remercie également mon encadrante, Dr Yosra Hajjaji, pour son suivi et ses conseils, ainsi que l’équipe pédagogique du MSc Data Management &amp; Intelligence Artificielle de l’ECE Paris.</w:t>
      </w:r>
      <w:bookmarkEnd w:id="2"/>
      <w:r>
        <w:br w:type="page"/>
      </w:r>
    </w:p>
    <w:p>
      <w:pPr>
        <w:pStyle w:val="Heading1"/>
        <w:rPr/>
      </w:pPr>
      <w:bookmarkStart w:id="3" w:name="__RefHeading___Toc20071_1933410216"/>
      <w:bookmarkStart w:id="4" w:name="résumé"/>
      <w:bookmarkEnd w:id="3"/>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bookmarkEnd w:id="4"/>
      <w:r>
        <w:br w:type="page"/>
      </w:r>
    </w:p>
    <w:p>
      <w:pPr>
        <w:pStyle w:val="Heading1"/>
        <w:rPr/>
      </w:pPr>
      <w:bookmarkStart w:id="5" w:name="__RefHeading___Toc20073_1933410216"/>
      <w:bookmarkStart w:id="6" w:name="sommaire"/>
      <w:bookmarkEnd w:id="5"/>
      <w:bookmarkEnd w:id="6"/>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69_1933410216">
            <w:bookmarkStart w:id="7" w:name="sommaire"/>
            <w:bookmarkEnd w:id="7"/>
            <w:r>
              <w:rPr>
                <w:webHidden/>
                <w:rStyle w:val="IndexLink"/>
              </w:rPr>
              <w:t>Remerciements</w:t>
              <w:tab/>
              <w:t>2</w:t>
            </w:r>
          </w:hyperlink>
        </w:p>
        <w:p>
          <w:pPr>
            <w:pStyle w:val="TOC1"/>
            <w:tabs>
              <w:tab w:val="clear" w:pos="9026"/>
              <w:tab w:val="right" w:pos="9025" w:leader="dot"/>
            </w:tabs>
            <w:rPr/>
          </w:pPr>
          <w:hyperlink w:anchor="__RefHeading___Toc20071_1933410216">
            <w:r>
              <w:rPr>
                <w:webHidden/>
                <w:rStyle w:val="IndexLink"/>
              </w:rPr>
              <w:t>Résumé</w:t>
              <w:tab/>
              <w:t>3</w:t>
            </w:r>
          </w:hyperlink>
        </w:p>
        <w:p>
          <w:pPr>
            <w:pStyle w:val="TOC1"/>
            <w:tabs>
              <w:tab w:val="clear" w:pos="9026"/>
              <w:tab w:val="right" w:pos="9025" w:leader="dot"/>
            </w:tabs>
            <w:rPr/>
          </w:pPr>
          <w:hyperlink w:anchor="__RefHeading___Toc20073_1933410216">
            <w:r>
              <w:rPr>
                <w:webHidden/>
                <w:rStyle w:val="IndexLink"/>
              </w:rPr>
              <w:t>Sommaire</w:t>
              <w:tab/>
              <w:t>4</w:t>
            </w:r>
          </w:hyperlink>
        </w:p>
        <w:p>
          <w:pPr>
            <w:pStyle w:val="TOC1"/>
            <w:tabs>
              <w:tab w:val="clear" w:pos="9026"/>
              <w:tab w:val="right" w:pos="9025" w:leader="dot"/>
            </w:tabs>
            <w:rPr/>
          </w:pPr>
          <w:hyperlink w:anchor="__RefHeading___Toc20075_1933410216">
            <w:r>
              <w:rPr>
                <w:webHidden/>
                <w:rStyle w:val="IndexLink"/>
              </w:rPr>
              <w:t>Liste des tableaux</w:t>
              <w:tab/>
              <w:t>7</w:t>
            </w:r>
          </w:hyperlink>
        </w:p>
        <w:p>
          <w:pPr>
            <w:pStyle w:val="TOC1"/>
            <w:tabs>
              <w:tab w:val="clear" w:pos="9026"/>
              <w:tab w:val="right" w:pos="9025" w:leader="dot"/>
            </w:tabs>
            <w:rPr/>
          </w:pPr>
          <w:hyperlink w:anchor="__RefHeading___Toc20077_1933410216">
            <w:r>
              <w:rPr>
                <w:webHidden/>
                <w:rStyle w:val="IndexLink"/>
              </w:rPr>
              <w:t>Liste des figures</w:t>
              <w:tab/>
              <w:t>8</w:t>
            </w:r>
          </w:hyperlink>
        </w:p>
        <w:p>
          <w:pPr>
            <w:pStyle w:val="TOC1"/>
            <w:tabs>
              <w:tab w:val="clear" w:pos="9026"/>
              <w:tab w:val="right" w:pos="9025" w:leader="dot"/>
            </w:tabs>
            <w:rPr/>
          </w:pPr>
          <w:hyperlink w:anchor="__RefHeading___Toc20079_1933410216">
            <w:r>
              <w:rPr>
                <w:webHidden/>
                <w:rStyle w:val="IndexLink"/>
              </w:rPr>
              <w:t>Liste des abréviations</w:t>
              <w:tab/>
              <w:t>9</w:t>
            </w:r>
          </w:hyperlink>
        </w:p>
        <w:p>
          <w:pPr>
            <w:pStyle w:val="TOC1"/>
            <w:tabs>
              <w:tab w:val="clear" w:pos="9026"/>
              <w:tab w:val="right" w:pos="9025" w:leader="dot"/>
            </w:tabs>
            <w:rPr/>
          </w:pPr>
          <w:hyperlink w:anchor="__RefHeading___Toc20081_1933410216">
            <w:r>
              <w:rPr>
                <w:webHidden/>
                <w:rStyle w:val="IndexLink"/>
              </w:rPr>
              <w:t>Glossaire</w:t>
              <w:tab/>
              <w:t>9</w:t>
            </w:r>
          </w:hyperlink>
        </w:p>
        <w:p>
          <w:pPr>
            <w:pStyle w:val="TOC1"/>
            <w:tabs>
              <w:tab w:val="clear" w:pos="9026"/>
              <w:tab w:val="right" w:pos="9025" w:leader="dot"/>
            </w:tabs>
            <w:rPr/>
          </w:pPr>
          <w:hyperlink w:anchor="__RefHeading___Toc20083_1933410216">
            <w:r>
              <w:rPr>
                <w:webHidden/>
                <w:rStyle w:val="IndexLink"/>
              </w:rPr>
              <w:t>Introduction générale</w:t>
              <w:tab/>
              <w:t>11</w:t>
            </w:r>
          </w:hyperlink>
        </w:p>
        <w:p>
          <w:pPr>
            <w:pStyle w:val="TOC2"/>
            <w:tabs>
              <w:tab w:val="clear" w:pos="8743"/>
              <w:tab w:val="right" w:pos="9025" w:leader="dot"/>
            </w:tabs>
            <w:rPr/>
          </w:pPr>
          <w:hyperlink w:anchor="__RefHeading___Toc20085_1933410216">
            <w:r>
              <w:rPr>
                <w:webHidden/>
                <w:rStyle w:val="IndexLink"/>
              </w:rPr>
              <w:t>Contexte</w:t>
              <w:tab/>
              <w:t>11</w:t>
            </w:r>
          </w:hyperlink>
        </w:p>
        <w:p>
          <w:pPr>
            <w:pStyle w:val="TOC2"/>
            <w:tabs>
              <w:tab w:val="clear" w:pos="8743"/>
              <w:tab w:val="right" w:pos="9025" w:leader="dot"/>
            </w:tabs>
            <w:rPr/>
          </w:pPr>
          <w:hyperlink w:anchor="__RefHeading___Toc20087_1933410216">
            <w:r>
              <w:rPr>
                <w:webHidden/>
                <w:rStyle w:val="IndexLink"/>
              </w:rPr>
              <w:t>Problématique</w:t>
              <w:tab/>
              <w:t>11</w:t>
            </w:r>
          </w:hyperlink>
        </w:p>
        <w:p>
          <w:pPr>
            <w:pStyle w:val="TOC2"/>
            <w:tabs>
              <w:tab w:val="clear" w:pos="8743"/>
              <w:tab w:val="right" w:pos="9025" w:leader="dot"/>
            </w:tabs>
            <w:rPr/>
          </w:pPr>
          <w:hyperlink w:anchor="__RefHeading___Toc20089_1933410216">
            <w:r>
              <w:rPr>
                <w:webHidden/>
                <w:rStyle w:val="IndexLink"/>
              </w:rPr>
              <w:t>Objectif et démarche</w:t>
              <w:tab/>
              <w:t>12</w:t>
            </w:r>
          </w:hyperlink>
        </w:p>
        <w:p>
          <w:pPr>
            <w:pStyle w:val="TOC2"/>
            <w:tabs>
              <w:tab w:val="clear" w:pos="8743"/>
              <w:tab w:val="right" w:pos="9025" w:leader="dot"/>
            </w:tabs>
            <w:rPr/>
          </w:pPr>
          <w:hyperlink w:anchor="__RefHeading___Toc20091_1933410216">
            <w:r>
              <w:rPr>
                <w:webHidden/>
                <w:rStyle w:val="IndexLink"/>
              </w:rPr>
              <w:t>Apports</w:t>
              <w:tab/>
              <w:t>12</w:t>
            </w:r>
          </w:hyperlink>
        </w:p>
        <w:p>
          <w:pPr>
            <w:pStyle w:val="TOC2"/>
            <w:tabs>
              <w:tab w:val="clear" w:pos="8743"/>
              <w:tab w:val="right" w:pos="9025" w:leader="dot"/>
            </w:tabs>
            <w:rPr/>
          </w:pPr>
          <w:hyperlink w:anchor="__RefHeading___Toc20093_1933410216">
            <w:r>
              <w:rPr>
                <w:webHidden/>
                <w:rStyle w:val="IndexLink"/>
              </w:rPr>
              <w:t>Plan du mémoire</w:t>
              <w:tab/>
              <w:t>13</w:t>
            </w:r>
          </w:hyperlink>
        </w:p>
        <w:p>
          <w:pPr>
            <w:pStyle w:val="TOC1"/>
            <w:tabs>
              <w:tab w:val="clear" w:pos="9026"/>
              <w:tab w:val="right" w:pos="9025" w:leader="dot"/>
            </w:tabs>
            <w:rPr/>
          </w:pPr>
          <w:hyperlink w:anchor="__RefHeading___Toc20095_1933410216">
            <w:r>
              <w:rPr>
                <w:webHidden/>
                <w:rStyle w:val="IndexLink"/>
              </w:rPr>
              <w:t>Chapitre 1 : État de l’art</w:t>
              <w:tab/>
              <w:t>14</w:t>
            </w:r>
          </w:hyperlink>
        </w:p>
        <w:p>
          <w:pPr>
            <w:pStyle w:val="TOC2"/>
            <w:tabs>
              <w:tab w:val="clear" w:pos="8743"/>
              <w:tab w:val="right" w:pos="9025" w:leader="dot"/>
            </w:tabs>
            <w:rPr/>
          </w:pPr>
          <w:hyperlink w:anchor="__RefHeading___Toc20097_1933410216">
            <w:r>
              <w:rPr>
                <w:webHidden/>
                <w:rStyle w:val="IndexLink"/>
              </w:rPr>
              <w:t>Introduction du chapitre</w:t>
              <w:tab/>
              <w:t>14</w:t>
            </w:r>
          </w:hyperlink>
        </w:p>
        <w:p>
          <w:pPr>
            <w:pStyle w:val="TOC2"/>
            <w:tabs>
              <w:tab w:val="clear" w:pos="8743"/>
              <w:tab w:val="right" w:pos="9025" w:leader="dot"/>
            </w:tabs>
            <w:rPr/>
          </w:pPr>
          <w:hyperlink w:anchor="__RefHeading___Toc20099_1933410216">
            <w:r>
              <w:rPr>
                <w:webHidden/>
                <w:rStyle w:val="IndexLink"/>
              </w:rPr>
              <w:t>1.1 Cadre théorique : ce que l’on peut attendre</w:t>
              <w:tab/>
              <w:t>15</w:t>
            </w:r>
          </w:hyperlink>
        </w:p>
        <w:p>
          <w:pPr>
            <w:pStyle w:val="TOC2"/>
            <w:tabs>
              <w:tab w:val="clear" w:pos="8743"/>
              <w:tab w:val="right" w:pos="9025" w:leader="dot"/>
            </w:tabs>
            <w:rPr/>
          </w:pPr>
          <w:hyperlink w:anchor="__RefHeading___Toc20101_1933410216">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103_1933410216">
            <w:r>
              <w:rPr>
                <w:webHidden/>
                <w:rStyle w:val="IndexLink"/>
              </w:rPr>
              <w:t>1.3 Machine learning et prévision des spreads</w:t>
              <w:tab/>
              <w:t>19</w:t>
            </w:r>
          </w:hyperlink>
        </w:p>
        <w:p>
          <w:pPr>
            <w:pStyle w:val="TOC2"/>
            <w:tabs>
              <w:tab w:val="clear" w:pos="8743"/>
              <w:tab w:val="right" w:pos="9025" w:leader="dot"/>
            </w:tabs>
            <w:rPr/>
          </w:pPr>
          <w:hyperlink w:anchor="__RefHeading___Toc20105_1933410216">
            <w:r>
              <w:rPr>
                <w:webHidden/>
                <w:rStyle w:val="IndexLink"/>
              </w:rPr>
              <w:t>1.4 Données ouvertes et précautions de méthode</w:t>
              <w:tab/>
              <w:t>21</w:t>
            </w:r>
          </w:hyperlink>
        </w:p>
        <w:p>
          <w:pPr>
            <w:pStyle w:val="TOC2"/>
            <w:tabs>
              <w:tab w:val="clear" w:pos="8743"/>
              <w:tab w:val="right" w:pos="9025" w:leader="dot"/>
            </w:tabs>
            <w:rPr/>
          </w:pPr>
          <w:hyperlink w:anchor="__RefHeading___Toc20107_1933410216">
            <w:r>
              <w:rPr>
                <w:webHidden/>
                <w:rStyle w:val="IndexLink"/>
              </w:rPr>
              <w:t>1.5 Synthèse et positionnement du mémoire</w:t>
              <w:tab/>
              <w:t>22</w:t>
            </w:r>
          </w:hyperlink>
        </w:p>
        <w:p>
          <w:pPr>
            <w:pStyle w:val="TOC1"/>
            <w:tabs>
              <w:tab w:val="clear" w:pos="9026"/>
              <w:tab w:val="right" w:pos="9025" w:leader="dot"/>
            </w:tabs>
            <w:rPr/>
          </w:pPr>
          <w:hyperlink w:anchor="__RefHeading___Toc20109_1933410216">
            <w:r>
              <w:rPr>
                <w:webHidden/>
                <w:rStyle w:val="IndexLink"/>
              </w:rPr>
              <w:t>Chapitre 2 : Données et méthodologie</w:t>
              <w:tab/>
              <w:t>26</w:t>
            </w:r>
          </w:hyperlink>
        </w:p>
        <w:p>
          <w:pPr>
            <w:pStyle w:val="TOC2"/>
            <w:tabs>
              <w:tab w:val="clear" w:pos="8743"/>
              <w:tab w:val="right" w:pos="9025" w:leader="dot"/>
            </w:tabs>
            <w:rPr/>
          </w:pPr>
          <w:hyperlink w:anchor="__RefHeading___Toc20111_1933410216">
            <w:r>
              <w:rPr>
                <w:webHidden/>
                <w:rStyle w:val="IndexLink"/>
              </w:rPr>
              <w:t>Introduction du chapitre</w:t>
              <w:tab/>
              <w:t>26</w:t>
            </w:r>
          </w:hyperlink>
        </w:p>
        <w:p>
          <w:pPr>
            <w:pStyle w:val="TOC2"/>
            <w:tabs>
              <w:tab w:val="clear" w:pos="8743"/>
              <w:tab w:val="right" w:pos="9025" w:leader="dot"/>
            </w:tabs>
            <w:rPr/>
          </w:pPr>
          <w:hyperlink w:anchor="__RefHeading___Toc20113_1933410216">
            <w:r>
              <w:rPr>
                <w:webHidden/>
                <w:rStyle w:val="IndexLink"/>
              </w:rPr>
              <w:t>2.1 Sources des données</w:t>
              <w:tab/>
              <w:t>26</w:t>
            </w:r>
          </w:hyperlink>
        </w:p>
        <w:p>
          <w:pPr>
            <w:pStyle w:val="TOC2"/>
            <w:tabs>
              <w:tab w:val="clear" w:pos="8743"/>
              <w:tab w:val="right" w:pos="9025" w:leader="dot"/>
            </w:tabs>
            <w:rPr/>
          </w:pPr>
          <w:hyperlink w:anchor="__RefHeading___Toc20115_1933410216">
            <w:r>
              <w:rPr>
                <w:webHidden/>
                <w:rStyle w:val="IndexLink"/>
              </w:rPr>
              <w:t>2.2 Construction du jeu de données</w:t>
              <w:tab/>
              <w:t>27</w:t>
            </w:r>
          </w:hyperlink>
        </w:p>
        <w:p>
          <w:pPr>
            <w:pStyle w:val="TOC2"/>
            <w:tabs>
              <w:tab w:val="clear" w:pos="8743"/>
              <w:tab w:val="right" w:pos="9025" w:leader="dot"/>
            </w:tabs>
            <w:rPr/>
          </w:pPr>
          <w:hyperlink w:anchor="__RefHeading___Toc20117_1933410216">
            <w:r>
              <w:rPr>
                <w:webHidden/>
                <w:rStyle w:val="IndexLink"/>
              </w:rPr>
              <w:t>2.3 Variables cibles et stationnarité</w:t>
              <w:tab/>
              <w:t>31</w:t>
            </w:r>
          </w:hyperlink>
        </w:p>
        <w:p>
          <w:pPr>
            <w:pStyle w:val="TOC2"/>
            <w:tabs>
              <w:tab w:val="clear" w:pos="8743"/>
              <w:tab w:val="right" w:pos="9025" w:leader="dot"/>
            </w:tabs>
            <w:rPr/>
          </w:pPr>
          <w:hyperlink w:anchor="__RefHeading___Toc20119_1933410216">
            <w:r>
              <w:rPr>
                <w:webHidden/>
                <w:rStyle w:val="IndexLink"/>
              </w:rPr>
              <w:t>2.4 Variables explicatives</w:t>
              <w:tab/>
              <w:t>32</w:t>
            </w:r>
          </w:hyperlink>
        </w:p>
        <w:p>
          <w:pPr>
            <w:pStyle w:val="TOC2"/>
            <w:tabs>
              <w:tab w:val="clear" w:pos="8743"/>
              <w:tab w:val="right" w:pos="9025" w:leader="dot"/>
            </w:tabs>
            <w:rPr/>
          </w:pPr>
          <w:hyperlink w:anchor="__RefHeading___Toc20121_1933410216">
            <w:r>
              <w:rPr>
                <w:webHidden/>
                <w:rStyle w:val="IndexLink"/>
              </w:rPr>
              <w:t>2.5 Modèles retenus</w:t>
              <w:tab/>
              <w:t>33</w:t>
            </w:r>
          </w:hyperlink>
        </w:p>
        <w:p>
          <w:pPr>
            <w:pStyle w:val="TOC2"/>
            <w:tabs>
              <w:tab w:val="clear" w:pos="8743"/>
              <w:tab w:val="right" w:pos="9025" w:leader="dot"/>
            </w:tabs>
            <w:rPr/>
          </w:pPr>
          <w:hyperlink w:anchor="__RefHeading___Toc20123_1933410216">
            <w:r>
              <w:rPr>
                <w:webHidden/>
                <w:rStyle w:val="IndexLink"/>
              </w:rPr>
              <w:t>2.6 Protocole d’évaluation</w:t>
              <w:tab/>
              <w:t>35</w:t>
            </w:r>
          </w:hyperlink>
        </w:p>
        <w:p>
          <w:pPr>
            <w:pStyle w:val="TOC2"/>
            <w:tabs>
              <w:tab w:val="clear" w:pos="8743"/>
              <w:tab w:val="right" w:pos="9025" w:leader="dot"/>
            </w:tabs>
            <w:rPr/>
          </w:pPr>
          <w:hyperlink w:anchor="__RefHeading___Toc20125_1933410216">
            <w:r>
              <w:rPr>
                <w:webHidden/>
                <w:rStyle w:val="IndexLink"/>
              </w:rPr>
              <w:t>2.7 Extensions datées avant exécution et correction des tests multiples</w:t>
              <w:tab/>
              <w:t>38</w:t>
            </w:r>
          </w:hyperlink>
        </w:p>
        <w:p>
          <w:pPr>
            <w:pStyle w:val="TOC2"/>
            <w:tabs>
              <w:tab w:val="clear" w:pos="8743"/>
              <w:tab w:val="right" w:pos="9025" w:leader="dot"/>
            </w:tabs>
            <w:rPr/>
          </w:pPr>
          <w:hyperlink w:anchor="__RefHeading___Toc20127_1933410216">
            <w:r>
              <w:rPr>
                <w:webHidden/>
                <w:rStyle w:val="IndexLink"/>
              </w:rPr>
              <w:t>2.8 Considérations éthiques</w:t>
              <w:tab/>
              <w:t>41</w:t>
            </w:r>
          </w:hyperlink>
        </w:p>
        <w:p>
          <w:pPr>
            <w:pStyle w:val="TOC1"/>
            <w:tabs>
              <w:tab w:val="clear" w:pos="9026"/>
              <w:tab w:val="right" w:pos="9025" w:leader="dot"/>
            </w:tabs>
            <w:rPr/>
          </w:pPr>
          <w:hyperlink w:anchor="__RefHeading___Toc20129_1933410216">
            <w:r>
              <w:rPr>
                <w:webHidden/>
                <w:rStyle w:val="IndexLink"/>
              </w:rPr>
              <w:t>Chapitre 3 : Résultats</w:t>
              <w:tab/>
              <w:t>43</w:t>
            </w:r>
          </w:hyperlink>
        </w:p>
        <w:p>
          <w:pPr>
            <w:pStyle w:val="TOC2"/>
            <w:tabs>
              <w:tab w:val="clear" w:pos="8743"/>
              <w:tab w:val="right" w:pos="9025" w:leader="dot"/>
            </w:tabs>
            <w:rPr/>
          </w:pPr>
          <w:hyperlink w:anchor="__RefHeading___Toc20131_1933410216">
            <w:r>
              <w:rPr>
                <w:webHidden/>
                <w:rStyle w:val="IndexLink"/>
              </w:rPr>
              <w:t>3.1 Statistiques descriptives</w:t>
              <w:tab/>
              <w:t>43</w:t>
            </w:r>
          </w:hyperlink>
        </w:p>
        <w:p>
          <w:pPr>
            <w:pStyle w:val="TOC2"/>
            <w:tabs>
              <w:tab w:val="clear" w:pos="8743"/>
              <w:tab w:val="right" w:pos="9025" w:leader="dot"/>
            </w:tabs>
            <w:rPr/>
          </w:pPr>
          <w:hyperlink w:anchor="__RefHeading___Toc20133_1933410216">
            <w:r>
              <w:rPr>
                <w:webHidden/>
                <w:rStyle w:val="IndexLink"/>
              </w:rPr>
              <w:t>3.2 Modèles principaux</w:t>
              <w:tab/>
              <w:t>44</w:t>
            </w:r>
          </w:hyperlink>
        </w:p>
        <w:p>
          <w:pPr>
            <w:pStyle w:val="TOC2"/>
            <w:tabs>
              <w:tab w:val="clear" w:pos="8743"/>
              <w:tab w:val="right" w:pos="9025" w:leader="dot"/>
            </w:tabs>
            <w:rPr/>
          </w:pPr>
          <w:hyperlink w:anchor="__RefHeading___Toc20135_1933410216">
            <w:r>
              <w:rPr>
                <w:webHidden/>
                <w:rStyle w:val="IndexLink"/>
              </w:rPr>
              <w:t>3.3 Solidité des résultats</w:t>
              <w:tab/>
              <w:t>46</w:t>
            </w:r>
          </w:hyperlink>
        </w:p>
        <w:p>
          <w:pPr>
            <w:pStyle w:val="TOC2"/>
            <w:tabs>
              <w:tab w:val="clear" w:pos="8743"/>
              <w:tab w:val="right" w:pos="9025" w:leader="dot"/>
            </w:tabs>
            <w:rPr/>
          </w:pPr>
          <w:hyperlink w:anchor="__RefHeading___Toc20137_1933410216">
            <w:r>
              <w:rPr>
                <w:webHidden/>
                <w:rStyle w:val="IndexLink"/>
              </w:rPr>
              <w:t>3.4 Importance des variables</w:t>
              <w:tab/>
              <w:t>47</w:t>
            </w:r>
          </w:hyperlink>
        </w:p>
        <w:p>
          <w:pPr>
            <w:pStyle w:val="TOC2"/>
            <w:tabs>
              <w:tab w:val="clear" w:pos="8743"/>
              <w:tab w:val="right" w:pos="9025" w:leader="dot"/>
            </w:tabs>
            <w:rPr/>
          </w:pPr>
          <w:hyperlink w:anchor="__RefHeading___Toc20139_1933410216">
            <w:r>
              <w:rPr>
                <w:webHidden/>
                <w:rStyle w:val="IndexLink"/>
              </w:rPr>
              <w:t>3.5 Extensions sur les données françaises</w:t>
              <w:tab/>
              <w:t>49</w:t>
            </w:r>
          </w:hyperlink>
        </w:p>
        <w:p>
          <w:pPr>
            <w:pStyle w:val="TOC2"/>
            <w:tabs>
              <w:tab w:val="clear" w:pos="8743"/>
              <w:tab w:val="right" w:pos="9025" w:leader="dot"/>
            </w:tabs>
            <w:rPr/>
          </w:pPr>
          <w:hyperlink w:anchor="__RefHeading___Toc20141_1933410216">
            <w:r>
              <w:rPr>
                <w:webHidden/>
                <w:rStyle w:val="IndexLink"/>
              </w:rPr>
              <w:t>3.6 Panel européen et marche aléatoire (E15 à E18)</w:t>
              <w:tab/>
              <w:t>51</w:t>
            </w:r>
          </w:hyperlink>
        </w:p>
        <w:p>
          <w:pPr>
            <w:pStyle w:val="TOC2"/>
            <w:tabs>
              <w:tab w:val="clear" w:pos="8743"/>
              <w:tab w:val="right" w:pos="9025" w:leader="dot"/>
            </w:tabs>
            <w:rPr/>
          </w:pPr>
          <w:hyperlink w:anchor="__RefHeading___Toc20143_1933410216">
            <w:r>
              <w:rPr>
                <w:webHidden/>
                <w:rStyle w:val="IndexLink"/>
              </w:rPr>
              <w:t>3.7 Synthèse : état des hypothèses</w:t>
              <w:tab/>
              <w:t>52</w:t>
            </w:r>
          </w:hyperlink>
        </w:p>
        <w:p>
          <w:pPr>
            <w:pStyle w:val="TOC1"/>
            <w:tabs>
              <w:tab w:val="clear" w:pos="9026"/>
              <w:tab w:val="right" w:pos="9025" w:leader="dot"/>
            </w:tabs>
            <w:rPr/>
          </w:pPr>
          <w:hyperlink w:anchor="__RefHeading___Toc20145_1933410216">
            <w:r>
              <w:rPr>
                <w:webHidden/>
                <w:rStyle w:val="IndexLink"/>
              </w:rPr>
              <w:t>Chapitre 4 : Discussion</w:t>
              <w:tab/>
              <w:t>54</w:t>
            </w:r>
          </w:hyperlink>
        </w:p>
        <w:p>
          <w:pPr>
            <w:pStyle w:val="TOC2"/>
            <w:tabs>
              <w:tab w:val="clear" w:pos="8743"/>
              <w:tab w:val="right" w:pos="9025" w:leader="dot"/>
            </w:tabs>
            <w:rPr/>
          </w:pPr>
          <w:hyperlink w:anchor="__RefHeading___Toc20147_1933410216">
            <w:r>
              <w:rPr>
                <w:webHidden/>
                <w:rStyle w:val="IndexLink"/>
              </w:rPr>
              <w:t>4.1 Réponse à la problématique</w:t>
              <w:tab/>
              <w:t>54</w:t>
            </w:r>
          </w:hyperlink>
        </w:p>
        <w:p>
          <w:pPr>
            <w:pStyle w:val="TOC2"/>
            <w:tabs>
              <w:tab w:val="clear" w:pos="8743"/>
              <w:tab w:val="right" w:pos="9025" w:leader="dot"/>
            </w:tabs>
            <w:rPr/>
          </w:pPr>
          <w:hyperlink w:anchor="__RefHeading___Toc20149_1933410216">
            <w:r>
              <w:rPr>
                <w:webHidden/>
                <w:rStyle w:val="IndexLink"/>
              </w:rPr>
              <w:t>4.2 Pourquoi les dépenses n’aident pas : des pistes</w:t>
              <w:tab/>
              <w:t>54</w:t>
            </w:r>
          </w:hyperlink>
        </w:p>
        <w:p>
          <w:pPr>
            <w:pStyle w:val="TOC2"/>
            <w:tabs>
              <w:tab w:val="clear" w:pos="8743"/>
              <w:tab w:val="right" w:pos="9025" w:leader="dot"/>
            </w:tabs>
            <w:rPr/>
          </w:pPr>
          <w:hyperlink w:anchor="__RefHeading___Toc20151_1933410216">
            <w:r>
              <w:rPr>
                <w:webHidden/>
                <w:rStyle w:val="IndexLink"/>
              </w:rPr>
              <w:t>4.3 Ce que le résultat négatif veut dire, et ce qu’il ne veut pas dire</w:t>
              <w:tab/>
              <w:t>57</w:t>
            </w:r>
          </w:hyperlink>
        </w:p>
        <w:p>
          <w:pPr>
            <w:pStyle w:val="TOC2"/>
            <w:tabs>
              <w:tab w:val="clear" w:pos="8743"/>
              <w:tab w:val="right" w:pos="9025" w:leader="dot"/>
            </w:tabs>
            <w:rPr/>
          </w:pPr>
          <w:hyperlink w:anchor="__RefHeading___Toc20153_1933410216">
            <w:r>
              <w:rPr>
                <w:webHidden/>
                <w:rStyle w:val="IndexLink"/>
              </w:rPr>
              <w:t>4.4 Retour sur les modèles</w:t>
              <w:tab/>
              <w:t>58</w:t>
            </w:r>
          </w:hyperlink>
        </w:p>
        <w:p>
          <w:pPr>
            <w:pStyle w:val="TOC2"/>
            <w:tabs>
              <w:tab w:val="clear" w:pos="8743"/>
              <w:tab w:val="right" w:pos="9025" w:leader="dot"/>
            </w:tabs>
            <w:rPr/>
          </w:pPr>
          <w:hyperlink w:anchor="__RefHeading___Toc20155_1933410216">
            <w:r>
              <w:rPr>
                <w:webHidden/>
                <w:rStyle w:val="IndexLink"/>
              </w:rPr>
              <w:t>4.5 Comparaison avec la littérature</w:t>
              <w:tab/>
              <w:t>59</w:t>
            </w:r>
          </w:hyperlink>
        </w:p>
        <w:p>
          <w:pPr>
            <w:pStyle w:val="TOC2"/>
            <w:tabs>
              <w:tab w:val="clear" w:pos="8743"/>
              <w:tab w:val="right" w:pos="9025" w:leader="dot"/>
            </w:tabs>
            <w:rPr/>
          </w:pPr>
          <w:hyperlink w:anchor="__RefHeading___Toc20157_1933410216">
            <w:r>
              <w:rPr>
                <w:webHidden/>
                <w:rStyle w:val="IndexLink"/>
              </w:rPr>
              <w:t>4.6 Implications</w:t>
              <w:tab/>
              <w:t>61</w:t>
            </w:r>
          </w:hyperlink>
        </w:p>
        <w:p>
          <w:pPr>
            <w:pStyle w:val="TOC2"/>
            <w:tabs>
              <w:tab w:val="clear" w:pos="8743"/>
              <w:tab w:val="right" w:pos="9025" w:leader="dot"/>
            </w:tabs>
            <w:rPr/>
          </w:pPr>
          <w:hyperlink w:anchor="__RefHeading___Toc20159_1933410216">
            <w:r>
              <w:rPr>
                <w:webHidden/>
                <w:rStyle w:val="IndexLink"/>
              </w:rPr>
              <w:t>4.7 Limites</w:t>
              <w:tab/>
              <w:t>62</w:t>
            </w:r>
          </w:hyperlink>
        </w:p>
        <w:p>
          <w:pPr>
            <w:pStyle w:val="TOC2"/>
            <w:tabs>
              <w:tab w:val="clear" w:pos="8743"/>
              <w:tab w:val="right" w:pos="9025" w:leader="dot"/>
            </w:tabs>
            <w:rPr/>
          </w:pPr>
          <w:hyperlink w:anchor="__RefHeading___Toc20161_1933410216">
            <w:r>
              <w:rPr>
                <w:webHidden/>
                <w:rStyle w:val="IndexLink"/>
              </w:rPr>
              <w:t>4.8 Recherches futures</w:t>
              <w:tab/>
              <w:t>63</w:t>
            </w:r>
          </w:hyperlink>
        </w:p>
        <w:p>
          <w:pPr>
            <w:pStyle w:val="TOC1"/>
            <w:tabs>
              <w:tab w:val="clear" w:pos="9026"/>
              <w:tab w:val="right" w:pos="9025" w:leader="dot"/>
            </w:tabs>
            <w:rPr/>
          </w:pPr>
          <w:hyperlink w:anchor="__RefHeading___Toc20163_1933410216">
            <w:r>
              <w:rPr>
                <w:webHidden/>
                <w:rStyle w:val="IndexLink"/>
              </w:rPr>
              <w:t>Conclusion générale</w:t>
              <w:tab/>
              <w:t>64</w:t>
            </w:r>
          </w:hyperlink>
        </w:p>
        <w:p>
          <w:pPr>
            <w:pStyle w:val="TOC2"/>
            <w:tabs>
              <w:tab w:val="clear" w:pos="8743"/>
              <w:tab w:val="right" w:pos="9025" w:leader="dot"/>
            </w:tabs>
            <w:rPr/>
          </w:pPr>
          <w:hyperlink w:anchor="__RefHeading___Toc20165_1933410216">
            <w:r>
              <w:rPr>
                <w:webHidden/>
                <w:rStyle w:val="IndexLink"/>
              </w:rPr>
              <w:t>Principaux résultats</w:t>
              <w:tab/>
              <w:t>64</w:t>
            </w:r>
          </w:hyperlink>
        </w:p>
        <w:p>
          <w:pPr>
            <w:pStyle w:val="TOC2"/>
            <w:tabs>
              <w:tab w:val="clear" w:pos="8743"/>
              <w:tab w:val="right" w:pos="9025" w:leader="dot"/>
            </w:tabs>
            <w:rPr/>
          </w:pPr>
          <w:hyperlink w:anchor="__RefHeading___Toc20167_1933410216">
            <w:r>
              <w:rPr>
                <w:webHidden/>
                <w:rStyle w:val="IndexLink"/>
              </w:rPr>
              <w:t>Apports</w:t>
              <w:tab/>
              <w:t>64</w:t>
            </w:r>
          </w:hyperlink>
        </w:p>
        <w:p>
          <w:pPr>
            <w:pStyle w:val="TOC2"/>
            <w:tabs>
              <w:tab w:val="clear" w:pos="8743"/>
              <w:tab w:val="right" w:pos="9025" w:leader="dot"/>
            </w:tabs>
            <w:rPr/>
          </w:pPr>
          <w:hyperlink w:anchor="__RefHeading___Toc20169_1933410216">
            <w:r>
              <w:rPr>
                <w:webHidden/>
                <w:rStyle w:val="IndexLink"/>
              </w:rPr>
              <w:t>Limites</w:t>
              <w:tab/>
              <w:t>65</w:t>
            </w:r>
          </w:hyperlink>
        </w:p>
        <w:p>
          <w:pPr>
            <w:pStyle w:val="TOC2"/>
            <w:tabs>
              <w:tab w:val="clear" w:pos="8743"/>
              <w:tab w:val="right" w:pos="9025" w:leader="dot"/>
            </w:tabs>
            <w:rPr/>
          </w:pPr>
          <w:hyperlink w:anchor="__RefHeading___Toc20171_1933410216">
            <w:r>
              <w:rPr>
                <w:webHidden/>
                <w:rStyle w:val="IndexLink"/>
              </w:rPr>
              <w:t>Perspectives</w:t>
              <w:tab/>
              <w:t>65</w:t>
            </w:r>
          </w:hyperlink>
        </w:p>
        <w:p>
          <w:pPr>
            <w:pStyle w:val="TOC1"/>
            <w:tabs>
              <w:tab w:val="clear" w:pos="9026"/>
              <w:tab w:val="right" w:pos="9025" w:leader="dot"/>
            </w:tabs>
            <w:rPr/>
          </w:pPr>
          <w:hyperlink w:anchor="__RefHeading___Toc20173_1933410216">
            <w:r>
              <w:rPr>
                <w:webHidden/>
                <w:rStyle w:val="IndexLink"/>
              </w:rPr>
              <w:t>Références</w:t>
              <w:tab/>
              <w:t>66</w:t>
            </w:r>
          </w:hyperlink>
        </w:p>
        <w:p>
          <w:pPr>
            <w:pStyle w:val="TOC2"/>
            <w:tabs>
              <w:tab w:val="clear" w:pos="8743"/>
              <w:tab w:val="right" w:pos="9025" w:leader="dot"/>
            </w:tabs>
            <w:rPr/>
          </w:pPr>
          <w:hyperlink w:anchor="__RefHeading___Toc20175_1933410216">
            <w:r>
              <w:rPr>
                <w:webHidden/>
                <w:rStyle w:val="IndexLink"/>
              </w:rPr>
              <w:t>Sources en ligne</w:t>
              <w:tab/>
              <w:t>69</w:t>
            </w:r>
          </w:hyperlink>
        </w:p>
        <w:p>
          <w:pPr>
            <w:pStyle w:val="TOC1"/>
            <w:tabs>
              <w:tab w:val="clear" w:pos="9026"/>
              <w:tab w:val="right" w:pos="9025" w:leader="dot"/>
            </w:tabs>
            <w:rPr/>
          </w:pPr>
          <w:hyperlink w:anchor="__RefHeading___Toc20177_1933410216">
            <w:r>
              <w:rPr>
                <w:webHidden/>
                <w:rStyle w:val="IndexLink"/>
              </w:rPr>
              <w:t>Annexes</w:t>
              <w:tab/>
              <w:t>70</w:t>
            </w:r>
          </w:hyperlink>
        </w:p>
        <w:p>
          <w:pPr>
            <w:pStyle w:val="TOC2"/>
            <w:tabs>
              <w:tab w:val="clear" w:pos="8743"/>
              <w:tab w:val="right" w:pos="9025" w:leader="dot"/>
            </w:tabs>
            <w:rPr/>
          </w:pPr>
          <w:hyperlink w:anchor="__RefHeading___Toc20179_1933410216">
            <w:r>
              <w:rPr>
                <w:webHidden/>
                <w:rStyle w:val="IndexLink"/>
              </w:rPr>
              <w:t>Annexe A : Variables des modèles principaux</w:t>
              <w:tab/>
              <w:t>70</w:t>
            </w:r>
          </w:hyperlink>
        </w:p>
        <w:p>
          <w:pPr>
            <w:pStyle w:val="TOC2"/>
            <w:tabs>
              <w:tab w:val="clear" w:pos="8743"/>
              <w:tab w:val="right" w:pos="9025" w:leader="dot"/>
            </w:tabs>
            <w:rPr/>
          </w:pPr>
          <w:hyperlink w:anchor="__RefHeading___Toc20181_1933410216">
            <w:r>
              <w:rPr>
                <w:webHidden/>
                <w:rStyle w:val="IndexLink"/>
              </w:rPr>
              <w:t>Annexe B : Détail des extensions E1 à E20</w:t>
              <w:tab/>
              <w:t>70</w:t>
            </w:r>
          </w:hyperlink>
        </w:p>
        <w:p>
          <w:pPr>
            <w:pStyle w:val="TOC2"/>
            <w:tabs>
              <w:tab w:val="clear" w:pos="8743"/>
              <w:tab w:val="right" w:pos="9025" w:leader="dot"/>
            </w:tabs>
            <w:rPr/>
          </w:pPr>
          <w:hyperlink w:anchor="__RefHeading___Toc20183_1933410216">
            <w:r>
              <w:rPr>
                <w:webHidden/>
                <w:rStyle w:val="IndexLink"/>
              </w:rPr>
              <w:t>Annexe C : Sensibilité à la graine aléatoire</w:t>
              <w:tab/>
              <w:t>79</w:t>
            </w:r>
          </w:hyperlink>
        </w:p>
        <w:p>
          <w:pPr>
            <w:pStyle w:val="TOC2"/>
            <w:tabs>
              <w:tab w:val="clear" w:pos="8743"/>
              <w:tab w:val="right" w:pos="9025" w:leader="dot"/>
            </w:tabs>
            <w:rPr/>
          </w:pPr>
          <w:hyperlink w:anchor="__RefHeading___Toc20185_1933410216">
            <w:r>
              <w:rPr>
                <w:webHidden/>
                <w:rStyle w:val="IndexLink"/>
              </w:rPr>
              <w:t>Annexe D : Contrôle négatif : dépenses contre variables de bruit</w:t>
              <w:tab/>
              <w:t>79</w:t>
            </w:r>
          </w:hyperlink>
        </w:p>
        <w:p>
          <w:pPr>
            <w:pStyle w:val="TOC2"/>
            <w:tabs>
              <w:tab w:val="clear" w:pos="8743"/>
              <w:tab w:val="right" w:pos="9025" w:leader="dot"/>
            </w:tabs>
            <w:rPr/>
          </w:pPr>
          <w:hyperlink w:anchor="__RefHeading___Toc20187_1933410216">
            <w:r>
              <w:rPr>
                <w:webHidden/>
                <w:rStyle w:val="IndexLink"/>
              </w:rPr>
              <w:t>Annexe E : Robustesse au décalage de publication</w:t>
              <w:tab/>
              <w:t>80</w:t>
            </w:r>
          </w:hyperlink>
        </w:p>
        <w:p>
          <w:pPr>
            <w:pStyle w:val="TOC2"/>
            <w:tabs>
              <w:tab w:val="clear" w:pos="8743"/>
              <w:tab w:val="right" w:pos="9025" w:leader="dot"/>
            </w:tabs>
            <w:rPr/>
          </w:pPr>
          <w:hyperlink w:anchor="__RefHeading___Toc20189_1933410216">
            <w:r>
              <w:rPr>
                <w:webHidden/>
                <w:rStyle w:val="IndexLink"/>
              </w:rPr>
              <w:t>Annexe F : Étude d’événement préliminaire sur le CAC 40</w:t>
              <w:tab/>
              <w:t>80</w:t>
            </w:r>
          </w:hyperlink>
          <w:r>
            <w:rPr>
              <w:rStyle w:val="IndexLink"/>
            </w:rPr>
            <w:fldChar w:fldCharType="end"/>
          </w:r>
        </w:p>
      </w:sdtContent>
    </w:sdt>
    <w:p>
      <w:pPr>
        <w:pStyle w:val="Heading1"/>
        <w:rPr/>
      </w:pPr>
      <w:r>
        <w:br w:type="page"/>
      </w:r>
      <w:bookmarkStart w:id="8" w:name="__RefHeading___Toc20075_1933410216"/>
      <w:bookmarkStart w:id="9" w:name="liste-des-tableaux"/>
      <w:bookmarkEnd w:id="8"/>
      <w:bookmarkEnd w:id="9"/>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91_1933410216">
            <w:bookmarkStart w:id="10" w:name="liste-des-tableaux"/>
            <w:bookmarkEnd w:id="10"/>
            <w:r>
              <w:rPr>
                <w:webHidden/>
                <w:rStyle w:val="IndexLink"/>
              </w:rPr>
              <w:t>Tableau 1.1 : Principaux travaux recensés</w:t>
              <w:tab/>
              <w:t>22</w:t>
            </w:r>
          </w:hyperlink>
        </w:p>
        <w:p>
          <w:pPr>
            <w:pStyle w:val="TOC1"/>
            <w:tabs>
              <w:tab w:val="clear" w:pos="9026"/>
              <w:tab w:val="right" w:pos="9025" w:leader="dot"/>
            </w:tabs>
            <w:rPr/>
          </w:pPr>
          <w:hyperlink w:anchor="__RefHeading___Toc20235_1933410216">
            <w:r>
              <w:rPr>
                <w:webHidden/>
                <w:rStyle w:val="IndexLink"/>
              </w:rPr>
              <w:t>Tableau 2.1 : Sources des données</w:t>
              <w:tab/>
              <w:t>26</w:t>
            </w:r>
          </w:hyperlink>
        </w:p>
        <w:p>
          <w:pPr>
            <w:pStyle w:val="TOC1"/>
            <w:tabs>
              <w:tab w:val="clear" w:pos="9026"/>
              <w:tab w:val="right" w:pos="9025" w:leader="dot"/>
            </w:tabs>
            <w:rPr/>
          </w:pPr>
          <w:hyperlink w:anchor="__RefHeading___Toc20233_1933410216">
            <w:r>
              <w:rPr>
                <w:webHidden/>
                <w:rStyle w:val="IndexLink"/>
              </w:rPr>
              <w:t>Tableau 2.2 : Soldes annuels reconstitués</w:t>
              <w:tab/>
              <w:t>30</w:t>
            </w:r>
          </w:hyperlink>
        </w:p>
        <w:p>
          <w:pPr>
            <w:pStyle w:val="TOC1"/>
            <w:tabs>
              <w:tab w:val="clear" w:pos="9026"/>
              <w:tab w:val="right" w:pos="9025" w:leader="dot"/>
            </w:tabs>
            <w:rPr/>
          </w:pPr>
          <w:hyperlink w:anchor="__RefHeading___Toc20231_1933410216">
            <w:r>
              <w:rPr>
                <w:webHidden/>
                <w:rStyle w:val="IndexLink"/>
              </w:rPr>
              <w:t>Tableau 2.3 : Variables cibles</w:t>
              <w:tab/>
              <w:t>31</w:t>
            </w:r>
          </w:hyperlink>
        </w:p>
        <w:p>
          <w:pPr>
            <w:pStyle w:val="TOC1"/>
            <w:tabs>
              <w:tab w:val="clear" w:pos="9026"/>
              <w:tab w:val="right" w:pos="9025" w:leader="dot"/>
            </w:tabs>
            <w:rPr/>
          </w:pPr>
          <w:hyperlink w:anchor="__RefHeading___Toc20229_1933410216">
            <w:r>
              <w:rPr>
                <w:webHidden/>
                <w:rStyle w:val="IndexLink"/>
              </w:rPr>
              <w:t>Tableau 2.4 : Test de stationnarité (Dickey-Fuller augmenté)</w:t>
              <w:tab/>
              <w:t>31</w:t>
            </w:r>
          </w:hyperlink>
        </w:p>
        <w:p>
          <w:pPr>
            <w:pStyle w:val="TOC1"/>
            <w:tabs>
              <w:tab w:val="clear" w:pos="9026"/>
              <w:tab w:val="right" w:pos="9025" w:leader="dot"/>
            </w:tabs>
            <w:rPr/>
          </w:pPr>
          <w:hyperlink w:anchor="__RefHeading___Toc20227_1933410216">
            <w:r>
              <w:rPr>
                <w:webHidden/>
                <w:rStyle w:val="IndexLink"/>
              </w:rPr>
              <w:t>Tableau 2.5 : Jeux de variables emboîtés</w:t>
              <w:tab/>
              <w:t>32</w:t>
            </w:r>
          </w:hyperlink>
        </w:p>
        <w:p>
          <w:pPr>
            <w:pStyle w:val="TOC1"/>
            <w:tabs>
              <w:tab w:val="clear" w:pos="9026"/>
              <w:tab w:val="right" w:pos="9025" w:leader="dot"/>
            </w:tabs>
            <w:rPr/>
          </w:pPr>
          <w:hyperlink w:anchor="__RefHeading___Toc20225_1933410216">
            <w:r>
              <w:rPr>
                <w:webHidden/>
                <w:rStyle w:val="IndexLink"/>
              </w:rPr>
              <w:t>Tableau 2.6 : Modèles comparés</w:t>
              <w:tab/>
              <w:t>33</w:t>
            </w:r>
          </w:hyperlink>
        </w:p>
        <w:p>
          <w:pPr>
            <w:pStyle w:val="TOC1"/>
            <w:tabs>
              <w:tab w:val="clear" w:pos="9026"/>
              <w:tab w:val="right" w:pos="9025" w:leader="dot"/>
            </w:tabs>
            <w:rPr/>
          </w:pPr>
          <w:hyperlink w:anchor="__RefHeading___Toc20223_1933410216">
            <w:r>
              <w:rPr>
                <w:webHidden/>
                <w:rStyle w:val="IndexLink"/>
              </w:rPr>
              <w:t>Tableau 2.7 : Mesures de performance</w:t>
              <w:tab/>
              <w:t>36</w:t>
            </w:r>
          </w:hyperlink>
        </w:p>
        <w:p>
          <w:pPr>
            <w:pStyle w:val="TOC1"/>
            <w:tabs>
              <w:tab w:val="clear" w:pos="9026"/>
              <w:tab w:val="right" w:pos="9025" w:leader="dot"/>
            </w:tabs>
            <w:rPr/>
          </w:pPr>
          <w:hyperlink w:anchor="__RefHeading___Toc20221_1933410216">
            <w:r>
              <w:rPr>
                <w:webHidden/>
                <w:rStyle w:val="IndexLink"/>
              </w:rPr>
              <w:t>Tableau 2.8 : Extensions testées</w:t>
              <w:tab/>
              <w:t>39</w:t>
            </w:r>
          </w:hyperlink>
        </w:p>
        <w:p>
          <w:pPr>
            <w:pStyle w:val="TOC1"/>
            <w:tabs>
              <w:tab w:val="clear" w:pos="9026"/>
              <w:tab w:val="right" w:pos="9025" w:leader="dot"/>
            </w:tabs>
            <w:rPr/>
          </w:pPr>
          <w:hyperlink w:anchor="__RefHeading___Toc20219_1933410216">
            <w:r>
              <w:rPr>
                <w:webHidden/>
                <w:rStyle w:val="IndexLink"/>
              </w:rPr>
              <w:t>Tableau 3.1 : Statistiques des variables cibles (149 mois ; prévisions faites de mars 2014 à juillet 2026)</w:t>
              <w:tab/>
              <w:t>43</w:t>
            </w:r>
          </w:hyperlink>
        </w:p>
        <w:p>
          <w:pPr>
            <w:pStyle w:val="TOC1"/>
            <w:tabs>
              <w:tab w:val="clear" w:pos="9026"/>
              <w:tab w:val="right" w:pos="9025" w:leader="dot"/>
            </w:tabs>
            <w:rPr/>
          </w:pPr>
          <w:hyperlink w:anchor="__RefHeading___Toc20217_1933410216">
            <w:r>
              <w:rPr>
                <w:webHidden/>
                <w:rStyle w:val="IndexLink"/>
              </w:rPr>
              <w:t>Tableau 3.2 : R² hors échantillon par rapport à la moyenne historique (%), janvier 2020 à juillet 2026</w:t>
              <w:tab/>
              <w:t>44</w:t>
            </w:r>
          </w:hyperlink>
        </w:p>
        <w:p>
          <w:pPr>
            <w:pStyle w:val="TOC1"/>
            <w:tabs>
              <w:tab w:val="clear" w:pos="9026"/>
              <w:tab w:val="right" w:pos="9025" w:leader="dot"/>
            </w:tabs>
            <w:rPr/>
          </w:pPr>
          <w:hyperlink w:anchor="__RefHeading___Toc20215_1933410216">
            <w:r>
              <w:rPr>
                <w:webHidden/>
                <w:rStyle w:val="IndexLink"/>
              </w:rPr>
              <w:t>Tableau 3.3 : Tests de Diebold-Mariano (p-values bilatérales)</w:t>
              <w:tab/>
              <w:t>45</w:t>
            </w:r>
          </w:hyperlink>
        </w:p>
        <w:p>
          <w:pPr>
            <w:pStyle w:val="TOC1"/>
            <w:tabs>
              <w:tab w:val="clear" w:pos="9026"/>
              <w:tab w:val="right" w:pos="9025" w:leader="dot"/>
            </w:tabs>
            <w:rPr/>
          </w:pPr>
          <w:hyperlink w:anchor="__RefHeading___Toc20213_1933410216">
            <w:r>
              <w:rPr>
                <w:webHidden/>
                <w:rStyle w:val="IndexLink"/>
              </w:rPr>
              <w:t>Tableau 3.4 : Contrôle positif : part des tirages où le signal est retrouvé (Ridge, 10 tirages par valeur de ρ, 1 pour ρ = 1)</w:t>
              <w:tab/>
              <w:t>46</w:t>
            </w:r>
          </w:hyperlink>
        </w:p>
        <w:p>
          <w:pPr>
            <w:pStyle w:val="TOC1"/>
            <w:tabs>
              <w:tab w:val="clear" w:pos="9026"/>
              <w:tab w:val="right" w:pos="9025" w:leader="dot"/>
            </w:tabs>
            <w:rPr/>
          </w:pPr>
          <w:hyperlink w:anchor="__RefHeading___Toc20211_1933410216">
            <w:r>
              <w:rPr>
                <w:webHidden/>
                <w:rStyle w:val="IndexLink"/>
              </w:rPr>
              <w:t>Tableau 3.5 : Part de l’importance SHAP des sept variables ajoutées à M0 (%)</w:t>
              <w:tab/>
              <w:t>47</w:t>
            </w:r>
          </w:hyperlink>
        </w:p>
        <w:p>
          <w:pPr>
            <w:pStyle w:val="TOC1"/>
            <w:tabs>
              <w:tab w:val="clear" w:pos="9026"/>
              <w:tab w:val="right" w:pos="9025" w:leader="dot"/>
            </w:tabs>
            <w:rPr/>
          </w:pPr>
          <w:hyperlink w:anchor="__RefHeading___Toc20209_1933410216">
            <w:r>
              <w:rPr>
                <w:webHidden/>
                <w:rStyle w:val="IndexLink"/>
              </w:rPr>
              <w:t>Tableau 3.6 : Meilleur R² hors échantillon sans dépenses ; avec dépenses, par extension (%)</w:t>
              <w:tab/>
              <w:t>49</w:t>
            </w:r>
          </w:hyperlink>
        </w:p>
        <w:p>
          <w:pPr>
            <w:pStyle w:val="TOC1"/>
            <w:tabs>
              <w:tab w:val="clear" w:pos="9026"/>
              <w:tab w:val="right" w:pos="9025" w:leader="dot"/>
            </w:tabs>
            <w:rPr/>
          </w:pPr>
          <w:hyperlink w:anchor="__RefHeading___Toc20207_1933410216">
            <w:r>
              <w:rPr>
                <w:webHidden/>
                <w:rStyle w:val="IndexLink"/>
              </w:rPr>
              <w:t>Tableau 3.7 : E16 : niveau du spread, comparaison à la marche aléatoire (avec finances publiques)</w:t>
              <w:tab/>
              <w:t>52</w:t>
            </w:r>
          </w:hyperlink>
        </w:p>
        <w:p>
          <w:pPr>
            <w:pStyle w:val="TOC1"/>
            <w:tabs>
              <w:tab w:val="clear" w:pos="9026"/>
              <w:tab w:val="right" w:pos="9025" w:leader="dot"/>
            </w:tabs>
            <w:rPr/>
          </w:pPr>
          <w:hyperlink w:anchor="__RefHeading___Toc20205_1933410216">
            <w:r>
              <w:rPr>
                <w:webHidden/>
                <w:rStyle w:val="IndexLink"/>
              </w:rPr>
              <w:t>Tableau 3.8 : État des hypothèses</w:t>
              <w:tab/>
              <w:t>52</w:t>
            </w:r>
          </w:hyperlink>
        </w:p>
        <w:p>
          <w:pPr>
            <w:pStyle w:val="TOC1"/>
            <w:tabs>
              <w:tab w:val="clear" w:pos="9026"/>
              <w:tab w:val="right" w:pos="9025" w:leader="dot"/>
            </w:tabs>
            <w:rPr/>
          </w:pPr>
          <w:hyperlink w:anchor="__RefHeading___Toc20203_1933410216">
            <w:r>
              <w:rPr>
                <w:webHidden/>
                <w:rStyle w:val="IndexLink"/>
              </w:rPr>
              <w:t>Tableau A.1 : Variables des jeux emboîtés M0, M1 et M2</w:t>
              <w:tab/>
              <w:t>70</w:t>
            </w:r>
          </w:hyperlink>
        </w:p>
        <w:p>
          <w:pPr>
            <w:pStyle w:val="TOC1"/>
            <w:tabs>
              <w:tab w:val="clear" w:pos="9026"/>
              <w:tab w:val="right" w:pos="9025" w:leader="dot"/>
            </w:tabs>
            <w:rPr/>
          </w:pPr>
          <w:hyperlink w:anchor="__RefHeading___Toc20201_1933410216">
            <w:r>
              <w:rPr>
                <w:webHidden/>
                <w:rStyle w:val="IndexLink"/>
              </w:rPr>
              <w:t>Tableau B.1 : Résultats des 210 comparaisons</w:t>
              <w:tab/>
              <w:t>70</w:t>
            </w:r>
          </w:hyperlink>
        </w:p>
        <w:p>
          <w:pPr>
            <w:pStyle w:val="TOC1"/>
            <w:tabs>
              <w:tab w:val="clear" w:pos="9026"/>
              <w:tab w:val="right" w:pos="9025" w:leader="dot"/>
            </w:tabs>
            <w:rPr/>
          </w:pPr>
          <w:hyperlink w:anchor="__RefHeading___Toc20199_1933410216">
            <w:r>
              <w:rPr>
                <w:webHidden/>
                <w:rStyle w:val="IndexLink"/>
              </w:rPr>
              <w:t>Tableau C.1 : R² hors échantillon (%) selon la graine</w:t>
              <w:tab/>
              <w:t>79</w:t>
            </w:r>
          </w:hyperlink>
        </w:p>
        <w:p>
          <w:pPr>
            <w:pStyle w:val="TOC1"/>
            <w:tabs>
              <w:tab w:val="clear" w:pos="9026"/>
              <w:tab w:val="right" w:pos="9025" w:leader="dot"/>
            </w:tabs>
            <w:rPr/>
          </w:pPr>
          <w:hyperlink w:anchor="__RefHeading___Toc20197_1933410216">
            <w:r>
              <w:rPr>
                <w:webHidden/>
                <w:rStyle w:val="IndexLink"/>
              </w:rPr>
              <w:t>Tableau D.1 : Gain de R² par rapport à M0 (points) : vraies dépenses et sept variables de bruit</w:t>
              <w:tab/>
              <w:t>79</w:t>
            </w:r>
          </w:hyperlink>
        </w:p>
        <w:p>
          <w:pPr>
            <w:pStyle w:val="TOC1"/>
            <w:tabs>
              <w:tab w:val="clear" w:pos="9026"/>
              <w:tab w:val="right" w:pos="9025" w:leader="dot"/>
            </w:tabs>
            <w:rPr/>
          </w:pPr>
          <w:hyperlink w:anchor="__RefHeading___Toc20195_1933410216">
            <w:r>
              <w:rPr>
                <w:webHidden/>
                <w:rStyle w:val="IndexLink"/>
              </w:rPr>
              <w:t>Tableau E.1 : Modèles principaux avec un décalage budgétaire de 1, 2 et 3 mois</w:t>
              <w:tab/>
              <w:t>80</w:t>
            </w:r>
          </w:hyperlink>
        </w:p>
        <w:p>
          <w:pPr>
            <w:pStyle w:val="TOC1"/>
            <w:tabs>
              <w:tab w:val="clear" w:pos="9026"/>
              <w:tab w:val="right" w:pos="9025" w:leader="dot"/>
            </w:tabs>
            <w:rPr/>
          </w:pPr>
          <w:hyperlink w:anchor="__RefHeading___Toc20193_1933410216">
            <w:r>
              <w:rPr>
                <w:webHidden/>
                <w:rStyle w:val="IndexLink"/>
              </w:rPr>
              <w:t>Tableau F.1 : Réaction du CAC 40 aux publications de la situation mensuelle budgétaire</w:t>
              <w:tab/>
              <w:t>81</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1" w:name="__RefHeading___Toc20077_1933410216"/>
      <w:bookmarkStart w:id="12" w:name="liste-des-figures"/>
      <w:bookmarkEnd w:id="11"/>
      <w:bookmarkEnd w:id="12"/>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37_1933410216">
            <w:bookmarkStart w:id="13" w:name="liste-des-figures"/>
            <w:bookmarkEnd w:id="13"/>
            <w:r>
              <w:rPr>
                <w:webHidden/>
                <w:rStyle w:val="IndexLink"/>
              </w:rPr>
              <w:t>Figure 3.1 : Distribution des trois cibles</w:t>
              <w:tab/>
              <w:t>44</w:t>
            </w:r>
          </w:hyperlink>
        </w:p>
        <w:p>
          <w:pPr>
            <w:pStyle w:val="TOC1"/>
            <w:tabs>
              <w:tab w:val="clear" w:pos="9026"/>
              <w:tab w:val="right" w:pos="9025" w:leader="dot"/>
            </w:tabs>
            <w:rPr/>
          </w:pPr>
          <w:hyperlink w:anchor="__RefHeading___Toc20243_1933410216">
            <w:r>
              <w:rPr>
                <w:webHidden/>
                <w:rStyle w:val="IndexLink"/>
              </w:rPr>
              <w:t>Figure 3.2 : RMSE relatif à la moyenne historique</w:t>
              <w:tab/>
              <w:t>46</w:t>
            </w:r>
          </w:hyperlink>
        </w:p>
        <w:p>
          <w:pPr>
            <w:pStyle w:val="TOC1"/>
            <w:tabs>
              <w:tab w:val="clear" w:pos="9026"/>
              <w:tab w:val="right" w:pos="9025" w:leader="dot"/>
            </w:tabs>
            <w:rPr/>
          </w:pPr>
          <w:hyperlink w:anchor="__RefHeading___Toc20241_1933410216">
            <w:r>
              <w:rPr>
                <w:webHidden/>
                <w:rStyle w:val="IndexLink"/>
              </w:rPr>
              <w:t>Figure 3.3 : Importance SHAP des variables</w:t>
              <w:tab/>
              <w:t>48</w:t>
            </w:r>
          </w:hyperlink>
        </w:p>
        <w:p>
          <w:pPr>
            <w:pStyle w:val="TOC1"/>
            <w:tabs>
              <w:tab w:val="clear" w:pos="9026"/>
              <w:tab w:val="right" w:pos="9025" w:leader="dot"/>
            </w:tabs>
            <w:rPr/>
          </w:pPr>
          <w:hyperlink w:anchor="__RefHeading___Toc20239_1933410216">
            <w:r>
              <w:rPr>
                <w:webHidden/>
                <w:rStyle w:val="IndexLink"/>
              </w:rPr>
              <w:t>Figure 3.4 : Synthèse des extensions</w:t>
              <w:tab/>
              <w:t>51</w:t>
            </w:r>
          </w:hyperlink>
          <w:r>
            <w:rPr>
              <w:rStyle w:val="IndexLink"/>
            </w:rPr>
            <w:fldChar w:fldCharType="end"/>
          </w:r>
        </w:p>
      </w:sdtContent>
    </w:sdt>
    <w:p>
      <w:pPr>
        <w:pStyle w:val="Heading1"/>
        <w:rPr/>
      </w:pPr>
      <w:r>
        <w:br w:type="page"/>
      </w:r>
      <w:bookmarkStart w:id="14" w:name="__RefHeading___Toc20079_1933410216"/>
      <w:bookmarkEnd w:id="14"/>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(gradient boosting)</w:t>
            </w:r>
            <w:bookmarkStart w:id="15" w:name="liste-des-abréviations"/>
            <w:bookmarkEnd w:id="15"/>
          </w:p>
        </w:tc>
      </w:tr>
    </w:tbl>
    <w:p>
      <w:pPr>
        <w:pStyle w:val="Heading1"/>
        <w:rPr/>
      </w:pPr>
      <w:bookmarkStart w:id="16" w:name="__RefHeading___Toc20081_1933410216"/>
      <w:bookmarkEnd w:id="16"/>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et contrôle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r>
        <w:br w:type="page"/>
      </w:r>
    </w:p>
    <w:p>
      <w:pPr>
        <w:pStyle w:val="Heading1"/>
        <w:rPr/>
      </w:pPr>
      <w:bookmarkStart w:id="17" w:name="__RefHeading___Toc20083_1933410216"/>
      <w:bookmarkStart w:id="18" w:name="introduction-générale"/>
      <w:bookmarkEnd w:id="17"/>
      <w:r>
        <w:rPr/>
        <w:t>Introduction générale</w:t>
      </w:r>
    </w:p>
    <w:p>
      <w:pPr>
        <w:pStyle w:val="Heading2"/>
        <w:rPr/>
      </w:pPr>
      <w:bookmarkStart w:id="19" w:name="__RefHeading___Toc20085_1933410216"/>
      <w:bookmarkStart w:id="20" w:name="contexte"/>
      <w:bookmarkEnd w:id="19"/>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0"/>
    </w:p>
    <w:p>
      <w:pPr>
        <w:pStyle w:val="Heading2"/>
        <w:rPr/>
      </w:pPr>
      <w:bookmarkStart w:id="21" w:name="__RefHeading___Toc20087_1933410216"/>
      <w:bookmarkStart w:id="22" w:name="problématique"/>
      <w:bookmarkEnd w:id="21"/>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2"/>
    </w:p>
    <w:p>
      <w:pPr>
        <w:pStyle w:val="Heading2"/>
        <w:rPr/>
      </w:pPr>
      <w:bookmarkStart w:id="23" w:name="__RefHeading___Toc20089_1933410216"/>
      <w:bookmarkStart w:id="24" w:name="objectif-et-démarche"/>
      <w:bookmarkEnd w:id="23"/>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25"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25"/>
    </w:p>
    <w:p>
      <w:pPr>
        <w:pStyle w:val="Heading2"/>
        <w:rPr/>
      </w:pPr>
      <w:bookmarkStart w:id="26" w:name="__RefHeading___Toc20091_1933410216"/>
      <w:bookmarkStart w:id="27" w:name="apports"/>
      <w:bookmarkEnd w:id="26"/>
      <w:r>
        <w:rPr/>
        <w:t>Apports</w:t>
      </w:r>
    </w:p>
    <w:p>
      <w:pPr>
        <w:pStyle w:val="FirstParagraph"/>
        <w:rPr/>
      </w:pPr>
      <w:bookmarkStart w:id="28"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28"/>
    </w:p>
    <w:p>
      <w:pPr>
        <w:pStyle w:val="Heading2"/>
        <w:rPr/>
      </w:pPr>
      <w:bookmarkStart w:id="29" w:name="__RefHeading___Toc20093_1933410216"/>
      <w:bookmarkStart w:id="30" w:name="plan-du-mémoire"/>
      <w:bookmarkEnd w:id="29"/>
      <w:r>
        <w:rPr/>
        <w:t>Plan du mémoire</w:t>
      </w:r>
    </w:p>
    <w:p>
      <w:pPr>
        <w:pStyle w:val="FirstParagraph"/>
        <w:rPr/>
      </w:pPr>
      <w:bookmarkStart w:id="31" w:name="introduction-générale"/>
      <w:bookmarkStart w:id="32" w:name="plan-du-mémoire"/>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bookmarkEnd w:id="31"/>
      <w:bookmarkEnd w:id="32"/>
      <w:r>
        <w:br w:type="page"/>
      </w:r>
    </w:p>
    <w:p>
      <w:pPr>
        <w:pStyle w:val="Heading1"/>
        <w:rPr/>
      </w:pPr>
      <w:bookmarkStart w:id="33" w:name="__RefHeading___Toc20095_1933410216"/>
      <w:bookmarkStart w:id="34" w:name="chapitre-1-état-de-lart"/>
      <w:bookmarkEnd w:id="33"/>
      <w:r>
        <w:rPr/>
        <w:t>Chapitre 1 : État de l’art</w:t>
      </w:r>
    </w:p>
    <w:p>
      <w:pPr>
        <w:pStyle w:val="Heading2"/>
        <w:rPr/>
      </w:pPr>
      <w:bookmarkStart w:id="35" w:name="__RefHeading___Toc20097_1933410216"/>
      <w:bookmarkStart w:id="36" w:name="introduction-du-chapitre"/>
      <w:bookmarkEnd w:id="35"/>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37"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37"/>
    </w:p>
    <w:p>
      <w:pPr>
        <w:pStyle w:val="Heading2"/>
        <w:rPr/>
      </w:pPr>
      <w:bookmarkStart w:id="38" w:name="__RefHeading___Toc20099_1933410216"/>
      <w:bookmarkStart w:id="39" w:name="cadre-théorique-ce-que-lon-peut-attendre"/>
      <w:bookmarkEnd w:id="38"/>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0"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0"/>
    </w:p>
    <w:p>
      <w:pPr>
        <w:pStyle w:val="Heading3"/>
        <w:rPr/>
      </w:pPr>
      <w:bookmarkStart w:id="41"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2"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2"/>
    </w:p>
    <w:p>
      <w:pPr>
        <w:pStyle w:val="Heading3"/>
        <w:rPr/>
      </w:pPr>
      <w:bookmarkStart w:id="43"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44"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44"/>
    </w:p>
    <w:p>
      <w:pPr>
        <w:pStyle w:val="Heading3"/>
        <w:rPr/>
      </w:pPr>
      <w:bookmarkStart w:id="45"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45"/>
    </w:p>
    <w:p>
      <w:pPr>
        <w:pStyle w:val="Heading3"/>
        <w:rPr/>
      </w:pPr>
      <w:bookmarkStart w:id="46" w:name="ce-que-nous-en-retenons"/>
      <w:r>
        <w:rPr/>
        <w:t>1.1.5 Ce que nous en retenons.</w:t>
      </w:r>
    </w:p>
    <w:p>
      <w:pPr>
        <w:pStyle w:val="FirstParagraph"/>
        <w:rPr/>
      </w:pPr>
      <w:bookmarkStart w:id="47" w:name="cadre-théorique-ce-que-lon-peut-attendre"/>
      <w:bookmarkStart w:id="48"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47"/>
      <w:bookmarkEnd w:id="48"/>
    </w:p>
    <w:p>
      <w:pPr>
        <w:pStyle w:val="Heading2"/>
        <w:rPr/>
      </w:pPr>
      <w:bookmarkStart w:id="49" w:name="__RefHeading___Toc20101_1933410216"/>
      <w:bookmarkStart w:id="50" w:name="Xfb34faa81f8d303ea1b5fa46b3b15873b7555c9"/>
      <w:bookmarkEnd w:id="49"/>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1" w:name="pourquoi-le-spread"/>
      <w:r>
        <w:rPr/>
        <w:t>1.2.1 Pourquoi le spread.</w:t>
      </w:r>
    </w:p>
    <w:p>
      <w:pPr>
        <w:pStyle w:val="FirstParagraph"/>
        <w:rPr/>
      </w:pPr>
      <w:bookmarkStart w:id="52"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2"/>
    </w:p>
    <w:p>
      <w:pPr>
        <w:pStyle w:val="Heading3"/>
        <w:rPr/>
      </w:pPr>
      <w:bookmarkStart w:id="53"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53"/>
    </w:p>
    <w:p>
      <w:pPr>
        <w:pStyle w:val="Heading3"/>
        <w:rPr/>
      </w:pPr>
      <w:bookmarkStart w:id="54"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55"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55"/>
    </w:p>
    <w:p>
      <w:pPr>
        <w:pStyle w:val="Heading3"/>
        <w:rPr/>
      </w:pPr>
      <w:bookmarkStart w:id="56"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56"/>
    </w:p>
    <w:p>
      <w:pPr>
        <w:pStyle w:val="Heading3"/>
        <w:rPr/>
      </w:pPr>
      <w:bookmarkStart w:id="57" w:name="ce-que-nous-en-retenons-1"/>
      <w:r>
        <w:rPr/>
        <w:t>1.2.5 Ce que nous en retenons.</w:t>
      </w:r>
    </w:p>
    <w:p>
      <w:pPr>
        <w:pStyle w:val="FirstParagraph"/>
        <w:rPr/>
      </w:pPr>
      <w:bookmarkStart w:id="58" w:name="Xfb34faa81f8d303ea1b5fa46b3b15873b7555c9"/>
      <w:bookmarkStart w:id="59"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58"/>
      <w:bookmarkEnd w:id="59"/>
    </w:p>
    <w:p>
      <w:pPr>
        <w:pStyle w:val="Heading2"/>
        <w:rPr/>
      </w:pPr>
      <w:bookmarkStart w:id="60" w:name="__RefHeading___Toc20103_1933410216"/>
      <w:bookmarkStart w:id="61" w:name="X27f0006f940c23a763f89cc3f723417490f25ae"/>
      <w:bookmarkEnd w:id="60"/>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2"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2"/>
    </w:p>
    <w:p>
      <w:pPr>
        <w:pStyle w:val="Heading3"/>
        <w:rPr/>
      </w:pPr>
      <w:bookmarkStart w:id="63"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63"/>
    </w:p>
    <w:p>
      <w:pPr>
        <w:pStyle w:val="Heading3"/>
        <w:rPr/>
      </w:pPr>
      <w:bookmarkStart w:id="64"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64"/>
    </w:p>
    <w:p>
      <w:pPr>
        <w:pStyle w:val="Heading3"/>
        <w:rPr/>
      </w:pPr>
      <w:bookmarkStart w:id="65" w:name="ce-que-nous-en-retenons-2"/>
      <w:r>
        <w:rPr/>
        <w:t>1.3.4 Ce que nous en retenons.</w:t>
      </w:r>
    </w:p>
    <w:p>
      <w:pPr>
        <w:pStyle w:val="FirstParagraph"/>
        <w:rPr/>
      </w:pPr>
      <w:bookmarkStart w:id="66" w:name="X27f0006f940c23a763f89cc3f723417490f25ae"/>
      <w:bookmarkStart w:id="67"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66"/>
      <w:bookmarkEnd w:id="67"/>
    </w:p>
    <w:p>
      <w:pPr>
        <w:pStyle w:val="Heading2"/>
        <w:rPr/>
      </w:pPr>
      <w:bookmarkStart w:id="68" w:name="__RefHeading___Toc20105_1933410216"/>
      <w:bookmarkStart w:id="69" w:name="X9ae88ff3dd35a976078ba2fe427ef8b5284b26c"/>
      <w:bookmarkEnd w:id="68"/>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0"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1"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1"/>
    </w:p>
    <w:p>
      <w:pPr>
        <w:pStyle w:val="Heading3"/>
        <w:rPr/>
      </w:pPr>
      <w:bookmarkStart w:id="72"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2"/>
    </w:p>
    <w:p>
      <w:pPr>
        <w:pStyle w:val="Heading3"/>
        <w:rPr/>
      </w:pPr>
      <w:bookmarkStart w:id="73"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73"/>
    </w:p>
    <w:p>
      <w:pPr>
        <w:pStyle w:val="Heading3"/>
        <w:rPr/>
      </w:pPr>
      <w:bookmarkStart w:id="74" w:name="ce-que-nous-en-retenons-3"/>
      <w:r>
        <w:rPr/>
        <w:t>1.4.4 Ce que nous en retenons.</w:t>
      </w:r>
    </w:p>
    <w:p>
      <w:pPr>
        <w:pStyle w:val="FirstParagraph"/>
        <w:rPr/>
      </w:pPr>
      <w:bookmarkStart w:id="75" w:name="X9ae88ff3dd35a976078ba2fe427ef8b5284b26c"/>
      <w:bookmarkStart w:id="76"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75"/>
      <w:bookmarkEnd w:id="76"/>
    </w:p>
    <w:p>
      <w:pPr>
        <w:pStyle w:val="Heading2"/>
        <w:rPr/>
      </w:pPr>
      <w:bookmarkStart w:id="77" w:name="__RefHeading___Toc20107_1933410216"/>
      <w:bookmarkStart w:id="78" w:name="synthèse-et-positionnement-du-mémoire"/>
      <w:bookmarkEnd w:id="77"/>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79" w:name="__RefHeading___Toc20191_1933410216"/>
      <w:bookmarkEnd w:id="79"/>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Bouillot, Candelon et Kool [</w:t>
            </w:r>
            <w:hyperlink w:anchor="ref14">
              <w:r>
                <w:rPr>
                  <w:rStyle w:val="Hyperlink"/>
                  <w:kern w:val="0"/>
                  <w:szCs w:val="24"/>
                  <w:lang w:val="fr-FR" w:eastAsia="zh-CN" w:bidi="ar-SA"/>
                </w:rPr>
                <w:t>14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Belly et al. [</w:t>
            </w:r>
            <w:hyperlink w:anchor="ref9">
              <w:r>
                <w:rPr>
                  <w:rStyle w:val="Hyperlink"/>
                  <w:kern w:val="0"/>
                  <w:szCs w:val="24"/>
                  <w:lang w:val="fr-FR" w:eastAsia="zh-CN" w:bidi="ar-SA"/>
                </w:rPr>
                <w:t>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Favero [</w:t>
            </w:r>
            <w:hyperlink w:anchor="ref24">
              <w:r>
                <w:rPr>
                  <w:rStyle w:val="Hyperlink"/>
                  <w:kern w:val="0"/>
                  <w:szCs w:val="24"/>
                  <w:lang w:val="fr-FR" w:eastAsia="zh-CN" w:bidi="ar-SA"/>
                </w:rPr>
                <w:t>24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Afonso, Arghyrou et Kontonikas [</w:t>
            </w:r>
            <w:hyperlink w:anchor="ref1">
              <w:r>
                <w:rPr>
                  <w:rStyle w:val="Hyperlink"/>
                  <w:kern w:val="0"/>
                  <w:szCs w:val="24"/>
                  <w:lang w:val="fr-FR" w:eastAsia="zh-CN" w:bidi="ar-SA"/>
                </w:rPr>
                <w:t>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Bernoth, von Hagen et Schuknecht [</w:t>
            </w:r>
            <w:hyperlink w:anchor="ref11">
              <w:r>
                <w:rPr>
                  <w:rStyle w:val="Hyperlink"/>
                  <w:kern w:val="0"/>
                  <w:szCs w:val="24"/>
                  <w:lang w:val="fr-FR" w:eastAsia="zh-CN" w:bidi="ar-SA"/>
                </w:rPr>
                <w:t>11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Attinasi, Checherita et Nickel [</w:t>
            </w:r>
            <w:hyperlink w:anchor="ref4">
              <w:r>
                <w:rPr>
                  <w:rStyle w:val="Hyperlink"/>
                  <w:kern w:val="0"/>
                  <w:szCs w:val="24"/>
                  <w:lang w:val="fr-FR" w:eastAsia="zh-CN" w:bidi="ar-SA"/>
                </w:rPr>
                <w:t>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Garlanda-Longueville [</w:t>
            </w:r>
            <w:hyperlink w:anchor="ref26">
              <w:r>
                <w:rPr>
                  <w:rStyle w:val="Hyperlink"/>
                  <w:kern w:val="0"/>
                  <w:szCs w:val="24"/>
                  <w:lang w:val="fr-FR" w:eastAsia="zh-CN" w:bidi="ar-SA"/>
                </w:rPr>
                <w:t>26</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Barbier-Gauchard et Sofianos [</w:t>
            </w:r>
            <w:hyperlink w:anchor="ref7">
              <w:r>
                <w:rPr>
                  <w:rStyle w:val="Hyperlink"/>
                  <w:kern w:val="0"/>
                  <w:szCs w:val="24"/>
                  <w:lang w:val="fr-FR" w:eastAsia="zh-CN" w:bidi="ar-SA"/>
                </w:rPr>
                <w:t>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Fama [</w:t>
            </w:r>
            <w:hyperlink w:anchor="ref23">
              <w:r>
                <w:rPr>
                  <w:rStyle w:val="Hyperlink"/>
                  <w:kern w:val="0"/>
                  <w:szCs w:val="24"/>
                  <w:lang w:val="fr-FR" w:eastAsia="zh-CN" w:bidi="ar-SA"/>
                </w:rPr>
                <w:t>23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Ramey [</w:t>
            </w:r>
            <w:hyperlink w:anchor="ref40">
              <w:r>
                <w:rPr>
                  <w:rStyle w:val="Hyperlink"/>
                  <w:kern w:val="0"/>
                  <w:szCs w:val="24"/>
                  <w:lang w:val="fr-FR" w:eastAsia="zh-CN" w:bidi="ar-SA"/>
                </w:rPr>
                <w:t>40</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Welch et Goyal [</w:t>
            </w:r>
            <w:hyperlink w:anchor="ref43">
              <w:r>
                <w:rPr>
                  <w:rStyle w:val="Hyperlink"/>
                  <w:kern w:val="0"/>
                  <w:szCs w:val="24"/>
                  <w:lang w:val="fr-FR" w:eastAsia="zh-CN" w:bidi="ar-SA"/>
                </w:rPr>
                <w:t>43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Gu, Kelly et Xiu [</w:t>
            </w:r>
            <w:hyperlink w:anchor="ref29">
              <w:r>
                <w:rPr>
                  <w:rStyle w:val="Hyperlink"/>
                  <w:kern w:val="0"/>
                  <w:szCs w:val="24"/>
                  <w:lang w:val="fr-FR" w:eastAsia="zh-CN" w:bidi="ar-SA"/>
                </w:rPr>
                <w:t>29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Bianchi, Büchner et Tamoni [</w:t>
            </w:r>
            <w:hyperlink w:anchor="ref12">
              <w:r>
                <w:rPr>
                  <w:rStyle w:val="Hyperlink"/>
                  <w:kern w:val="0"/>
                  <w:szCs w:val="24"/>
                  <w:lang w:val="fr-FR" w:eastAsia="zh-CN" w:bidi="ar-SA"/>
                </w:rPr>
                <w:t>12</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Giannone, Reichlin et Small [</w:t>
            </w:r>
            <w:hyperlink w:anchor="ref27">
              <w:r>
                <w:rPr>
                  <w:rStyle w:val="Hyperlink"/>
                  <w:kern w:val="0"/>
                  <w:szCs w:val="24"/>
                  <w:lang w:val="fr-FR" w:eastAsia="zh-CN" w:bidi="ar-SA"/>
                </w:rPr>
                <w:t>27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Croushore [</w:t>
            </w:r>
            <w:hyperlink w:anchor="ref19">
              <w:r>
                <w:rPr>
                  <w:rStyle w:val="Hyperlink"/>
                  <w:kern w:val="0"/>
                  <w:szCs w:val="24"/>
                  <w:lang w:val="fr-FR" w:eastAsia="zh-CN" w:bidi="ar-SA"/>
                </w:rPr>
                <w:t>19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0" w:name="le-vide-identifié"/>
      <w:r>
        <w:rPr/>
        <w:t>1.5.1 Le vide identifié.</w:t>
      </w:r>
    </w:p>
    <w:p>
      <w:pPr>
        <w:pStyle w:val="FirstParagraph"/>
        <w:rPr/>
      </w:pPr>
      <w:r>
        <w:rPr/>
        <w:t>La littérature se partage en deux blocs qui se croisent peu :</w:t>
      </w:r>
    </w:p>
    <w:p>
      <w:pPr>
        <w:pStyle w:val="Compact"/>
        <w:numPr>
          <w:ilvl w:val="0"/>
          <w:numId w:val="12"/>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13"/>
        </w:numPr>
        <w:rPr/>
      </w:pPr>
      <w:r>
        <w:rPr>
          <w:b/>
          <w:bCs/>
        </w:rPr>
        <w:t>Le bloc machine learning</w:t>
      </w:r>
      <w:r>
        <w:rPr/>
        <w:t xml:space="preserve">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15"/>
        </w:numPr>
        <w:rPr/>
      </w:pPr>
      <w:r>
        <w:rPr>
          <w:b/>
          <w:bCs/>
        </w:rPr>
        <w:t>Nous utilisons les données détaillées d’exécution du budget français</w:t>
      </w:r>
      <w:r>
        <w:rPr/>
        <w:t>, par catégorie de dépense, en données ouvertes.</w:t>
      </w:r>
    </w:p>
    <w:p>
      <w:pPr>
        <w:pStyle w:val="Compact"/>
        <w:numPr>
          <w:ilvl w:val="0"/>
          <w:numId w:val="16"/>
        </w:numPr>
        <w:rPr/>
      </w:pPr>
      <w:r>
        <w:rPr>
          <w:b/>
          <w:bCs/>
        </w:rPr>
        <w:t>Nous comparons trois indicateurs</w:t>
      </w:r>
      <w:r>
        <w:rPr/>
        <w:t xml:space="preserve"> plus ou moins exposés au risque souverain : le spread, le taux OAT et le CAC 40.</w:t>
      </w:r>
      <w:bookmarkEnd w:id="80"/>
    </w:p>
    <w:p>
      <w:pPr>
        <w:pStyle w:val="Heading3"/>
        <w:rPr/>
      </w:pPr>
      <w:bookmarkStart w:id="81" w:name="problématique-et-hypothèses"/>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18"/>
        </w:numPr>
        <w:rPr/>
      </w:pPr>
      <w:r>
        <w:rPr>
          <w:b/>
          <w:bCs/>
        </w:rPr>
        <w:t>H2.</w:t>
      </w:r>
      <w:r>
        <w:rPr/>
        <w:t xml:space="preserve"> L’apport des dépenses diminue du spread au taux OAT, puis au CAC 40, à mesure que l’indicateur est moins exposé au risque souverain.</w:t>
      </w:r>
    </w:p>
    <w:p>
      <w:pPr>
        <w:pStyle w:val="Compact"/>
        <w:numPr>
          <w:ilvl w:val="0"/>
          <w:numId w:val="19"/>
        </w:numPr>
        <w:rPr/>
      </w:pPr>
      <w:r>
        <w:rPr>
          <w:b/>
          <w:bCs/>
        </w:rPr>
        <w:t>H3.</w:t>
      </w:r>
      <w:r>
        <w:rPr/>
        <w:t xml:space="preserve"> Les modèles de machine learning (forêt aléatoire, XGBoost) prévoient mieux que les modèles linéaires.</w:t>
      </w:r>
    </w:p>
    <w:p>
      <w:pPr>
        <w:pStyle w:val="Compact"/>
        <w:numPr>
          <w:ilvl w:val="0"/>
          <w:numId w:val="20"/>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bookmarkEnd w:id="34"/>
      <w:bookmarkEnd w:id="78"/>
      <w:bookmarkEnd w:id="81"/>
      <w:r>
        <w:br w:type="page"/>
      </w:r>
    </w:p>
    <w:p>
      <w:pPr>
        <w:pStyle w:val="Heading1"/>
        <w:rPr/>
      </w:pPr>
      <w:bookmarkStart w:id="82" w:name="__RefHeading___Toc20109_1933410216"/>
      <w:bookmarkStart w:id="83" w:name="chapitre-2-données-et-méthodologie"/>
      <w:bookmarkEnd w:id="82"/>
      <w:r>
        <w:rPr/>
        <w:t>Chapitre 2 : Données et méthodologie</w:t>
      </w:r>
    </w:p>
    <w:p>
      <w:pPr>
        <w:pStyle w:val="Heading2"/>
        <w:rPr/>
      </w:pPr>
      <w:bookmarkStart w:id="84" w:name="__RefHeading___Toc20111_1933410216"/>
      <w:bookmarkStart w:id="85" w:name="introduction-du-chapitre-1"/>
      <w:bookmarkEnd w:id="84"/>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86" w:name="introduction-du-chapitre-1"/>
      <w:r>
        <w:rPr/>
        <w:t>Chaque tableau et chaque figure de ce mémoire peut être recalculé à partir des fichiers bruts, avec le code que nous avons écrit pour ce travail.</w:t>
      </w:r>
      <w:bookmarkEnd w:id="86"/>
    </w:p>
    <w:p>
      <w:pPr>
        <w:pStyle w:val="Heading2"/>
        <w:rPr/>
      </w:pPr>
      <w:bookmarkStart w:id="87" w:name="__RefHeading___Toc20113_1933410216"/>
      <w:bookmarkStart w:id="88" w:name="sources-des-données"/>
      <w:bookmarkEnd w:id="87"/>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89" w:name="__RefHeading___Toc20235_1933410216"/>
      <w:bookmarkEnd w:id="89"/>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b/>
          <w:bCs/>
        </w:rPr>
        <w:t>Le CAC 40 est un indice de prix</w:t>
      </w:r>
      <w:r>
        <w:rPr/>
        <w:t>, qui ne compte pas les dividendes.</w:t>
      </w:r>
    </w:p>
    <w:p>
      <w:pPr>
        <w:pStyle w:val="Compact"/>
        <w:numPr>
          <w:ilvl w:val="0"/>
          <w:numId w:val="23"/>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24"/>
        </w:numPr>
        <w:rPr/>
      </w:pPr>
      <w:r>
        <w:rPr>
          <w:b/>
          <w:bCs/>
        </w:rPr>
        <w:t>Le budget voté pour 2026 n’est pas dans les fichiers ouverts.</w:t>
      </w:r>
      <w:r>
        <w:rPr/>
        <w:t xml:space="preserve"> L’extension qui l’utilise (E4) s’arrête donc en février 2026.</w:t>
      </w:r>
      <w:bookmarkEnd w:id="88"/>
    </w:p>
    <w:p>
      <w:pPr>
        <w:pStyle w:val="Heading2"/>
        <w:rPr/>
      </w:pPr>
      <w:bookmarkStart w:id="90" w:name="__RefHeading___Toc20115_1933410216"/>
      <w:bookmarkStart w:id="91" w:name="construction-du-jeu-de-données"/>
      <w:bookmarkEnd w:id="90"/>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92" w:name="des-cumuls-aux-flux-mensuels"/>
      <w:r>
        <w:rPr/>
        <w:t>2.2.1 Des cumuls aux flux mensuels.</w:t>
      </w:r>
    </w:p>
    <w:p>
      <w:pPr>
        <w:pStyle w:val="FirstParagraph"/>
        <w:rPr/>
      </w:pPr>
      <w:bookmarkStart w:id="93"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93"/>
    </w:p>
    <w:p>
      <w:pPr>
        <w:pStyle w:val="Heading3"/>
        <w:rPr/>
      </w:pPr>
      <w:bookmarkStart w:id="94"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b/>
          <w:bCs/>
        </w:rPr>
        <w:t>La somme des 12 derniers mois</w:t>
      </w:r>
      <w:r>
        <w:rPr/>
        <w:t xml:space="preserve"> (en milliards d’euros). Elle donne le niveau annuel, sans effet de saison.</w:t>
      </w:r>
    </w:p>
    <w:p>
      <w:pPr>
        <w:pStyle w:val="Compact"/>
        <w:numPr>
          <w:ilvl w:val="0"/>
          <w:numId w:val="26"/>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95" w:name="neutraliser-la-saisonnalité"/>
      <w:r>
        <w:rPr/>
        <w:t>Nous avons exclu les opérations financières. Ce sont des prises de participation ou des soutiens exceptionnels, très irréguliers, et non une dépense économique courante. Leur écart annuel atteignait −462 %.</w:t>
      </w:r>
      <w:bookmarkEnd w:id="95"/>
    </w:p>
    <w:p>
      <w:pPr>
        <w:pStyle w:val="Heading3"/>
        <w:rPr/>
      </w:pPr>
      <w:bookmarkStart w:id="96"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Nous avons ensuite retrouvé 40 dates de publication entre 2017 et 2026 (annexe F) : 37 tombent au début du mois M+2 et 3, en 2019, dès la fin du mois M+1. Un décalage de deux mois n’utilise donc jamais un chiffre non encore publié ; il est au pire un peu prudent. Pour 2014-2016 et les mois non retrouvés,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96"/>
    </w:p>
    <w:p>
      <w:pPr>
        <w:pStyle w:val="Heading3"/>
        <w:rPr/>
      </w:pPr>
      <w:bookmarkStart w:id="97"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98" w:name="__RefHeading___Toc20233_1933410216"/>
      <w:bookmarkEnd w:id="98"/>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99" w:name="construction-du-jeu-de-données"/>
      <w:bookmarkStart w:id="100"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99"/>
      <w:bookmarkEnd w:id="100"/>
    </w:p>
    <w:p>
      <w:pPr>
        <w:pStyle w:val="Heading2"/>
        <w:rPr/>
      </w:pPr>
      <w:bookmarkStart w:id="101" w:name="__RefHeading___Toc20117_1933410216"/>
      <w:bookmarkStart w:id="102" w:name="variables-cibles-et-stationnarité"/>
      <w:bookmarkEnd w:id="101"/>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03" w:name="__RefHeading___Toc20231_1933410216"/>
      <w:bookmarkEnd w:id="103"/>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04"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05" w:name="__RefHeading___Toc20229_1933410216"/>
      <w:bookmarkEnd w:id="105"/>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06" w:name="variables-cibles-et-stationnarité"/>
      <w:bookmarkStart w:id="107" w:name="X1f226371d223a388ad860388f2edd529dc4d91f"/>
      <w:r>
        <w:rPr/>
        <w:t>Nous testons aussi une version plus simple dans les extensions : deviner seulement si le spread va monter ou baisser. Sur notre échantillon, il a monté dans 52 % des mois.</w:t>
      </w:r>
      <w:bookmarkEnd w:id="106"/>
      <w:bookmarkEnd w:id="107"/>
    </w:p>
    <w:p>
      <w:pPr>
        <w:pStyle w:val="Heading2"/>
        <w:rPr/>
      </w:pPr>
      <w:bookmarkStart w:id="108" w:name="__RefHeading___Toc20119_1933410216"/>
      <w:bookmarkStart w:id="109" w:name="variables-explicatives"/>
      <w:bookmarkEnd w:id="108"/>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10" w:name="__RefHeading___Toc20227_1933410216"/>
      <w:bookmarkEnd w:id="110"/>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11"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09"/>
      <w:bookmarkEnd w:id="111"/>
    </w:p>
    <w:p>
      <w:pPr>
        <w:pStyle w:val="Heading2"/>
        <w:rPr/>
      </w:pPr>
      <w:bookmarkStart w:id="112" w:name="__RefHeading___Toc20121_1933410216"/>
      <w:bookmarkStart w:id="113" w:name="modèles-retenus"/>
      <w:bookmarkEnd w:id="112"/>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14" w:name="__RefHeading___Toc20225_1933410216"/>
      <w:bookmarkEnd w:id="114"/>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modèle qui ne la bat pas n’a pas de pouvoir prédictif utile [</w:t>
            </w:r>
            <w:hyperlink w:anchor="ref43">
              <w:r>
                <w:rPr>
                  <w:rStyle w:val="Hyperlink"/>
                  <w:kern w:val="0"/>
                  <w:szCs w:val="24"/>
                  <w:lang w:val="fr-FR" w:eastAsia="zh-CN" w:bidi="ar-SA"/>
                </w:rPr>
                <w:t>43</w:t>
              </w:r>
            </w:hyperlink>
            <w:r>
              <w:rPr>
                <w:kern w:val="0"/>
                <w:sz w:val="20"/>
                <w:szCs w:val="24"/>
                <w:lang w:val="fr-FR" w:eastAsia="zh-CN" w:bidi="ar-SA"/>
              </w:rPr>
              <w:t xml:space="preserve">,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Représente la tradition linéaire ; la régularisation limite le surapprentissage avec 18 variables [</w:t>
            </w:r>
            <w:hyperlink w:anchor="ref31">
              <w:r>
                <w:rPr>
                  <w:rStyle w:val="Hyperlink"/>
                  <w:kern w:val="0"/>
                  <w:szCs w:val="24"/>
                  <w:lang w:val="fr-FR" w:eastAsia="zh-CN" w:bidi="ar-SA"/>
                </w:rPr>
                <w:t>31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Capte les effets non linéaires, stable sur de petits échantillons [</w:t>
            </w:r>
            <w:hyperlink w:anchor="ref15">
              <w:r>
                <w:rPr>
                  <w:rStyle w:val="Hyperlink"/>
                  <w:kern w:val="0"/>
                  <w:szCs w:val="24"/>
                  <w:lang w:val="fr-FR" w:eastAsia="zh-CN" w:bidi="ar-SA"/>
                </w:rPr>
                <w:t>15</w:t>
              </w:r>
            </w:hyperlink>
            <w:r>
              <w:rPr>
                <w:kern w:val="0"/>
                <w:sz w:val="20"/>
                <w:szCs w:val="24"/>
                <w:lang w:val="fr-FR" w:eastAsia="zh-CN" w:bidi="ar-SA"/>
              </w:rPr>
              <w:t xml:space="preserve">, </w:t>
            </w:r>
            <w:hyperlink w:anchor="ref37">
              <w:r>
                <w:rPr>
                  <w:rStyle w:val="Hyperlink"/>
                  <w:kern w:val="0"/>
                  <w:szCs w:val="24"/>
                  <w:lang w:val="fr-FR" w:eastAsia="zh-CN" w:bidi="ar-SA"/>
                </w:rPr>
                <w:t>37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Meilleur modèle chez Bouillot et al. [</w:t>
            </w:r>
            <w:hyperlink w:anchor="ref14">
              <w:r>
                <w:rPr>
                  <w:rStyle w:val="Hyperlink"/>
                  <w:kern w:val="0"/>
                  <w:szCs w:val="24"/>
                  <w:lang w:val="fr-FR" w:eastAsia="zh-CN" w:bidi="ar-SA"/>
                </w:rPr>
                <w:t>14</w:t>
              </w:r>
            </w:hyperlink>
            <w:r>
              <w:rPr>
                <w:kern w:val="0"/>
                <w:sz w:val="20"/>
                <w:szCs w:val="24"/>
                <w:lang w:val="fr-FR" w:eastAsia="zh-CN" w:bidi="ar-SA"/>
              </w:rPr>
              <w:t>] pour les spreads européens [</w:t>
            </w:r>
            <w:hyperlink w:anchor="ref18">
              <w:r>
                <w:rPr>
                  <w:rStyle w:val="Hyperlink"/>
                  <w:kern w:val="0"/>
                  <w:szCs w:val="24"/>
                  <w:lang w:val="fr-FR" w:eastAsia="zh-CN" w:bidi="ar-SA"/>
                </w:rPr>
                <w:t>18</w:t>
              </w:r>
            </w:hyperlink>
            <w:r>
              <w:rPr>
                <w:kern w:val="0"/>
                <w:sz w:val="20"/>
                <w:szCs w:val="24"/>
                <w:lang w:val="fr-FR"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15"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b/>
          <w:bCs/>
        </w:rPr>
        <w:t>Forêt aléatoire</w:t>
      </w:r>
      <w:r>
        <w:rPr/>
        <w:t xml:space="preserve"> : 300 arbres, profondeur maximale 4, au moins 5 observations par feuille, 50 % des variables tirées à chaque division.</w:t>
      </w:r>
    </w:p>
    <w:p>
      <w:pPr>
        <w:pStyle w:val="Compact"/>
        <w:numPr>
          <w:ilvl w:val="0"/>
          <w:numId w:val="29"/>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16" w:name="modèles-retenus"/>
      <w:bookmarkStart w:id="117"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16"/>
      <w:bookmarkEnd w:id="117"/>
    </w:p>
    <w:p>
      <w:pPr>
        <w:pStyle w:val="Heading2"/>
        <w:rPr/>
      </w:pPr>
      <w:bookmarkStart w:id="118" w:name="__RefHeading___Toc20123_1933410216"/>
      <w:bookmarkStart w:id="119" w:name="protocole-dévaluation"/>
      <w:bookmarkEnd w:id="118"/>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20"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21"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21"/>
    </w:p>
    <w:p>
      <w:pPr>
        <w:pStyle w:val="Heading3"/>
        <w:rPr/>
      </w:pPr>
      <w:bookmarkStart w:id="122" w:name="mesures-de-performance"/>
      <w:r>
        <w:rPr/>
        <w:t>2.6.2 Mesures de performance.</w:t>
      </w:r>
    </w:p>
    <w:p>
      <w:pPr>
        <w:pStyle w:val="CaptionTable"/>
        <w:keepNext w:val="true"/>
        <w:spacing w:lineRule="auto" w:line="240" w:before="120" w:after="80"/>
        <w:jc w:val="left"/>
        <w:rPr/>
      </w:pPr>
      <w:bookmarkStart w:id="123" w:name="__RefHeading___Toc20223_1933410216"/>
      <w:bookmarkEnd w:id="123"/>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gain par rapport à la moyenne historique : positif si le modèle fait mieux, négatif sinon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22"/>
    </w:p>
    <w:p>
      <w:pPr>
        <w:pStyle w:val="Heading3"/>
        <w:rPr/>
      </w:pPr>
      <w:bookmarkStart w:id="124"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24"/>
    </w:p>
    <w:p>
      <w:pPr>
        <w:pStyle w:val="Heading3"/>
        <w:rPr/>
      </w:pPr>
      <w:bookmarkStart w:id="125"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25"/>
    </w:p>
    <w:p>
      <w:pPr>
        <w:pStyle w:val="Heading3"/>
        <w:rPr/>
      </w:pPr>
      <w:bookmarkStart w:id="126"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b/>
          <w:bCs/>
        </w:rPr>
        <w:t>Graine aléatoire</w:t>
      </w:r>
      <w:r>
        <w:rPr/>
        <w:t xml:space="preserve"> : la forêt aléatoire et XGBoost sont réestimés avec 5 et 10 graines différentes.</w:t>
      </w:r>
    </w:p>
    <w:p>
      <w:pPr>
        <w:pStyle w:val="Compact"/>
        <w:numPr>
          <w:ilvl w:val="0"/>
          <w:numId w:val="35"/>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b/>
          <w:bCs/>
        </w:rPr>
        <w:t>Décalage de publication</w:t>
      </w:r>
      <w:r>
        <w:rPr/>
        <w:t xml:space="preserve"> : les modèles principaux sont relancés avec un décalage budgétaire de 1 et de 3 mois au lieu de 2.</w:t>
      </w:r>
    </w:p>
    <w:p>
      <w:pPr>
        <w:pStyle w:val="Compact"/>
        <w:numPr>
          <w:ilvl w:val="0"/>
          <w:numId w:val="38"/>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19"/>
      <w:bookmarkEnd w:id="126"/>
    </w:p>
    <w:p>
      <w:pPr>
        <w:pStyle w:val="Heading2"/>
        <w:rPr/>
      </w:pPr>
      <w:bookmarkStart w:id="127" w:name="__RefHeading___Toc20125_1933410216"/>
      <w:bookmarkStart w:id="128" w:name="X2874266e848e71ac1567061d5b746f8fddf42e0"/>
      <w:bookmarkEnd w:id="127"/>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29" w:name="__RefHeading___Toc20221_1933410216"/>
      <w:bookmarkEnd w:id="129"/>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Deviner le sens est plus facile que l’ampleur ; évaluation par le score de Brier [</w:t>
            </w:r>
            <w:hyperlink w:anchor="ref16">
              <w:r>
                <w:rPr>
                  <w:rStyle w:val="Hyperlink"/>
                  <w:kern w:val="0"/>
                  <w:szCs w:val="24"/>
                  <w:lang w:val="fr-FR" w:eastAsia="zh-CN" w:bidi="ar-SA"/>
                </w:rPr>
                <w:t>16</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réagit à l’information nouvelle [</w:t>
            </w:r>
            <w:hyperlink w:anchor="ref40">
              <w:r>
                <w:rPr>
                  <w:rStyle w:val="Hyperlink"/>
                  <w:kern w:val="0"/>
                  <w:szCs w:val="24"/>
                  <w:lang w:val="fr-FR" w:eastAsia="zh-CN" w:bidi="ar-SA"/>
                </w:rPr>
                <w:t>40</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sensibilité aux finances publiques varie dans le temps [</w:t>
            </w:r>
            <w:hyperlink w:anchor="ref1">
              <w:r>
                <w:rPr>
                  <w:rStyle w:val="Hyperlink"/>
                  <w:kern w:val="0"/>
                  <w:szCs w:val="24"/>
                  <w:lang w:val="fr-FR" w:eastAsia="zh-CN" w:bidi="ar-SA"/>
                </w:rPr>
                <w:t>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Campbell et Thompson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Robustesse des moyennes de modèles [</w:t>
            </w:r>
            <w:hyperlink w:anchor="ref42">
              <w:r>
                <w:rPr>
                  <w:rStyle w:val="Hyperlink"/>
                  <w:kern w:val="0"/>
                  <w:szCs w:val="24"/>
                  <w:lang w:val="fr-FR" w:eastAsia="zh-CN" w:bidi="ar-SA"/>
                </w:rPr>
                <w:t>42</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Sélection automatique des variables [</w:t>
            </w:r>
            <w:hyperlink w:anchor="ref45">
              <w:r>
                <w:rPr>
                  <w:rStyle w:val="Hyperlink"/>
                  <w:kern w:val="0"/>
                  <w:szCs w:val="24"/>
                  <w:lang w:val="fr-FR" w:eastAsia="zh-CN" w:bidi="ar-SA"/>
                </w:rPr>
                <w:t>45</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S’adapter au changement de régime de 2022 [</w:t>
            </w:r>
            <w:hyperlink w:anchor="ref39">
              <w:r>
                <w:rPr>
                  <w:rStyle w:val="Hyperlink"/>
                  <w:kern w:val="0"/>
                  <w:szCs w:val="24"/>
                  <w:lang w:val="fr-FR" w:eastAsia="zh-CN" w:bidi="ar-SA"/>
                </w:rPr>
                <w:t>39</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Répliquer le cadre de Bouillot et al. [</w:t>
            </w:r>
            <w:hyperlink w:anchor="ref14">
              <w:r>
                <w:rPr>
                  <w:rStyle w:val="Hyperlink"/>
                  <w:kern w:val="0"/>
                  <w:szCs w:val="24"/>
                  <w:lang w:val="fr-FR" w:eastAsia="zh-CN" w:bidi="ar-SA"/>
                </w:rPr>
                <w:t>14</w:t>
              </w:r>
            </w:hyperlink>
            <w:r>
              <w:rPr>
                <w:kern w:val="0"/>
                <w:sz w:val="20"/>
                <w:szCs w:val="24"/>
                <w:lang w:val="fr-FR"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Incertitude de politique économique (indice européen de [</w:t>
            </w:r>
            <w:hyperlink w:anchor="ref6">
              <w:r>
                <w:rPr>
                  <w:rStyle w:val="Hyperlink"/>
                  <w:kern w:val="0"/>
                  <w:szCs w:val="24"/>
                  <w:lang w:val="fr-FR" w:eastAsia="zh-CN" w:bidi="ar-SA"/>
                </w:rPr>
                <w:t>6</w:t>
              </w:r>
            </w:hyperlink>
            <w:r>
              <w:rPr>
                <w:kern w:val="0"/>
                <w:sz w:val="20"/>
                <w:szCs w:val="24"/>
                <w:lang w:val="fr-FR"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30"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31" w:name="X2874266e848e71ac1567061d5b746f8fddf42e0"/>
      <w:bookmarkStart w:id="132"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31"/>
      <w:bookmarkEnd w:id="132"/>
    </w:p>
    <w:p>
      <w:pPr>
        <w:pStyle w:val="Heading2"/>
        <w:rPr/>
      </w:pPr>
      <w:bookmarkStart w:id="133" w:name="__RefHeading___Toc20127_1933410216"/>
      <w:bookmarkStart w:id="134" w:name="considérations-éthiques"/>
      <w:bookmarkEnd w:id="133"/>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b/>
          <w:bCs/>
        </w:rPr>
        <w:t>Transparence et résultats négatifs.</w:t>
      </w:r>
      <w:r>
        <w:rPr/>
        <w:t xml:space="preserve">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Conformément au guide de l’ECE, nous déclarons avoir utilisé un outil d’intelligence artificielle générative (Claude, d’Anthropic) comme assistant pour la programmation et la rédaction. Le choix du sujet, de la problématique et du périmètre et les décisions de méthode relèvent de l’auteur, qui a relu l’ensemble du texte et du code, et en assume la responsabilité.</w:t>
      </w:r>
      <w:bookmarkEnd w:id="83"/>
      <w:bookmarkEnd w:id="134"/>
      <w:r>
        <w:br w:type="page"/>
      </w:r>
    </w:p>
    <w:p>
      <w:pPr>
        <w:pStyle w:val="Heading1"/>
        <w:rPr/>
      </w:pPr>
      <w:bookmarkStart w:id="135" w:name="__RefHeading___Toc20129_1933410216"/>
      <w:bookmarkStart w:id="136" w:name="chapitre-3-résultats"/>
      <w:bookmarkEnd w:id="135"/>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37" w:name="__RefHeading___Toc20131_1933410216"/>
      <w:bookmarkStart w:id="138" w:name="statistiques-descriptives"/>
      <w:bookmarkEnd w:id="137"/>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39" w:name="__RefHeading___Toc20219_1933410216"/>
      <w:bookmarkEnd w:id="139"/>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40" w:name="__RefHeading___Toc20237_1933410216"/>
      <w:bookmarkEnd w:id="140"/>
      <w:r>
        <w:rPr>
          <w:b/>
          <w:bCs/>
          <w:sz w:val="22"/>
        </w:rPr>
        <w:t>Figure 3.1 : Distribution des trois cibles</w:t>
      </w:r>
    </w:p>
    <w:p>
      <w:pPr>
        <w:pStyle w:val="BodyText"/>
        <w:keepNext w:val="false"/>
        <w:spacing w:lineRule="auto" w:line="240" w:before="40" w:after="240"/>
        <w:jc w:val="left"/>
        <w:rPr/>
      </w:pPr>
      <w:bookmarkStart w:id="141" w:name="statistiques-descriptives"/>
      <w:r>
        <w:rPr>
          <w:i/>
          <w:iCs/>
          <w:sz w:val="20"/>
        </w:rPr>
        <w:t>Source : calculs de l’auteur.</w:t>
      </w:r>
      <w:bookmarkEnd w:id="141"/>
    </w:p>
    <w:p>
      <w:pPr>
        <w:pStyle w:val="Heading2"/>
        <w:rPr/>
      </w:pPr>
      <w:bookmarkStart w:id="142" w:name="__RefHeading___Toc20133_1933410216"/>
      <w:bookmarkStart w:id="143" w:name="modèles-principaux"/>
      <w:bookmarkEnd w:id="142"/>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44" w:name="__RefHeading___Toc20217_1933410216"/>
      <w:bookmarkEnd w:id="144"/>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45" w:name="__RefHeading___Toc20215_1933410216"/>
      <w:bookmarkEnd w:id="145"/>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46" w:name="__RefHeading___Toc20243_1933410216"/>
      <w:bookmarkEnd w:id="146"/>
      <w:r>
        <w:rPr>
          <w:b/>
          <w:bCs/>
          <w:sz w:val="22"/>
        </w:rPr>
        <w:t>Figure 3.2 : RMSE relatif à la moyenne historique</w:t>
      </w:r>
    </w:p>
    <w:p>
      <w:pPr>
        <w:pStyle w:val="BodyText"/>
        <w:keepNext w:val="false"/>
        <w:spacing w:lineRule="auto" w:line="240" w:before="40" w:after="240"/>
        <w:jc w:val="left"/>
        <w:rPr/>
      </w:pPr>
      <w:bookmarkStart w:id="147" w:name="modèles-principaux"/>
      <w:r>
        <w:rPr>
          <w:i/>
          <w:iCs/>
          <w:sz w:val="20"/>
        </w:rPr>
        <w:t>Source : calculs de l’auteur.</w:t>
      </w:r>
      <w:bookmarkEnd w:id="147"/>
    </w:p>
    <w:p>
      <w:pPr>
        <w:pStyle w:val="Heading2"/>
        <w:rPr/>
      </w:pPr>
      <w:bookmarkStart w:id="148" w:name="__RefHeading___Toc20135_1933410216"/>
      <w:bookmarkStart w:id="149" w:name="solidité-des-résultats"/>
      <w:bookmarkEnd w:id="148"/>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50" w:name="__RefHeading___Toc20213_1933410216"/>
      <w:bookmarkEnd w:id="150"/>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Les dates de publication des situations budgétaires ne sont connues que pour une partie des mois (40 publications entre 2017 et 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rPr/>
      </w:pPr>
      <w:bookmarkStart w:id="151" w:name="solidité-des-résultats"/>
      <w:r>
        <w:rPr/>
        <w:t>Le détail de ces contrôles est en annexe (C, D et E).</w:t>
      </w:r>
      <w:bookmarkEnd w:id="151"/>
    </w:p>
    <w:p>
      <w:pPr>
        <w:pStyle w:val="Heading2"/>
        <w:rPr/>
      </w:pPr>
      <w:bookmarkStart w:id="152" w:name="__RefHeading___Toc20137_1933410216"/>
      <w:bookmarkStart w:id="153" w:name="importance-des-variables-1"/>
      <w:bookmarkEnd w:id="152"/>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54" w:name="__RefHeading___Toc20211_1933410216"/>
      <w:bookmarkEnd w:id="154"/>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Pour avoir des repères, nous l’appliquons à deux versions de M1 : l’une à laquelle on ajoute sept variables de bruit, l’autre à laquelle on ajoute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55" w:name="__RefHeading___Toc20241_1933410216"/>
      <w:bookmarkEnd w:id="155"/>
      <w:r>
        <w:rPr>
          <w:b/>
          <w:bCs/>
          <w:sz w:val="22"/>
        </w:rPr>
        <w:t>Figure 3.3 : Importance SHAP des variables</w:t>
      </w:r>
    </w:p>
    <w:p>
      <w:pPr>
        <w:pStyle w:val="BodyText"/>
        <w:keepNext w:val="false"/>
        <w:spacing w:lineRule="auto" w:line="240" w:before="40" w:after="240"/>
        <w:jc w:val="left"/>
        <w:rPr/>
      </w:pPr>
      <w:bookmarkStart w:id="156" w:name="importance-des-variables-1"/>
      <w:r>
        <w:rPr>
          <w:i/>
          <w:iCs/>
          <w:sz w:val="20"/>
        </w:rPr>
        <w:t>Source : calculs de l’auteur.</w:t>
      </w:r>
      <w:bookmarkEnd w:id="156"/>
    </w:p>
    <w:p>
      <w:pPr>
        <w:pStyle w:val="Heading2"/>
        <w:rPr/>
      </w:pPr>
      <w:bookmarkStart w:id="157" w:name="__RefHeading___Toc20139_1933410216"/>
      <w:bookmarkStart w:id="158" w:name="extensions-sur-les-données-françaises"/>
      <w:bookmarkEnd w:id="157"/>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59" w:name="__RefHeading___Toc20209_1933410216"/>
      <w:bookmarkEnd w:id="159"/>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b/>
          <w:bCs/>
        </w:rPr>
        <w:t>Étude d’événement préliminaire.</w:t>
      </w:r>
      <w:r>
        <w:rPr/>
        <w:t xml:space="preserv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60" w:name="__RefHeading___Toc20239_1933410216"/>
      <w:bookmarkEnd w:id="160"/>
      <w:r>
        <w:rPr>
          <w:b/>
          <w:bCs/>
          <w:sz w:val="22"/>
        </w:rPr>
        <w:t>Figure 3.4 : Synthèse des extensions</w:t>
      </w:r>
    </w:p>
    <w:p>
      <w:pPr>
        <w:pStyle w:val="BodyText"/>
        <w:keepNext w:val="false"/>
        <w:spacing w:lineRule="auto" w:line="240" w:before="40" w:after="240"/>
        <w:jc w:val="left"/>
        <w:rPr/>
      </w:pPr>
      <w:bookmarkStart w:id="161" w:name="extensions-sur-les-données-françaises"/>
      <w:r>
        <w:rPr>
          <w:i/>
          <w:iCs/>
          <w:sz w:val="20"/>
        </w:rPr>
        <w:t>Source : calculs de l’auteur.</w:t>
      </w:r>
      <w:bookmarkEnd w:id="161"/>
    </w:p>
    <w:p>
      <w:pPr>
        <w:pStyle w:val="Heading2"/>
        <w:rPr/>
      </w:pPr>
      <w:bookmarkStart w:id="162" w:name="__RefHeading___Toc20141_1933410216"/>
      <w:bookmarkStart w:id="163" w:name="X98da76a2dfe6287c3d8c5b97d63fcea983b716d"/>
      <w:bookmarkEnd w:id="162"/>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Panel trimestriel (E15).</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Réplication élargie de Bouillot et al. (E16).</w:t>
      </w:r>
      <w:r>
        <w:rPr/>
        <w:t xml:space="preserve">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64" w:name="__RefHeading___Toc20207_1933410216"/>
      <w:bookmarkEnd w:id="164"/>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b/>
          <w:bCs/>
        </w:rPr>
        <w:t>Panel annuel (E17).</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Régime de crise, exploratoire (E18).</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63"/>
    </w:p>
    <w:p>
      <w:pPr>
        <w:pStyle w:val="Heading2"/>
        <w:rPr/>
      </w:pPr>
      <w:bookmarkStart w:id="165" w:name="__RefHeading___Toc20143_1933410216"/>
      <w:bookmarkStart w:id="166" w:name="synthèse-état-des-hypothèses"/>
      <w:bookmarkEnd w:id="165"/>
      <w:r>
        <w:rPr/>
        <w:t>3.7 Synthèse : état des hypothèses</w:t>
      </w:r>
    </w:p>
    <w:p>
      <w:pPr>
        <w:pStyle w:val="CaptionTable"/>
        <w:keepNext w:val="true"/>
        <w:spacing w:lineRule="auto" w:line="240" w:before="120" w:after="80"/>
        <w:jc w:val="left"/>
        <w:rPr/>
      </w:pPr>
      <w:bookmarkStart w:id="167" w:name="__RefHeading___Toc20205_1933410216"/>
      <w:bookmarkEnd w:id="167"/>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bookmarkStart w:id="168" w:name="chapitre-3-résultats"/>
      <w:bookmarkStart w:id="169" w:name="synthèse-état-des-hypothèses"/>
      <w:r>
        <w:rPr>
          <w:i/>
          <w:iCs/>
          <w:sz w:val="20"/>
        </w:rPr>
        <w:t>Source : sections 3.2 à 3.5.</w:t>
      </w:r>
      <w:bookmarkEnd w:id="168"/>
      <w:bookmarkEnd w:id="169"/>
      <w:r>
        <w:br w:type="page"/>
      </w:r>
    </w:p>
    <w:p>
      <w:pPr>
        <w:pStyle w:val="Heading1"/>
        <w:rPr/>
      </w:pPr>
      <w:bookmarkStart w:id="170" w:name="__RefHeading___Toc20145_1933410216"/>
      <w:bookmarkStart w:id="171" w:name="chapitre-4-discussion"/>
      <w:bookmarkEnd w:id="170"/>
      <w:r>
        <w:rPr/>
        <w:t>Chapitre 4 : Discussion</w:t>
      </w:r>
    </w:p>
    <w:p>
      <w:pPr>
        <w:pStyle w:val="Heading2"/>
        <w:rPr/>
      </w:pPr>
      <w:bookmarkStart w:id="172" w:name="__RefHeading___Toc20147_1933410216"/>
      <w:bookmarkStart w:id="173" w:name="réponse-à-la-problématique"/>
      <w:bookmarkEnd w:id="172"/>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73"/>
    </w:p>
    <w:p>
      <w:pPr>
        <w:pStyle w:val="Heading2"/>
        <w:rPr/>
      </w:pPr>
      <w:bookmarkStart w:id="174" w:name="__RefHeading___Toc20149_1933410216"/>
      <w:bookmarkStart w:id="175" w:name="Xa3067380fc7bd576b8b1c854ef4e984f69f7e19"/>
      <w:bookmarkEnd w:id="174"/>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176"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176"/>
    </w:p>
    <w:p>
      <w:pPr>
        <w:pStyle w:val="Heading3"/>
        <w:rPr/>
      </w:pPr>
      <w:bookmarkStart w:id="177" w:name="X57f8577d700eaa38cd6c624300c66f71b06c5e6"/>
      <w:r>
        <w:rPr/>
        <w:t>Ce qui fait bouger le spread n’est pas budgétaire.</w:t>
      </w:r>
    </w:p>
    <w:p>
      <w:pPr>
        <w:pStyle w:val="FirstParagraph"/>
        <w:rPr/>
      </w:pPr>
      <w:bookmarkStart w:id="178"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178"/>
    </w:p>
    <w:p>
      <w:pPr>
        <w:pStyle w:val="Heading3"/>
        <w:rPr/>
      </w:pPr>
      <w:bookmarkStart w:id="179" w:name="Xee5accd4cb6f9cc90b6eb7d0615906557623fe5"/>
      <w:r>
        <w:rPr/>
        <w:t>Le retard de publication n’est pas en cause.</w:t>
      </w:r>
    </w:p>
    <w:p>
      <w:pPr>
        <w:pStyle w:val="FirstParagraph"/>
        <w:rPr/>
      </w:pPr>
      <w:bookmarkStart w:id="180"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180"/>
    </w:p>
    <w:p>
      <w:pPr>
        <w:pStyle w:val="Heading3"/>
        <w:rPr/>
      </w:pPr>
      <w:bookmarkStart w:id="181"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181"/>
    </w:p>
    <w:p>
      <w:pPr>
        <w:pStyle w:val="Heading3"/>
        <w:rPr/>
      </w:pPr>
      <w:bookmarkStart w:id="182"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175"/>
      <w:bookmarkEnd w:id="182"/>
    </w:p>
    <w:p>
      <w:pPr>
        <w:pStyle w:val="Heading2"/>
        <w:rPr/>
      </w:pPr>
      <w:bookmarkStart w:id="183" w:name="__RefHeading___Toc20151_1933410216"/>
      <w:bookmarkStart w:id="184" w:name="X4f24273c89b93f863aba17af74a867268801037"/>
      <w:bookmarkEnd w:id="183"/>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185" w:name="la-puissance-du-test"/>
      <w:r>
        <w:rPr/>
        <w:t>La puissance du test.</w:t>
      </w:r>
    </w:p>
    <w:p>
      <w:pPr>
        <w:pStyle w:val="FirstParagraph"/>
        <w:rPr/>
      </w:pPr>
      <w:bookmarkStart w:id="186"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186"/>
    </w:p>
    <w:p>
      <w:pPr>
        <w:pStyle w:val="Heading3"/>
        <w:rPr/>
      </w:pPr>
      <w:bookmarkStart w:id="187" w:name="plus-de-données-suffiraient-elles"/>
      <w:r>
        <w:rPr/>
        <w:t>Plus de données suffiraient-elles ?</w:t>
      </w:r>
    </w:p>
    <w:p>
      <w:pPr>
        <w:pStyle w:val="FirstParagraph"/>
        <w:rPr/>
      </w:pPr>
      <w:bookmarkStart w:id="188"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188"/>
    </w:p>
    <w:p>
      <w:pPr>
        <w:pStyle w:val="Heading3"/>
        <w:rPr/>
      </w:pPr>
      <w:bookmarkStart w:id="189"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189"/>
    </w:p>
    <w:p>
      <w:pPr>
        <w:pStyle w:val="Heading3"/>
        <w:rPr/>
      </w:pPr>
      <w:bookmarkStart w:id="190"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184"/>
      <w:bookmarkEnd w:id="190"/>
    </w:p>
    <w:p>
      <w:pPr>
        <w:pStyle w:val="Heading2"/>
        <w:rPr/>
      </w:pPr>
      <w:bookmarkStart w:id="191" w:name="__RefHeading___Toc20153_1933410216"/>
      <w:bookmarkStart w:id="192" w:name="retour-sur-les-modèles"/>
      <w:bookmarkEnd w:id="191"/>
      <w:r>
        <w:rPr/>
        <w:t>4.4 Retour sur les modèles</w:t>
      </w:r>
    </w:p>
    <w:p>
      <w:pPr>
        <w:pStyle w:val="Heading3"/>
        <w:rPr/>
      </w:pPr>
      <w:bookmarkStart w:id="193"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193"/>
    </w:p>
    <w:p>
      <w:pPr>
        <w:pStyle w:val="Heading3"/>
        <w:rPr/>
      </w:pPr>
      <w:bookmarkStart w:id="194" w:name="X56eca9362d9a103f13f04ab7928f8f1e9156403"/>
      <w:r>
        <w:rPr/>
        <w:t>L’importance des variables ne dit rien ici (H4).</w:t>
      </w:r>
    </w:p>
    <w:p>
      <w:pPr>
        <w:pStyle w:val="FirstParagraph"/>
        <w:rPr/>
      </w:pPr>
      <w:bookmarkStart w:id="195"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195"/>
    </w:p>
    <w:p>
      <w:pPr>
        <w:pStyle w:val="Heading3"/>
        <w:rPr/>
      </w:pPr>
      <w:bookmarkStart w:id="196"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192"/>
      <w:bookmarkEnd w:id="196"/>
    </w:p>
    <w:p>
      <w:pPr>
        <w:pStyle w:val="Heading2"/>
        <w:rPr/>
      </w:pPr>
      <w:bookmarkStart w:id="197" w:name="__RefHeading___Toc20155_1933410216"/>
      <w:bookmarkStart w:id="198" w:name="comparaison-avec-la-littérature"/>
      <w:bookmarkEnd w:id="197"/>
      <w:r>
        <w:rPr/>
        <w:t>4.5 Comparaison avec la littérature</w:t>
      </w:r>
    </w:p>
    <w:p>
      <w:pPr>
        <w:pStyle w:val="Heading3"/>
        <w:rPr/>
      </w:pPr>
      <w:bookmarkStart w:id="199"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00"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00"/>
    </w:p>
    <w:p>
      <w:pPr>
        <w:pStyle w:val="Heading3"/>
        <w:rPr/>
      </w:pPr>
      <w:bookmarkStart w:id="201"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01"/>
    </w:p>
    <w:p>
      <w:pPr>
        <w:pStyle w:val="Heading3"/>
        <w:rPr/>
      </w:pPr>
      <w:bookmarkStart w:id="202"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198"/>
      <w:bookmarkEnd w:id="202"/>
    </w:p>
    <w:p>
      <w:pPr>
        <w:pStyle w:val="Heading2"/>
        <w:rPr/>
      </w:pPr>
      <w:bookmarkStart w:id="203" w:name="__RefHeading___Toc20157_1933410216"/>
      <w:bookmarkStart w:id="204" w:name="implications"/>
      <w:bookmarkEnd w:id="203"/>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05" w:name="implications"/>
      <w:r>
        <w:rPr/>
        <w:t>Pour les producteurs de données ouvertes, enfin, un calendrier de publication archivé et la conservation des versions successives des chiffres permettraient de travailler avec l’information réellement disponible à chaque date.</w:t>
      </w:r>
      <w:bookmarkEnd w:id="205"/>
    </w:p>
    <w:p>
      <w:pPr>
        <w:pStyle w:val="Heading2"/>
        <w:rPr/>
      </w:pPr>
      <w:bookmarkStart w:id="206" w:name="__RefHeading___Toc20159_1933410216"/>
      <w:bookmarkStart w:id="207" w:name="limites"/>
      <w:bookmarkEnd w:id="206"/>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n’a pu être vérifié que sur 40 publications (2017-2026) et reste une hypothèse pour les autres mois,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08"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08"/>
    </w:p>
    <w:p>
      <w:pPr>
        <w:pStyle w:val="Heading2"/>
        <w:rPr/>
      </w:pPr>
      <w:bookmarkStart w:id="209" w:name="__RefHeading___Toc20161_1933410216"/>
      <w:bookmarkStart w:id="210" w:name="recherches-futures"/>
      <w:bookmarkEnd w:id="209"/>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bookmarkStart w:id="211" w:name="chapitre-4-discussion"/>
      <w:bookmarkStart w:id="212" w:name="recherches-futures"/>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bookmarkEnd w:id="211"/>
      <w:bookmarkEnd w:id="212"/>
      <w:r>
        <w:br w:type="page"/>
      </w:r>
    </w:p>
    <w:p>
      <w:pPr>
        <w:pStyle w:val="Heading1"/>
        <w:rPr/>
      </w:pPr>
      <w:bookmarkStart w:id="213" w:name="__RefHeading___Toc20163_1933410216"/>
      <w:bookmarkStart w:id="214" w:name="conclusion-générale"/>
      <w:bookmarkEnd w:id="213"/>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15" w:name="__RefHeading___Toc20165_1933410216"/>
      <w:bookmarkStart w:id="216" w:name="principaux-résultats"/>
      <w:bookmarkEnd w:id="215"/>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17"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17"/>
    </w:p>
    <w:p>
      <w:pPr>
        <w:pStyle w:val="Heading2"/>
        <w:rPr/>
      </w:pPr>
      <w:bookmarkStart w:id="218" w:name="__RefHeading___Toc20167_1933410216"/>
      <w:bookmarkStart w:id="219" w:name="apports-1"/>
      <w:bookmarkEnd w:id="218"/>
      <w:r>
        <w:rPr/>
        <w:t>Apports</w:t>
      </w:r>
    </w:p>
    <w:p>
      <w:pPr>
        <w:pStyle w:val="FirstParagraph"/>
        <w:rPr/>
      </w:pPr>
      <w:bookmarkStart w:id="220"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20"/>
    </w:p>
    <w:p>
      <w:pPr>
        <w:pStyle w:val="Heading2"/>
        <w:rPr/>
      </w:pPr>
      <w:bookmarkStart w:id="221" w:name="__RefHeading___Toc20169_1933410216"/>
      <w:bookmarkStart w:id="222" w:name="limites-1"/>
      <w:bookmarkEnd w:id="221"/>
      <w:r>
        <w:rPr/>
        <w:t>Limites</w:t>
      </w:r>
    </w:p>
    <w:p>
      <w:pPr>
        <w:pStyle w:val="FirstParagraph"/>
        <w:rPr/>
      </w:pPr>
      <w:bookmarkStart w:id="223"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23"/>
    </w:p>
    <w:p>
      <w:pPr>
        <w:pStyle w:val="Heading2"/>
        <w:rPr/>
      </w:pPr>
      <w:bookmarkStart w:id="224" w:name="__RefHeading___Toc20171_1933410216"/>
      <w:bookmarkStart w:id="225" w:name="perspectives"/>
      <w:bookmarkEnd w:id="224"/>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bookmarkStart w:id="226" w:name="conclusion-générale"/>
      <w:bookmarkStart w:id="227" w:name="perspectives"/>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bookmarkEnd w:id="226"/>
      <w:bookmarkEnd w:id="227"/>
      <w:r>
        <w:br w:type="page"/>
      </w:r>
    </w:p>
    <w:p>
      <w:pPr>
        <w:pStyle w:val="Heading1"/>
        <w:rPr/>
      </w:pPr>
      <w:bookmarkStart w:id="228" w:name="__RefHeading___Toc20173_1933410216"/>
      <w:bookmarkStart w:id="229" w:name="références"/>
      <w:bookmarkEnd w:id="228"/>
      <w:r>
        <w:rPr/>
        <w:t>Références</w:t>
      </w:r>
    </w:p>
    <w:p>
      <w:pPr>
        <w:pStyle w:val="Bibliography"/>
        <w:rPr/>
      </w:pPr>
      <w:bookmarkStart w:id="230" w:name="ref1"/>
      <w:bookmarkEnd w:id="230"/>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31" w:name="ref2"/>
      <w:bookmarkEnd w:id="231"/>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32" w:name="ref3"/>
      <w:bookmarkEnd w:id="232"/>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33" w:name="ref4"/>
      <w:bookmarkEnd w:id="233"/>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34" w:name="ref5"/>
      <w:bookmarkEnd w:id="23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35" w:name="ref6"/>
      <w:bookmarkEnd w:id="235"/>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36" w:name="ref7"/>
      <w:bookmarkEnd w:id="236"/>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37" w:name="ref8"/>
      <w:bookmarkEnd w:id="237"/>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38" w:name="ref9"/>
      <w:bookmarkEnd w:id="238"/>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39" w:name="ref10"/>
      <w:bookmarkEnd w:id="23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40" w:name="ref11"/>
      <w:bookmarkEnd w:id="240"/>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41" w:name="ref12"/>
      <w:bookmarkEnd w:id="241"/>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42" w:name="ref13"/>
      <w:bookmarkEnd w:id="24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43" w:name="ref14"/>
      <w:bookmarkEnd w:id="243"/>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44" w:name="ref15"/>
      <w:bookmarkEnd w:id="244"/>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45" w:name="ref16"/>
      <w:bookmarkEnd w:id="245"/>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46" w:name="ref17"/>
      <w:bookmarkEnd w:id="24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47" w:name="ref18"/>
      <w:bookmarkEnd w:id="24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48" w:name="ref19"/>
      <w:bookmarkEnd w:id="248"/>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49" w:name="ref20"/>
      <w:bookmarkEnd w:id="24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50" w:name="ref21"/>
      <w:bookmarkEnd w:id="250"/>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51" w:name="ref22"/>
      <w:bookmarkEnd w:id="251"/>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52" w:name="ref23"/>
      <w:bookmarkEnd w:id="252"/>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53" w:name="ref24"/>
      <w:bookmarkEnd w:id="253"/>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54" w:name="ref25"/>
      <w:bookmarkEnd w:id="25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55" w:name="ref26"/>
      <w:bookmarkEnd w:id="255"/>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56" w:name="ref27"/>
      <w:bookmarkEnd w:id="256"/>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57" w:name="ref28"/>
      <w:bookmarkEnd w:id="25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58" w:name="ref29"/>
      <w:bookmarkEnd w:id="258"/>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59" w:name="ref30"/>
      <w:bookmarkEnd w:id="259"/>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60" w:name="ref31"/>
      <w:bookmarkEnd w:id="260"/>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61" w:name="ref32"/>
      <w:bookmarkEnd w:id="261"/>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62" w:name="ref33"/>
      <w:bookmarkEnd w:id="262"/>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63" w:name="ref34"/>
      <w:bookmarkEnd w:id="263"/>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64" w:name="ref35"/>
      <w:bookmarkEnd w:id="264"/>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65" w:name="ref36"/>
      <w:bookmarkEnd w:id="265"/>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66" w:name="ref37"/>
      <w:bookmarkEnd w:id="26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67" w:name="ref38"/>
      <w:bookmarkEnd w:id="267"/>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68" w:name="ref39"/>
      <w:bookmarkEnd w:id="268"/>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69" w:name="ref40"/>
      <w:bookmarkEnd w:id="269"/>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270" w:name="ref41"/>
      <w:bookmarkEnd w:id="27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271" w:name="ref42"/>
      <w:bookmarkEnd w:id="271"/>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272" w:name="ref43"/>
      <w:bookmarkEnd w:id="272"/>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273" w:name="ref44"/>
      <w:bookmarkEnd w:id="273"/>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274" w:name="ref45"/>
      <w:bookmarkEnd w:id="274"/>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275" w:name="__RefHeading___Toc20175_1933410216"/>
      <w:bookmarkStart w:id="276" w:name="sources-en-ligne"/>
      <w:bookmarkEnd w:id="275"/>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bookmarkEnd w:id="229"/>
      <w:bookmarkEnd w:id="276"/>
      <w:r>
        <w:br w:type="page"/>
      </w:r>
    </w:p>
    <w:p>
      <w:pPr>
        <w:pStyle w:val="Heading1"/>
        <w:rPr/>
      </w:pPr>
      <w:bookmarkStart w:id="277" w:name="__RefHeading___Toc20177_1933410216"/>
      <w:bookmarkStart w:id="278" w:name="annexes"/>
      <w:bookmarkEnd w:id="277"/>
      <w:r>
        <w:rPr/>
        <w:t>Annexes</w:t>
      </w:r>
    </w:p>
    <w:p>
      <w:pPr>
        <w:pStyle w:val="Heading2"/>
        <w:rPr/>
      </w:pPr>
      <w:bookmarkStart w:id="279" w:name="__RefHeading___Toc20179_1933410216"/>
      <w:bookmarkStart w:id="280" w:name="X3ca383dbffb9d55a756372c83cc12a5ba689804"/>
      <w:bookmarkEnd w:id="279"/>
      <w:r>
        <w:rPr/>
        <w:t>Annexe A : Variables des modèles principaux</w:t>
      </w:r>
    </w:p>
    <w:p>
      <w:pPr>
        <w:pStyle w:val="CaptionTable"/>
        <w:keepNext w:val="true"/>
        <w:spacing w:lineRule="auto" w:line="240" w:before="120" w:after="80"/>
        <w:jc w:val="left"/>
        <w:rPr/>
      </w:pPr>
      <w:bookmarkStart w:id="281" w:name="__RefHeading___Toc20203_1933410216"/>
      <w:bookmarkEnd w:id="281"/>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Solde d’exécution cumulé, écart sur un an</w:t>
            </w:r>
          </w:p>
        </w:tc>
      </w:tr>
    </w:tbl>
    <w:p>
      <w:pPr>
        <w:pStyle w:val="BodyText"/>
        <w:keepNext w:val="false"/>
        <w:spacing w:lineRule="auto" w:line="240" w:before="40" w:after="240"/>
        <w:jc w:val="left"/>
        <w:rPr/>
      </w:pPr>
      <w:bookmarkStart w:id="282" w:name="X3ca383dbffb9d55a756372c83cc12a5ba689804"/>
      <w:r>
        <w:rPr>
          <w:i/>
          <w:iCs/>
          <w:sz w:val="20"/>
        </w:rPr>
        <w:t>Source : élaboration de l’auteur. M1 = M0 + dépenses ; M2 = M1 + recettes et solde.</w:t>
      </w:r>
      <w:bookmarkEnd w:id="282"/>
    </w:p>
    <w:p>
      <w:pPr>
        <w:pStyle w:val="Heading2"/>
        <w:rPr/>
      </w:pPr>
      <w:bookmarkStart w:id="283" w:name="__RefHeading___Toc20181_1933410216"/>
      <w:bookmarkStart w:id="284" w:name="annexe-b-détail-des-extensions-e1-à-e20"/>
      <w:bookmarkEnd w:id="283"/>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285" w:name="__RefHeading___Toc20201_1933410216"/>
      <w:bookmarkEnd w:id="285"/>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61"/>
        <w:gridCol w:w="1042"/>
        <w:gridCol w:w="2083"/>
        <w:gridCol w:w="579"/>
        <w:gridCol w:w="925"/>
        <w:gridCol w:w="926"/>
        <w:gridCol w:w="810"/>
        <w:gridCol w:w="1099"/>
      </w:tblGrid>
      <w:tr>
        <w:trPr>
          <w:tblHeader w:val="true"/>
        </w:trPr>
        <w:tc>
          <w:tcPr>
            <w:tcW w:w="1561"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Extension</w:t>
            </w:r>
          </w:p>
        </w:tc>
        <w:tc>
          <w:tcPr>
            <w:tcW w:w="104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208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Comparaison</w:t>
            </w:r>
          </w:p>
        </w:tc>
        <w:tc>
          <w:tcPr>
            <w:tcW w:w="5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n</w:t>
            </w:r>
          </w:p>
        </w:tc>
        <w:tc>
          <w:tcPr>
            <w:tcW w:w="92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sans (%)</w:t>
            </w:r>
          </w:p>
        </w:tc>
        <w:tc>
          <w:tcPr>
            <w:tcW w:w="92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avec (%)</w:t>
            </w:r>
          </w:p>
        </w:tc>
        <w:tc>
          <w:tcPr>
            <w:tcW w:w="81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brute</w:t>
            </w:r>
          </w:p>
        </w:tc>
        <w:tc>
          <w:tcPr>
            <w:tcW w:w="109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199,1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0,593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157,5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115,5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257,3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195,8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0,013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869,4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0,346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0,481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0,260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0,106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0,047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0,392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330,6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338,4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bl>
    <w:p>
      <w:pPr>
        <w:pStyle w:val="BodyText"/>
        <w:keepNext w:val="false"/>
        <w:spacing w:lineRule="auto" w:line="240" w:before="40" w:after="240"/>
        <w:jc w:val="left"/>
        <w:rPr/>
      </w:pPr>
      <w:bookmarkStart w:id="286" w:name="annexe-b-détail-des-extensions-e1-à-e20"/>
      <w:r>
        <w:rPr>
          <w:i/>
          <w:iCs/>
          <w:sz w:val="20"/>
        </w:rPr>
        <w:t>Source : calculs de l’auteur.</w:t>
      </w:r>
      <w:bookmarkEnd w:id="286"/>
    </w:p>
    <w:p>
      <w:pPr>
        <w:pStyle w:val="Heading2"/>
        <w:rPr/>
      </w:pPr>
      <w:bookmarkStart w:id="287" w:name="__RefHeading___Toc20183_1933410216"/>
      <w:bookmarkStart w:id="288" w:name="Xb3e285cc14b2fbc3f04dfc3a545449b954bfbe1"/>
      <w:bookmarkEnd w:id="287"/>
      <w:r>
        <w:rPr/>
        <w:t>Annexe C : Sensibilité à la graine aléatoire</w:t>
      </w:r>
    </w:p>
    <w:p>
      <w:pPr>
        <w:pStyle w:val="CaptionTable"/>
        <w:keepNext w:val="true"/>
        <w:spacing w:lineRule="auto" w:line="240" w:before="120" w:after="80"/>
        <w:jc w:val="left"/>
        <w:rPr/>
      </w:pPr>
      <w:bookmarkStart w:id="289" w:name="__RefHeading___Toc20199_1933410216"/>
      <w:bookmarkEnd w:id="289"/>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w:t>
            </w:r>
          </w:p>
        </w:tc>
      </w:tr>
    </w:tbl>
    <w:p>
      <w:pPr>
        <w:pStyle w:val="BodyText"/>
        <w:keepNext w:val="false"/>
        <w:spacing w:lineRule="auto" w:line="240" w:before="40" w:after="240"/>
        <w:jc w:val="left"/>
        <w:rPr/>
      </w:pPr>
      <w:bookmarkStart w:id="290" w:name="Xb3e285cc14b2fbc3f04dfc3a545449b954bfbe1"/>
      <w:r>
        <w:rPr>
          <w:i/>
          <w:iCs/>
          <w:sz w:val="20"/>
        </w:rPr>
        <w:t>Source : calculs de l’auteur.</w:t>
      </w:r>
      <w:bookmarkEnd w:id="290"/>
    </w:p>
    <w:p>
      <w:pPr>
        <w:pStyle w:val="Heading2"/>
        <w:rPr/>
      </w:pPr>
      <w:bookmarkStart w:id="291" w:name="__RefHeading___Toc20185_1933410216"/>
      <w:bookmarkStart w:id="292" w:name="Xd68da8618e318907bf0faf326720b285d49eebd"/>
      <w:bookmarkEnd w:id="291"/>
      <w:r>
        <w:rPr/>
        <w:t>Annexe D : Contrôle négatif : dépenses contre variables de bruit</w:t>
      </w:r>
    </w:p>
    <w:p>
      <w:pPr>
        <w:pStyle w:val="CaptionTable"/>
        <w:keepNext w:val="true"/>
        <w:spacing w:lineRule="auto" w:line="240" w:before="120" w:after="80"/>
        <w:jc w:val="left"/>
        <w:rPr/>
      </w:pPr>
      <w:bookmarkStart w:id="293" w:name="__RefHeading___Toc20197_1933410216"/>
      <w:bookmarkEnd w:id="293"/>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bl>
    <w:p>
      <w:pPr>
        <w:pStyle w:val="BodyText"/>
        <w:keepNext w:val="false"/>
        <w:spacing w:lineRule="auto" w:line="240" w:before="40" w:after="240"/>
        <w:jc w:val="left"/>
        <w:rPr/>
      </w:pPr>
      <w:bookmarkStart w:id="294" w:name="Xd68da8618e318907bf0faf326720b285d49eebd"/>
      <w:r>
        <w:rPr>
          <w:i/>
          <w:iCs/>
          <w:sz w:val="20"/>
        </w:rPr>
        <w:t>Source : calculs de l’auteur.</w:t>
      </w:r>
      <w:bookmarkEnd w:id="294"/>
    </w:p>
    <w:p>
      <w:pPr>
        <w:pStyle w:val="Heading2"/>
        <w:rPr/>
      </w:pPr>
      <w:bookmarkStart w:id="295" w:name="__RefHeading___Toc20187_1933410216"/>
      <w:bookmarkStart w:id="296" w:name="Xe4aa703dc8ae53bd5a3baef5b8de368c6e05d88"/>
      <w:bookmarkEnd w:id="295"/>
      <w:r>
        <w:rPr/>
        <w:t>Annexe E : Robustesse au décalage de publication</w:t>
      </w:r>
    </w:p>
    <w:p>
      <w:pPr>
        <w:pStyle w:val="CaptionTable"/>
        <w:keepNext w:val="true"/>
        <w:spacing w:lineRule="auto" w:line="240" w:before="120" w:after="80"/>
        <w:jc w:val="left"/>
        <w:rPr/>
      </w:pPr>
      <w:bookmarkStart w:id="297" w:name="__RefHeading___Toc20195_1933410216"/>
      <w:bookmarkEnd w:id="297"/>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bl>
    <w:p>
      <w:pPr>
        <w:pStyle w:val="BodyText"/>
        <w:keepNext w:val="false"/>
        <w:spacing w:lineRule="auto" w:line="240" w:before="40" w:after="240"/>
        <w:jc w:val="left"/>
        <w:rPr/>
      </w:pPr>
      <w:bookmarkStart w:id="298"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298"/>
    </w:p>
    <w:p>
      <w:pPr>
        <w:pStyle w:val="Heading2"/>
        <w:rPr/>
      </w:pPr>
      <w:bookmarkStart w:id="299" w:name="__RefHeading___Toc20189_1933410216"/>
      <w:bookmarkStart w:id="300" w:name="X37e530d88456264f60f695f24afad22539accd2"/>
      <w:bookmarkEnd w:id="299"/>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01" w:name="__RefHeading___Toc20193_1933410216"/>
      <w:bookmarkEnd w:id="301"/>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0,74</w:t>
            </w:r>
          </w:p>
        </w:tc>
      </w:tr>
    </w:tbl>
    <w:p>
      <w:pPr>
        <w:pStyle w:val="BodyText"/>
        <w:keepNext w:val="false"/>
        <w:spacing w:lineRule="auto" w:line="240" w:before="40" w:after="240"/>
        <w:jc w:val="left"/>
        <w:rPr/>
      </w:pPr>
      <w:bookmarkStart w:id="302" w:name="annexes"/>
      <w:bookmarkStart w:id="303" w:name="X37e530d88456264f60f695f24afad22539accd2"/>
      <w:r>
        <w:rPr>
          <w:i/>
          <w:iCs/>
          <w:sz w:val="20"/>
        </w:rPr>
        <w:t>Source : calculs de l’auteur ; dates : presse.economie.gouv.fr ; cours : Yahoo Finance. Le dernier test est unilatéral (rendement absolu plus élevé les jours de publication).</w:t>
      </w:r>
      <w:bookmarkEnd w:id="302"/>
      <w:bookmarkEnd w:id="303"/>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fr-FR"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fr-FR"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81</Pages>
  <Words>22821</Words>
  <Characters>112739</Characters>
  <CharactersWithSpaces>132283</CharactersWithSpaces>
  <Paragraphs>3161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2026-10-02T11:42:51Z</dcterms:created>
  <dc:creator>Abdellah Elyamine DALI BRAHAM</dc:creator>
  <dc:description/>
  <dc:language>fr-FR</dc:language>
  <cp:lastModifiedBy/>
  <dcterms:modified xsi:type="dcterms:W3CDTF">2026-10-02T11:44:22Z</dcterms:modified>
  <cp:revision>1</cp:revision>
  <dc:subject/>
  <dc:title>Prédiction d'indicateurs des marchés financiers à partir des données de dépenses publiques ouvertes : une approche par machine learning</dc:title>
</cp:coreProperties>
</file>

<file path=docProps/custom.xml><?xml version="1.0" encoding="utf-8"?>
<Properties xmlns="http://schemas.openxmlformats.org/officeDocument/2006/custom-properties" xmlns:vt="http://schemas.openxmlformats.org/officeDocument/2006/docPropsVTypes"/>
</file>