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436_811951298"/>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438_811951298"/>
      <w:bookmarkStart w:id="5" w:name="X91dc9b0f5454b3b5a155b33493a17585c3edac3"/>
      <w:bookmarkEnd w:id="4"/>
      <w:bookmarkEnd w:id="5"/>
      <w:r>
        <w:rPr/>
        <w:t>Déclaration d’utilisation de l’intelligence artificielle</w:t>
      </w:r>
    </w:p>
    <w:p>
      <w:pPr>
        <w:pStyle w:val="BlockText"/>
        <w:rPr/>
      </w:pPr>
      <w:r>
        <w:rPr>
          <w:b/>
          <w:bCs/>
        </w:rPr>
        <w:t>À vérifier par Elyamine avant la remise</w:t>
      </w:r>
      <w:r>
        <w:rPr/>
        <w:t xml:space="preserve"> : chaque phrase doit être exacte. Supprimer ou corriger ce qui ne correspond pas à ce que tu as réellement fait.</w:t>
      </w:r>
    </w:p>
    <w:p>
      <w:pPr>
        <w:pStyle w:val="FirstParagraph"/>
        <w:rPr/>
      </w:pPr>
      <w:r>
        <w:rPr/>
        <w:t>Conformément au guide de rédaction de l’ECE, je déclare avoir utilisé un outil d’intelligence artificielle générative, Claude (Anthropic), pendant ce travail.</w:t>
      </w:r>
    </w:p>
    <w:p>
      <w:pPr>
        <w:pStyle w:val="BodyText"/>
        <w:rPr/>
      </w:pPr>
      <w:r>
        <w:rPr>
          <w:b/>
          <w:bCs/>
        </w:rPr>
        <w:t>Usages.</w:t>
      </w:r>
      <w:r>
        <w:rPr/>
        <w:t xml:space="preserve"> L’outil a été utilisé pour : écrire et relire le code Python (collecte, construction des données, modèles, tests) ; réaliser des revues du code destinées à détecter les erreurs de méthode (fuites d’information, décalages de dates) ; rechercher des sources et vérifier les chiffres cités ; proposer des premières versions du texte à partir des résultats et de nos échanges ; corriger la langue.</w:t>
      </w:r>
    </w:p>
    <w:p>
      <w:pPr>
        <w:pStyle w:val="BodyText"/>
        <w:rPr/>
      </w:pPr>
      <w:r>
        <w:rPr>
          <w:b/>
          <w:bCs/>
        </w:rPr>
        <w:t>Ce qui relève de l’auteur.</w:t>
      </w:r>
      <w:r>
        <w:rPr/>
        <w:t xml:space="preserve"> Le choix du sujet et de la problématique, validés par l’école ; le choix du périmètre (France, données mensuelles) et des trois indicateurs étudiés ; les décisions de méthode, prises après discussion des options ; la règle suivie tout au long du travail : ne corriger une analyse qu’en cas d’erreur de méthode, jamais pour obtenir un meilleur résultat ; l’organisation d’une seconde revue indépendante du code et du texte ; la relecture critique et la réécriture du texte, en particulier des interprétations du chapitre 4.</w:t>
      </w:r>
    </w:p>
    <w:p>
      <w:pPr>
        <w:pStyle w:val="BodyText"/>
        <w:rPr/>
      </w:pPr>
      <w:r>
        <w:rPr>
          <w:b/>
          <w:bCs/>
        </w:rPr>
        <w:t>Contrôles.</w:t>
      </w:r>
      <w:r>
        <w:rPr/>
        <w:t xml:space="preserve"> Les chiffres du mémoire sont comparés automatiquement aux fichiers de résultats, et les affirmations sur les articles cités ont été vérifiées sur les textes originaux. Le code, les données et les résultats sont conservés dans le dépôt GitHub du projet (accessible sur demande), ce qui permet de tout vérifier.</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19440_811951298"/>
      <w:bookmarkStart w:id="9" w:name="résumé"/>
      <w:bookmarkEnd w:id="8"/>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Vingt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Des contrôles avec un signal fictif et avec des variables de bruit montrent que notre dispositif aurait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bookmarkEnd w:id="9"/>
    </w:p>
    <w:p>
      <w:pPr>
        <w:pStyle w:val="Heading1"/>
        <w:rPr/>
      </w:pPr>
      <w:bookmarkStart w:id="10" w:name="__RefHeading___Toc19442_811951298"/>
      <w:bookmarkStart w:id="11" w:name="abstract"/>
      <w:bookmarkEnd w:id="10"/>
      <w:bookmarkEnd w:id="11"/>
      <w:r>
        <w:rPr/>
        <w:t>Abstract</w:t>
      </w:r>
    </w:p>
    <w:p>
      <w:pPr>
        <w:pStyle w:val="FirstParagraph"/>
        <w:rPr/>
      </w:pPr>
      <w:r>
        <w:rPr/>
        <w:t>This thesis asks whether open public spending data can forecast financial markets. Using the French State’s monthly budget execution data (2013-2026), lagged by their two-month publication delay, we forecast three indicators one month ahead: the change in the 10-year OAT–Bund spread, the change in the 10-year OAT yield, and the CAC 40 return. We compare a model with market and macroeconomic variables only to a model that adds spending, using Ridge regression, random forests and XGBoost, walk-forward validation and Diebold-Mariano tests, plus twenty extensions including a five-country European panel. We find no evidence that spending improves forecasts: none of 168 comparisons is significant after multiple-testing correction. No model beats the historical mean, and for yields a no-change forecast beats all models. Positive and negative (noise) controls show that a strong effect would have been detected, but a weak one might not. We also show that a very high R² on the spread level, as reported in recent studies, is not sufficient: the models lose to a simple random walk.</w:t>
      </w:r>
    </w:p>
    <w:p>
      <w:pPr>
        <w:pStyle w:val="BodyText"/>
        <w:rPr/>
      </w:pPr>
      <w:r>
        <w:rPr>
          <w:b/>
          <w:bCs/>
        </w:rPr>
        <w:t>Keywords:</w:t>
      </w:r>
      <w:r>
        <w:rPr/>
        <w:t xml:space="preserve"> public spending, open data, sovereign spread, forecasting, machine learning, walk-forward validation, market efficiency.</w:t>
      </w:r>
    </w:p>
    <w:p>
      <w:pPr>
        <w:pStyle w:val="Normal"/>
        <w:rPr/>
      </w:pPr>
      <w:r>
        <w:rPr/>
      </w:r>
      <w:bookmarkStart w:id="12" w:name="abstract"/>
      <w:bookmarkStart w:id="13" w:name="abstract"/>
      <w:bookmarkEnd w:id="13"/>
      <w:r>
        <w:br w:type="page"/>
      </w:r>
    </w:p>
    <w:p>
      <w:pPr>
        <w:pStyle w:val="Heading1"/>
        <w:spacing w:before="0" w:after="240"/>
        <w:rPr/>
      </w:pPr>
      <w:bookmarkStart w:id="14" w:name="__RefHeading___Toc19444_811951298"/>
      <w:bookmarkStart w:id="15" w:name="sommaire"/>
      <w:bookmarkEnd w:id="14"/>
      <w:bookmarkEnd w:id="15"/>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436_811951298">
            <w:r>
              <w:rPr>
                <w:webHidden/>
                <w:rStyle w:val="IndexLink"/>
              </w:rPr>
              <w:t>Remerciements</w:t>
              <w:tab/>
              <w:t>2</w:t>
            </w:r>
          </w:hyperlink>
        </w:p>
        <w:p>
          <w:pPr>
            <w:pStyle w:val="TOC1"/>
            <w:tabs>
              <w:tab w:val="clear" w:pos="9026"/>
              <w:tab w:val="right" w:pos="9025" w:leader="dot"/>
            </w:tabs>
            <w:rPr/>
          </w:pPr>
          <w:hyperlink w:anchor="__RefHeading___Toc19438_811951298">
            <w:r>
              <w:rPr>
                <w:webHidden/>
                <w:rStyle w:val="IndexLink"/>
              </w:rPr>
              <w:t>Déclaration d’utilisation de l’intelligence artificielle</w:t>
              <w:tab/>
              <w:t>3</w:t>
            </w:r>
          </w:hyperlink>
        </w:p>
        <w:p>
          <w:pPr>
            <w:pStyle w:val="TOC1"/>
            <w:tabs>
              <w:tab w:val="clear" w:pos="9026"/>
              <w:tab w:val="right" w:pos="9025" w:leader="dot"/>
            </w:tabs>
            <w:rPr/>
          </w:pPr>
          <w:hyperlink w:anchor="__RefHeading___Toc19440_811951298">
            <w:r>
              <w:rPr>
                <w:webHidden/>
                <w:rStyle w:val="IndexLink"/>
              </w:rPr>
              <w:t>Résumé</w:t>
              <w:tab/>
              <w:t>4</w:t>
            </w:r>
          </w:hyperlink>
        </w:p>
        <w:p>
          <w:pPr>
            <w:pStyle w:val="TOC1"/>
            <w:tabs>
              <w:tab w:val="clear" w:pos="9026"/>
              <w:tab w:val="right" w:pos="9025" w:leader="dot"/>
            </w:tabs>
            <w:rPr/>
          </w:pPr>
          <w:hyperlink w:anchor="__RefHeading___Toc19442_811951298">
            <w:r>
              <w:rPr>
                <w:webHidden/>
                <w:rStyle w:val="IndexLink"/>
              </w:rPr>
              <w:t>Abstract</w:t>
              <w:tab/>
              <w:t>4</w:t>
            </w:r>
          </w:hyperlink>
        </w:p>
        <w:p>
          <w:pPr>
            <w:pStyle w:val="TOC1"/>
            <w:tabs>
              <w:tab w:val="clear" w:pos="9026"/>
              <w:tab w:val="right" w:pos="9025" w:leader="dot"/>
            </w:tabs>
            <w:rPr/>
          </w:pPr>
          <w:hyperlink w:anchor="__RefHeading___Toc19444_811951298">
            <w:r>
              <w:rPr>
                <w:webHidden/>
                <w:rStyle w:val="IndexLink"/>
              </w:rPr>
              <w:t>Sommaire</w:t>
              <w:tab/>
              <w:t>6</w:t>
            </w:r>
          </w:hyperlink>
        </w:p>
        <w:p>
          <w:pPr>
            <w:pStyle w:val="TOC1"/>
            <w:tabs>
              <w:tab w:val="clear" w:pos="9026"/>
              <w:tab w:val="right" w:pos="9025" w:leader="dot"/>
            </w:tabs>
            <w:rPr/>
          </w:pPr>
          <w:hyperlink w:anchor="__RefHeading___Toc19446_811951298">
            <w:r>
              <w:rPr>
                <w:webHidden/>
                <w:rStyle w:val="IndexLink"/>
              </w:rPr>
              <w:t>Liste des tableaux</w:t>
              <w:tab/>
              <w:t>9</w:t>
            </w:r>
          </w:hyperlink>
        </w:p>
        <w:p>
          <w:pPr>
            <w:pStyle w:val="TOC1"/>
            <w:tabs>
              <w:tab w:val="clear" w:pos="9026"/>
              <w:tab w:val="right" w:pos="9025" w:leader="dot"/>
            </w:tabs>
            <w:rPr/>
          </w:pPr>
          <w:hyperlink w:anchor="__RefHeading___Toc19448_811951298">
            <w:r>
              <w:rPr>
                <w:webHidden/>
                <w:rStyle w:val="IndexLink"/>
              </w:rPr>
              <w:t>Liste des figures</w:t>
              <w:tab/>
              <w:t>10</w:t>
            </w:r>
          </w:hyperlink>
        </w:p>
        <w:p>
          <w:pPr>
            <w:pStyle w:val="TOC1"/>
            <w:tabs>
              <w:tab w:val="clear" w:pos="9026"/>
              <w:tab w:val="right" w:pos="9025" w:leader="dot"/>
            </w:tabs>
            <w:rPr/>
          </w:pPr>
          <w:hyperlink w:anchor="__RefHeading___Toc19450_811951298">
            <w:r>
              <w:rPr>
                <w:webHidden/>
                <w:rStyle w:val="IndexLink"/>
              </w:rPr>
              <w:t>Liste des abréviations</w:t>
              <w:tab/>
              <w:t>11</w:t>
            </w:r>
          </w:hyperlink>
        </w:p>
        <w:p>
          <w:pPr>
            <w:pStyle w:val="TOC1"/>
            <w:tabs>
              <w:tab w:val="clear" w:pos="9026"/>
              <w:tab w:val="right" w:pos="9025" w:leader="dot"/>
            </w:tabs>
            <w:rPr/>
          </w:pPr>
          <w:hyperlink w:anchor="__RefHeading___Toc19452_811951298">
            <w:r>
              <w:rPr>
                <w:webHidden/>
                <w:rStyle w:val="IndexLink"/>
              </w:rPr>
              <w:t>Glossaire</w:t>
              <w:tab/>
              <w:t>11</w:t>
            </w:r>
          </w:hyperlink>
        </w:p>
        <w:p>
          <w:pPr>
            <w:pStyle w:val="TOC1"/>
            <w:tabs>
              <w:tab w:val="clear" w:pos="9026"/>
              <w:tab w:val="right" w:pos="9025" w:leader="dot"/>
            </w:tabs>
            <w:rPr/>
          </w:pPr>
          <w:hyperlink w:anchor="__RefHeading___Toc19454_811951298">
            <w:r>
              <w:rPr>
                <w:webHidden/>
                <w:rStyle w:val="IndexLink"/>
              </w:rPr>
              <w:t>Introduction générale</w:t>
              <w:tab/>
              <w:t>13</w:t>
            </w:r>
          </w:hyperlink>
        </w:p>
        <w:p>
          <w:pPr>
            <w:pStyle w:val="TOC2"/>
            <w:tabs>
              <w:tab w:val="clear" w:pos="8743"/>
              <w:tab w:val="right" w:pos="9025" w:leader="dot"/>
            </w:tabs>
            <w:rPr/>
          </w:pPr>
          <w:hyperlink w:anchor="__RefHeading___Toc19456_811951298">
            <w:r>
              <w:rPr>
                <w:webHidden/>
                <w:rStyle w:val="IndexLink"/>
              </w:rPr>
              <w:t>Contexte</w:t>
              <w:tab/>
              <w:t>13</w:t>
            </w:r>
          </w:hyperlink>
        </w:p>
        <w:p>
          <w:pPr>
            <w:pStyle w:val="TOC2"/>
            <w:tabs>
              <w:tab w:val="clear" w:pos="8743"/>
              <w:tab w:val="right" w:pos="9025" w:leader="dot"/>
            </w:tabs>
            <w:rPr/>
          </w:pPr>
          <w:hyperlink w:anchor="__RefHeading___Toc19458_811951298">
            <w:r>
              <w:rPr>
                <w:webHidden/>
                <w:rStyle w:val="IndexLink"/>
              </w:rPr>
              <w:t>Problématique</w:t>
              <w:tab/>
              <w:t>13</w:t>
            </w:r>
          </w:hyperlink>
        </w:p>
        <w:p>
          <w:pPr>
            <w:pStyle w:val="TOC2"/>
            <w:tabs>
              <w:tab w:val="clear" w:pos="8743"/>
              <w:tab w:val="right" w:pos="9025" w:leader="dot"/>
            </w:tabs>
            <w:rPr/>
          </w:pPr>
          <w:hyperlink w:anchor="__RefHeading___Toc19460_811951298">
            <w:r>
              <w:rPr>
                <w:webHidden/>
                <w:rStyle w:val="IndexLink"/>
              </w:rPr>
              <w:t>Objectif et démarche</w:t>
              <w:tab/>
              <w:t>14</w:t>
            </w:r>
          </w:hyperlink>
        </w:p>
        <w:p>
          <w:pPr>
            <w:pStyle w:val="TOC2"/>
            <w:tabs>
              <w:tab w:val="clear" w:pos="8743"/>
              <w:tab w:val="right" w:pos="9025" w:leader="dot"/>
            </w:tabs>
            <w:rPr/>
          </w:pPr>
          <w:hyperlink w:anchor="__RefHeading___Toc19462_811951298">
            <w:r>
              <w:rPr>
                <w:webHidden/>
                <w:rStyle w:val="IndexLink"/>
              </w:rPr>
              <w:t>Apports</w:t>
              <w:tab/>
              <w:t>14</w:t>
            </w:r>
          </w:hyperlink>
        </w:p>
        <w:p>
          <w:pPr>
            <w:pStyle w:val="TOC2"/>
            <w:tabs>
              <w:tab w:val="clear" w:pos="8743"/>
              <w:tab w:val="right" w:pos="9025" w:leader="dot"/>
            </w:tabs>
            <w:rPr/>
          </w:pPr>
          <w:hyperlink w:anchor="__RefHeading___Toc19464_811951298">
            <w:r>
              <w:rPr>
                <w:webHidden/>
                <w:rStyle w:val="IndexLink"/>
              </w:rPr>
              <w:t>Plan du mémoire</w:t>
              <w:tab/>
              <w:t>15</w:t>
            </w:r>
          </w:hyperlink>
        </w:p>
        <w:p>
          <w:pPr>
            <w:pStyle w:val="TOC1"/>
            <w:tabs>
              <w:tab w:val="clear" w:pos="9026"/>
              <w:tab w:val="right" w:pos="9025" w:leader="dot"/>
            </w:tabs>
            <w:rPr/>
          </w:pPr>
          <w:hyperlink w:anchor="__RefHeading___Toc19466_811951298">
            <w:r>
              <w:rPr>
                <w:webHidden/>
                <w:rStyle w:val="IndexLink"/>
              </w:rPr>
              <w:t>Chapitre 1 – État de l’art</w:t>
              <w:tab/>
              <w:t>16</w:t>
            </w:r>
          </w:hyperlink>
        </w:p>
        <w:p>
          <w:pPr>
            <w:pStyle w:val="TOC2"/>
            <w:tabs>
              <w:tab w:val="clear" w:pos="8743"/>
              <w:tab w:val="right" w:pos="9025" w:leader="dot"/>
            </w:tabs>
            <w:rPr/>
          </w:pPr>
          <w:hyperlink w:anchor="__RefHeading___Toc19468_811951298">
            <w:r>
              <w:rPr>
                <w:webHidden/>
                <w:rStyle w:val="IndexLink"/>
              </w:rPr>
              <w:t>Introduction du chapitre</w:t>
              <w:tab/>
              <w:t>16</w:t>
            </w:r>
          </w:hyperlink>
        </w:p>
        <w:p>
          <w:pPr>
            <w:pStyle w:val="TOC2"/>
            <w:tabs>
              <w:tab w:val="clear" w:pos="8743"/>
              <w:tab w:val="right" w:pos="9025" w:leader="dot"/>
            </w:tabs>
            <w:rPr/>
          </w:pPr>
          <w:hyperlink w:anchor="__RefHeading___Toc19470_811951298">
            <w:r>
              <w:rPr>
                <w:webHidden/>
                <w:rStyle w:val="IndexLink"/>
              </w:rPr>
              <w:t>1.1 Cadre théorique : ce que l’on peut attendre</w:t>
              <w:tab/>
              <w:t>17</w:t>
            </w:r>
          </w:hyperlink>
        </w:p>
        <w:p>
          <w:pPr>
            <w:pStyle w:val="TOC2"/>
            <w:tabs>
              <w:tab w:val="clear" w:pos="8743"/>
              <w:tab w:val="right" w:pos="9025" w:leader="dot"/>
            </w:tabs>
            <w:rPr/>
          </w:pPr>
          <w:hyperlink w:anchor="__RefHeading___Toc19472_811951298">
            <w:r>
              <w:rPr>
                <w:webHidden/>
                <w:rStyle w:val="IndexLink"/>
              </w:rPr>
              <w:t>1.2 Finances publiques et spreads souverains en zone euro</w:t>
              <w:tab/>
              <w:t>18</w:t>
            </w:r>
          </w:hyperlink>
        </w:p>
        <w:p>
          <w:pPr>
            <w:pStyle w:val="TOC2"/>
            <w:tabs>
              <w:tab w:val="clear" w:pos="8743"/>
              <w:tab w:val="right" w:pos="9025" w:leader="dot"/>
            </w:tabs>
            <w:rPr/>
          </w:pPr>
          <w:hyperlink w:anchor="__RefHeading___Toc19474_811951298">
            <w:r>
              <w:rPr>
                <w:webHidden/>
                <w:rStyle w:val="IndexLink"/>
              </w:rPr>
              <w:t>1.3 Machine learning et prévision des spreads</w:t>
              <w:tab/>
              <w:t>21</w:t>
            </w:r>
          </w:hyperlink>
        </w:p>
        <w:p>
          <w:pPr>
            <w:pStyle w:val="TOC2"/>
            <w:tabs>
              <w:tab w:val="clear" w:pos="8743"/>
              <w:tab w:val="right" w:pos="9025" w:leader="dot"/>
            </w:tabs>
            <w:rPr/>
          </w:pPr>
          <w:hyperlink w:anchor="__RefHeading___Toc19476_811951298">
            <w:r>
              <w:rPr>
                <w:webHidden/>
                <w:rStyle w:val="IndexLink"/>
              </w:rPr>
              <w:t>1.4 Données ouvertes et précautions de méthode</w:t>
              <w:tab/>
              <w:t>23</w:t>
            </w:r>
          </w:hyperlink>
        </w:p>
        <w:p>
          <w:pPr>
            <w:pStyle w:val="TOC2"/>
            <w:tabs>
              <w:tab w:val="clear" w:pos="8743"/>
              <w:tab w:val="right" w:pos="9025" w:leader="dot"/>
            </w:tabs>
            <w:rPr/>
          </w:pPr>
          <w:hyperlink w:anchor="__RefHeading___Toc19478_811951298">
            <w:r>
              <w:rPr>
                <w:webHidden/>
                <w:rStyle w:val="IndexLink"/>
              </w:rPr>
              <w:t>1.5 Synthèse et positionnement du mémoire</w:t>
              <w:tab/>
              <w:t>25</w:t>
            </w:r>
          </w:hyperlink>
        </w:p>
        <w:p>
          <w:pPr>
            <w:pStyle w:val="TOC1"/>
            <w:tabs>
              <w:tab w:val="clear" w:pos="9026"/>
              <w:tab w:val="right" w:pos="9025" w:leader="dot"/>
            </w:tabs>
            <w:rPr/>
          </w:pPr>
          <w:hyperlink w:anchor="__RefHeading___Toc19480_811951298">
            <w:r>
              <w:rPr>
                <w:webHidden/>
                <w:rStyle w:val="IndexLink"/>
              </w:rPr>
              <w:t>Chapitre 2 – Données et méthodologie</w:t>
              <w:tab/>
              <w:t>29</w:t>
            </w:r>
          </w:hyperlink>
        </w:p>
        <w:p>
          <w:pPr>
            <w:pStyle w:val="TOC2"/>
            <w:tabs>
              <w:tab w:val="clear" w:pos="8743"/>
              <w:tab w:val="right" w:pos="9025" w:leader="dot"/>
            </w:tabs>
            <w:rPr/>
          </w:pPr>
          <w:hyperlink w:anchor="__RefHeading___Toc19482_811951298">
            <w:r>
              <w:rPr>
                <w:webHidden/>
                <w:rStyle w:val="IndexLink"/>
              </w:rPr>
              <w:t>Introduction du chapitre</w:t>
              <w:tab/>
              <w:t>29</w:t>
            </w:r>
          </w:hyperlink>
        </w:p>
        <w:p>
          <w:pPr>
            <w:pStyle w:val="TOC2"/>
            <w:tabs>
              <w:tab w:val="clear" w:pos="8743"/>
              <w:tab w:val="right" w:pos="9025" w:leader="dot"/>
            </w:tabs>
            <w:rPr/>
          </w:pPr>
          <w:hyperlink w:anchor="__RefHeading___Toc19484_811951298">
            <w:r>
              <w:rPr>
                <w:webHidden/>
                <w:rStyle w:val="IndexLink"/>
              </w:rPr>
              <w:t>2.1 Sources des données</w:t>
              <w:tab/>
              <w:t>29</w:t>
            </w:r>
          </w:hyperlink>
        </w:p>
        <w:p>
          <w:pPr>
            <w:pStyle w:val="TOC2"/>
            <w:tabs>
              <w:tab w:val="clear" w:pos="8743"/>
              <w:tab w:val="right" w:pos="9025" w:leader="dot"/>
            </w:tabs>
            <w:rPr/>
          </w:pPr>
          <w:hyperlink w:anchor="__RefHeading___Toc19486_811951298">
            <w:r>
              <w:rPr>
                <w:webHidden/>
                <w:rStyle w:val="IndexLink"/>
              </w:rPr>
              <w:t>2.2 Construction du jeu de données</w:t>
              <w:tab/>
              <w:t>30</w:t>
            </w:r>
          </w:hyperlink>
        </w:p>
        <w:p>
          <w:pPr>
            <w:pStyle w:val="TOC2"/>
            <w:tabs>
              <w:tab w:val="clear" w:pos="8743"/>
              <w:tab w:val="right" w:pos="9025" w:leader="dot"/>
            </w:tabs>
            <w:rPr/>
          </w:pPr>
          <w:hyperlink w:anchor="__RefHeading___Toc19488_811951298">
            <w:r>
              <w:rPr>
                <w:webHidden/>
                <w:rStyle w:val="IndexLink"/>
              </w:rPr>
              <w:t>2.3 Variables cibles et stationnarité</w:t>
              <w:tab/>
              <w:t>33</w:t>
            </w:r>
          </w:hyperlink>
        </w:p>
        <w:p>
          <w:pPr>
            <w:pStyle w:val="TOC2"/>
            <w:tabs>
              <w:tab w:val="clear" w:pos="8743"/>
              <w:tab w:val="right" w:pos="9025" w:leader="dot"/>
            </w:tabs>
            <w:rPr/>
          </w:pPr>
          <w:hyperlink w:anchor="__RefHeading___Toc19490_811951298">
            <w:r>
              <w:rPr>
                <w:webHidden/>
                <w:rStyle w:val="IndexLink"/>
              </w:rPr>
              <w:t>2.4 Variables explicatives</w:t>
              <w:tab/>
              <w:t>34</w:t>
            </w:r>
          </w:hyperlink>
        </w:p>
        <w:p>
          <w:pPr>
            <w:pStyle w:val="TOC2"/>
            <w:tabs>
              <w:tab w:val="clear" w:pos="8743"/>
              <w:tab w:val="right" w:pos="9025" w:leader="dot"/>
            </w:tabs>
            <w:rPr/>
          </w:pPr>
          <w:hyperlink w:anchor="__RefHeading___Toc19492_811951298">
            <w:r>
              <w:rPr>
                <w:webHidden/>
                <w:rStyle w:val="IndexLink"/>
              </w:rPr>
              <w:t>2.5 Modèles retenus</w:t>
              <w:tab/>
              <w:t>36</w:t>
            </w:r>
          </w:hyperlink>
        </w:p>
        <w:p>
          <w:pPr>
            <w:pStyle w:val="TOC2"/>
            <w:tabs>
              <w:tab w:val="clear" w:pos="8743"/>
              <w:tab w:val="right" w:pos="9025" w:leader="dot"/>
            </w:tabs>
            <w:rPr/>
          </w:pPr>
          <w:hyperlink w:anchor="__RefHeading___Toc19494_811951298">
            <w:r>
              <w:rPr>
                <w:webHidden/>
                <w:rStyle w:val="IndexLink"/>
              </w:rPr>
              <w:t>2.6 Protocole d’évaluation</w:t>
              <w:tab/>
              <w:t>37</w:t>
            </w:r>
          </w:hyperlink>
        </w:p>
        <w:p>
          <w:pPr>
            <w:pStyle w:val="TOC2"/>
            <w:tabs>
              <w:tab w:val="clear" w:pos="8743"/>
              <w:tab w:val="right" w:pos="9025" w:leader="dot"/>
            </w:tabs>
            <w:rPr/>
          </w:pPr>
          <w:hyperlink w:anchor="__RefHeading___Toc19496_811951298">
            <w:r>
              <w:rPr>
                <w:webHidden/>
                <w:rStyle w:val="IndexLink"/>
              </w:rPr>
              <w:t>2.7 Extensions pré-enregistrées et correction des tests multiples</w:t>
              <w:tab/>
              <w:t>39</w:t>
            </w:r>
          </w:hyperlink>
        </w:p>
        <w:p>
          <w:pPr>
            <w:pStyle w:val="TOC2"/>
            <w:tabs>
              <w:tab w:val="clear" w:pos="8743"/>
              <w:tab w:val="right" w:pos="9025" w:leader="dot"/>
            </w:tabs>
            <w:rPr/>
          </w:pPr>
          <w:hyperlink w:anchor="__RefHeading___Toc19498_811951298">
            <w:r>
              <w:rPr>
                <w:webHidden/>
                <w:rStyle w:val="IndexLink"/>
              </w:rPr>
              <w:t>2.8 Considérations éthiques</w:t>
              <w:tab/>
              <w:t>41</w:t>
            </w:r>
          </w:hyperlink>
        </w:p>
        <w:p>
          <w:pPr>
            <w:pStyle w:val="TOC1"/>
            <w:tabs>
              <w:tab w:val="clear" w:pos="9026"/>
              <w:tab w:val="right" w:pos="9025" w:leader="dot"/>
            </w:tabs>
            <w:rPr/>
          </w:pPr>
          <w:hyperlink w:anchor="__RefHeading___Toc19500_811951298">
            <w:r>
              <w:rPr>
                <w:webHidden/>
                <w:rStyle w:val="IndexLink"/>
              </w:rPr>
              <w:t>Chapitre 3 – Résultats</w:t>
              <w:tab/>
              <w:t>43</w:t>
            </w:r>
          </w:hyperlink>
        </w:p>
        <w:p>
          <w:pPr>
            <w:pStyle w:val="TOC2"/>
            <w:tabs>
              <w:tab w:val="clear" w:pos="8743"/>
              <w:tab w:val="right" w:pos="9025" w:leader="dot"/>
            </w:tabs>
            <w:rPr/>
          </w:pPr>
          <w:hyperlink w:anchor="__RefHeading___Toc19502_811951298">
            <w:r>
              <w:rPr>
                <w:webHidden/>
                <w:rStyle w:val="IndexLink"/>
              </w:rPr>
              <w:t>3.1 Statistiques descriptives</w:t>
              <w:tab/>
              <w:t>43</w:t>
            </w:r>
          </w:hyperlink>
        </w:p>
        <w:p>
          <w:pPr>
            <w:pStyle w:val="TOC2"/>
            <w:tabs>
              <w:tab w:val="clear" w:pos="8743"/>
              <w:tab w:val="right" w:pos="9025" w:leader="dot"/>
            </w:tabs>
            <w:rPr/>
          </w:pPr>
          <w:hyperlink w:anchor="__RefHeading___Toc19504_811951298">
            <w:r>
              <w:rPr>
                <w:webHidden/>
                <w:rStyle w:val="IndexLink"/>
              </w:rPr>
              <w:t>3.2 Modèles principaux</w:t>
              <w:tab/>
              <w:t>44</w:t>
            </w:r>
          </w:hyperlink>
        </w:p>
        <w:p>
          <w:pPr>
            <w:pStyle w:val="TOC2"/>
            <w:tabs>
              <w:tab w:val="clear" w:pos="8743"/>
              <w:tab w:val="right" w:pos="9025" w:leader="dot"/>
            </w:tabs>
            <w:rPr/>
          </w:pPr>
          <w:hyperlink w:anchor="__RefHeading___Toc19506_811951298">
            <w:r>
              <w:rPr>
                <w:webHidden/>
                <w:rStyle w:val="IndexLink"/>
              </w:rPr>
              <w:t>3.3 Solidité des résultats</w:t>
              <w:tab/>
              <w:t>46</w:t>
            </w:r>
          </w:hyperlink>
        </w:p>
        <w:p>
          <w:pPr>
            <w:pStyle w:val="TOC2"/>
            <w:tabs>
              <w:tab w:val="clear" w:pos="8743"/>
              <w:tab w:val="right" w:pos="9025" w:leader="dot"/>
            </w:tabs>
            <w:rPr/>
          </w:pPr>
          <w:hyperlink w:anchor="__RefHeading___Toc19508_811951298">
            <w:r>
              <w:rPr>
                <w:webHidden/>
                <w:rStyle w:val="IndexLink"/>
              </w:rPr>
              <w:t>3.4 Importance des variables</w:t>
              <w:tab/>
              <w:t>47</w:t>
            </w:r>
          </w:hyperlink>
        </w:p>
        <w:p>
          <w:pPr>
            <w:pStyle w:val="TOC2"/>
            <w:tabs>
              <w:tab w:val="clear" w:pos="8743"/>
              <w:tab w:val="right" w:pos="9025" w:leader="dot"/>
            </w:tabs>
            <w:rPr/>
          </w:pPr>
          <w:hyperlink w:anchor="__RefHeading___Toc19510_811951298">
            <w:r>
              <w:rPr>
                <w:webHidden/>
                <w:rStyle w:val="IndexLink"/>
              </w:rPr>
              <w:t>3.5 Extensions sur les données françaises (E1 à E13)</w:t>
              <w:tab/>
              <w:t>48</w:t>
            </w:r>
          </w:hyperlink>
        </w:p>
        <w:p>
          <w:pPr>
            <w:pStyle w:val="TOC2"/>
            <w:tabs>
              <w:tab w:val="clear" w:pos="8743"/>
              <w:tab w:val="right" w:pos="9025" w:leader="dot"/>
            </w:tabs>
            <w:rPr/>
          </w:pPr>
          <w:hyperlink w:anchor="__RefHeading___Toc19512_811951298">
            <w:r>
              <w:rPr>
                <w:webHidden/>
                <w:rStyle w:val="IndexLink"/>
              </w:rPr>
              <w:t>3.6 Panel européen et marche aléatoire (E15 à E18)</w:t>
              <w:tab/>
              <w:t>50</w:t>
            </w:r>
          </w:hyperlink>
        </w:p>
        <w:p>
          <w:pPr>
            <w:pStyle w:val="TOC2"/>
            <w:tabs>
              <w:tab w:val="clear" w:pos="8743"/>
              <w:tab w:val="right" w:pos="9025" w:leader="dot"/>
            </w:tabs>
            <w:rPr/>
          </w:pPr>
          <w:hyperlink w:anchor="__RefHeading___Toc19514_811951298">
            <w:r>
              <w:rPr>
                <w:webHidden/>
                <w:rStyle w:val="IndexLink"/>
              </w:rPr>
              <w:t>3.7 Synthèse : état des hypothèses</w:t>
              <w:tab/>
              <w:t>51</w:t>
            </w:r>
          </w:hyperlink>
        </w:p>
        <w:p>
          <w:pPr>
            <w:pStyle w:val="TOC1"/>
            <w:tabs>
              <w:tab w:val="clear" w:pos="9026"/>
              <w:tab w:val="right" w:pos="9025" w:leader="dot"/>
            </w:tabs>
            <w:rPr/>
          </w:pPr>
          <w:hyperlink w:anchor="__RefHeading___Toc19516_811951298">
            <w:r>
              <w:rPr>
                <w:webHidden/>
                <w:rStyle w:val="IndexLink"/>
              </w:rPr>
              <w:t>Chapitre 4 – Discussion</w:t>
              <w:tab/>
              <w:t>53</w:t>
            </w:r>
          </w:hyperlink>
        </w:p>
        <w:p>
          <w:pPr>
            <w:pStyle w:val="TOC2"/>
            <w:tabs>
              <w:tab w:val="clear" w:pos="8743"/>
              <w:tab w:val="right" w:pos="9025" w:leader="dot"/>
            </w:tabs>
            <w:rPr/>
          </w:pPr>
          <w:hyperlink w:anchor="__RefHeading___Toc19518_811951298">
            <w:r>
              <w:rPr>
                <w:webHidden/>
                <w:rStyle w:val="IndexLink"/>
              </w:rPr>
              <w:t>4.1 Réponse à la problématique</w:t>
              <w:tab/>
              <w:t>53</w:t>
            </w:r>
          </w:hyperlink>
        </w:p>
        <w:p>
          <w:pPr>
            <w:pStyle w:val="TOC2"/>
            <w:tabs>
              <w:tab w:val="clear" w:pos="8743"/>
              <w:tab w:val="right" w:pos="9025" w:leader="dot"/>
            </w:tabs>
            <w:rPr/>
          </w:pPr>
          <w:hyperlink w:anchor="__RefHeading___Toc19520_811951298">
            <w:r>
              <w:rPr>
                <w:webHidden/>
                <w:rStyle w:val="IndexLink"/>
              </w:rPr>
              <w:t>4.2 Pourquoi les dépenses n’aident pas : trois explications</w:t>
              <w:tab/>
              <w:t>53</w:t>
            </w:r>
          </w:hyperlink>
        </w:p>
        <w:p>
          <w:pPr>
            <w:pStyle w:val="TOC2"/>
            <w:tabs>
              <w:tab w:val="clear" w:pos="8743"/>
              <w:tab w:val="right" w:pos="9025" w:leader="dot"/>
            </w:tabs>
            <w:rPr/>
          </w:pPr>
          <w:hyperlink w:anchor="__RefHeading___Toc19522_811951298">
            <w:r>
              <w:rPr>
                <w:webHidden/>
                <w:rStyle w:val="IndexLink"/>
              </w:rPr>
              <w:t>4.3 Ce que le résultat négatif veut dire, et ce qu’il ne veut pas dire</w:t>
              <w:tab/>
              <w:t>55</w:t>
            </w:r>
          </w:hyperlink>
        </w:p>
        <w:p>
          <w:pPr>
            <w:pStyle w:val="TOC2"/>
            <w:tabs>
              <w:tab w:val="clear" w:pos="8743"/>
              <w:tab w:val="right" w:pos="9025" w:leader="dot"/>
            </w:tabs>
            <w:rPr/>
          </w:pPr>
          <w:hyperlink w:anchor="__RefHeading___Toc19524_811951298">
            <w:r>
              <w:rPr>
                <w:webHidden/>
                <w:rStyle w:val="IndexLink"/>
              </w:rPr>
              <w:t>4.4 Comparaison avec la littérature</w:t>
              <w:tab/>
              <w:t>57</w:t>
            </w:r>
          </w:hyperlink>
        </w:p>
        <w:p>
          <w:pPr>
            <w:pStyle w:val="TOC2"/>
            <w:tabs>
              <w:tab w:val="clear" w:pos="8743"/>
              <w:tab w:val="right" w:pos="9025" w:leader="dot"/>
            </w:tabs>
            <w:rPr/>
          </w:pPr>
          <w:hyperlink w:anchor="__RefHeading___Toc19526_811951298">
            <w:r>
              <w:rPr>
                <w:webHidden/>
                <w:rStyle w:val="IndexLink"/>
              </w:rPr>
              <w:t>4.5 Limites</w:t>
              <w:tab/>
              <w:t>59</w:t>
            </w:r>
          </w:hyperlink>
        </w:p>
        <w:p>
          <w:pPr>
            <w:pStyle w:val="TOC2"/>
            <w:tabs>
              <w:tab w:val="clear" w:pos="8743"/>
              <w:tab w:val="right" w:pos="9025" w:leader="dot"/>
            </w:tabs>
            <w:rPr/>
          </w:pPr>
          <w:hyperlink w:anchor="__RefHeading___Toc19528_811951298">
            <w:r>
              <w:rPr>
                <w:webHidden/>
                <w:rStyle w:val="IndexLink"/>
              </w:rPr>
              <w:t>4.6 Recherches futures</w:t>
              <w:tab/>
              <w:t>60</w:t>
            </w:r>
          </w:hyperlink>
        </w:p>
        <w:p>
          <w:pPr>
            <w:pStyle w:val="TOC1"/>
            <w:tabs>
              <w:tab w:val="clear" w:pos="9026"/>
              <w:tab w:val="right" w:pos="9025" w:leader="dot"/>
            </w:tabs>
            <w:rPr/>
          </w:pPr>
          <w:hyperlink w:anchor="__RefHeading___Toc19530_811951298">
            <w:r>
              <w:rPr>
                <w:webHidden/>
                <w:rStyle w:val="IndexLink"/>
              </w:rPr>
              <w:t>Conclusion générale</w:t>
              <w:tab/>
              <w:t>62</w:t>
            </w:r>
          </w:hyperlink>
        </w:p>
        <w:p>
          <w:pPr>
            <w:pStyle w:val="TOC2"/>
            <w:tabs>
              <w:tab w:val="clear" w:pos="8743"/>
              <w:tab w:val="right" w:pos="9025" w:leader="dot"/>
            </w:tabs>
            <w:rPr/>
          </w:pPr>
          <w:hyperlink w:anchor="__RefHeading___Toc19532_811951298">
            <w:r>
              <w:rPr>
                <w:webHidden/>
                <w:rStyle w:val="IndexLink"/>
              </w:rPr>
              <w:t>Principaux résultats</w:t>
              <w:tab/>
              <w:t>62</w:t>
            </w:r>
          </w:hyperlink>
        </w:p>
        <w:p>
          <w:pPr>
            <w:pStyle w:val="TOC2"/>
            <w:tabs>
              <w:tab w:val="clear" w:pos="8743"/>
              <w:tab w:val="right" w:pos="9025" w:leader="dot"/>
            </w:tabs>
            <w:rPr/>
          </w:pPr>
          <w:hyperlink w:anchor="__RefHeading___Toc19534_811951298">
            <w:r>
              <w:rPr>
                <w:webHidden/>
                <w:rStyle w:val="IndexLink"/>
              </w:rPr>
              <w:t>Apports</w:t>
              <w:tab/>
              <w:t>62</w:t>
            </w:r>
          </w:hyperlink>
        </w:p>
        <w:p>
          <w:pPr>
            <w:pStyle w:val="TOC2"/>
            <w:tabs>
              <w:tab w:val="clear" w:pos="8743"/>
              <w:tab w:val="right" w:pos="9025" w:leader="dot"/>
            </w:tabs>
            <w:rPr/>
          </w:pPr>
          <w:hyperlink w:anchor="__RefHeading___Toc19536_811951298">
            <w:r>
              <w:rPr>
                <w:webHidden/>
                <w:rStyle w:val="IndexLink"/>
              </w:rPr>
              <w:t>Limites</w:t>
              <w:tab/>
              <w:t>63</w:t>
            </w:r>
          </w:hyperlink>
        </w:p>
        <w:p>
          <w:pPr>
            <w:pStyle w:val="TOC2"/>
            <w:tabs>
              <w:tab w:val="clear" w:pos="8743"/>
              <w:tab w:val="right" w:pos="9025" w:leader="dot"/>
            </w:tabs>
            <w:rPr/>
          </w:pPr>
          <w:hyperlink w:anchor="__RefHeading___Toc19538_811951298">
            <w:r>
              <w:rPr>
                <w:webHidden/>
                <w:rStyle w:val="IndexLink"/>
              </w:rPr>
              <w:t>Perspectives</w:t>
              <w:tab/>
              <w:t>63</w:t>
            </w:r>
          </w:hyperlink>
        </w:p>
        <w:p>
          <w:pPr>
            <w:pStyle w:val="TOC1"/>
            <w:tabs>
              <w:tab w:val="clear" w:pos="9026"/>
              <w:tab w:val="right" w:pos="9025" w:leader="dot"/>
            </w:tabs>
            <w:rPr/>
          </w:pPr>
          <w:hyperlink w:anchor="__RefHeading___Toc19540_811951298">
            <w:r>
              <w:rPr>
                <w:webHidden/>
                <w:rStyle w:val="IndexLink"/>
              </w:rPr>
              <w:t>Références</w:t>
              <w:tab/>
              <w:t>64</w:t>
            </w:r>
          </w:hyperlink>
        </w:p>
        <w:p>
          <w:pPr>
            <w:pStyle w:val="TOC2"/>
            <w:tabs>
              <w:tab w:val="clear" w:pos="8743"/>
              <w:tab w:val="right" w:pos="9025" w:leader="dot"/>
            </w:tabs>
            <w:rPr/>
          </w:pPr>
          <w:hyperlink w:anchor="__RefHeading___Toc19542_811951298">
            <w:r>
              <w:rPr>
                <w:webHidden/>
                <w:rStyle w:val="IndexLink"/>
              </w:rPr>
              <w:t>Sources en ligne</w:t>
              <w:tab/>
              <w:t>66</w:t>
            </w:r>
          </w:hyperlink>
        </w:p>
        <w:p>
          <w:pPr>
            <w:pStyle w:val="TOC1"/>
            <w:tabs>
              <w:tab w:val="clear" w:pos="9026"/>
              <w:tab w:val="right" w:pos="9025" w:leader="dot"/>
            </w:tabs>
            <w:rPr/>
          </w:pPr>
          <w:hyperlink w:anchor="__RefHeading___Toc19544_811951298">
            <w:r>
              <w:rPr>
                <w:webHidden/>
                <w:rStyle w:val="IndexLink"/>
              </w:rPr>
              <w:t>Annexes</w:t>
              <w:tab/>
              <w:t>67</w:t>
            </w:r>
          </w:hyperlink>
        </w:p>
        <w:p>
          <w:pPr>
            <w:pStyle w:val="TOC2"/>
            <w:tabs>
              <w:tab w:val="clear" w:pos="8743"/>
              <w:tab w:val="right" w:pos="9025" w:leader="dot"/>
            </w:tabs>
            <w:rPr/>
          </w:pPr>
          <w:hyperlink w:anchor="__RefHeading___Toc19546_811951298">
            <w:r>
              <w:rPr>
                <w:webHidden/>
                <w:rStyle w:val="IndexLink"/>
              </w:rPr>
              <w:t>Annexe A – Variables des modèles principaux</w:t>
              <w:tab/>
              <w:t>67</w:t>
            </w:r>
          </w:hyperlink>
        </w:p>
        <w:p>
          <w:pPr>
            <w:pStyle w:val="TOC2"/>
            <w:tabs>
              <w:tab w:val="clear" w:pos="8743"/>
              <w:tab w:val="right" w:pos="9025" w:leader="dot"/>
            </w:tabs>
            <w:rPr/>
          </w:pPr>
          <w:hyperlink w:anchor="__RefHeading___Toc19548_811951298">
            <w:r>
              <w:rPr>
                <w:webHidden/>
                <w:rStyle w:val="IndexLink"/>
              </w:rPr>
              <w:t>Annexe B – Détail des extensions E1 à E20</w:t>
              <w:tab/>
              <w:t>67</w:t>
            </w:r>
          </w:hyperlink>
        </w:p>
        <w:p>
          <w:pPr>
            <w:pStyle w:val="TOC2"/>
            <w:tabs>
              <w:tab w:val="clear" w:pos="8743"/>
              <w:tab w:val="right" w:pos="9025" w:leader="dot"/>
            </w:tabs>
            <w:rPr/>
          </w:pPr>
          <w:hyperlink w:anchor="__RefHeading___Toc19550_811951298">
            <w:r>
              <w:rPr>
                <w:webHidden/>
                <w:rStyle w:val="IndexLink"/>
              </w:rPr>
              <w:t>Annexe C – Sensibilité à la graine aléatoire</w:t>
              <w:tab/>
              <w:t>79</w:t>
            </w:r>
          </w:hyperlink>
        </w:p>
        <w:p>
          <w:pPr>
            <w:pStyle w:val="TOC2"/>
            <w:tabs>
              <w:tab w:val="clear" w:pos="8743"/>
              <w:tab w:val="right" w:pos="9025" w:leader="dot"/>
            </w:tabs>
            <w:rPr/>
          </w:pPr>
          <w:hyperlink w:anchor="__RefHeading___Toc19552_811951298">
            <w:r>
              <w:rPr>
                <w:webHidden/>
                <w:rStyle w:val="IndexLink"/>
              </w:rPr>
              <w:t>Annexe D – Contrôle négatif : dépenses contre variables de bruit</w:t>
              <w:tab/>
              <w:t>79</w:t>
            </w:r>
          </w:hyperlink>
        </w:p>
        <w:p>
          <w:pPr>
            <w:pStyle w:val="TOC2"/>
            <w:tabs>
              <w:tab w:val="clear" w:pos="8743"/>
              <w:tab w:val="right" w:pos="9025" w:leader="dot"/>
            </w:tabs>
            <w:rPr/>
          </w:pPr>
          <w:hyperlink w:anchor="__RefHeading___Toc19554_811951298">
            <w:r>
              <w:rPr>
                <w:webHidden/>
                <w:rStyle w:val="IndexLink"/>
              </w:rPr>
              <w:t>Annexe E – Robustesse au décalage de publication</w:t>
              <w:tab/>
              <w:t>79</w:t>
            </w:r>
          </w:hyperlink>
        </w:p>
        <w:p>
          <w:pPr>
            <w:pStyle w:val="TOC2"/>
            <w:tabs>
              <w:tab w:val="clear" w:pos="8743"/>
              <w:tab w:val="right" w:pos="9025" w:leader="dot"/>
            </w:tabs>
            <w:rPr/>
          </w:pPr>
          <w:hyperlink w:anchor="__RefHeading___Toc19556_811951298">
            <w:r>
              <w:rPr>
                <w:webHidden/>
                <w:rStyle w:val="IndexLink"/>
              </w:rPr>
              <w:t>Annexe F – Code et reproductibilité</w:t>
              <w:tab/>
              <w:t>80</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6" w:name="sommaire"/>
      <w:bookmarkStart w:id="17" w:name="sommaire"/>
      <w:bookmarkEnd w:id="17"/>
      <w:r>
        <w:br w:type="page"/>
      </w:r>
    </w:p>
    <w:p>
      <w:pPr>
        <w:pStyle w:val="Heading1"/>
        <w:spacing w:before="0" w:after="240"/>
        <w:rPr/>
      </w:pPr>
      <w:bookmarkStart w:id="18" w:name="__RefHeading___Toc19446_811951298"/>
      <w:bookmarkStart w:id="19" w:name="liste-des-tableaux"/>
      <w:bookmarkEnd w:id="18"/>
      <w:bookmarkEnd w:id="19"/>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19558_811951298">
            <w:bookmarkStart w:id="20" w:name="liste-des-tableaux"/>
            <w:bookmarkEnd w:id="20"/>
            <w:r>
              <w:rPr>
                <w:webHidden/>
                <w:rStyle w:val="IndexLink"/>
              </w:rPr>
              <w:t>Tableau 1.1 – Principaux travaux recensés</w:t>
              <w:tab/>
              <w:t>25</w:t>
            </w:r>
          </w:hyperlink>
        </w:p>
        <w:p>
          <w:pPr>
            <w:pStyle w:val="TOC1"/>
            <w:tabs>
              <w:tab w:val="clear" w:pos="9026"/>
              <w:tab w:val="right" w:pos="9025" w:leader="dot"/>
            </w:tabs>
            <w:rPr/>
          </w:pPr>
          <w:hyperlink w:anchor="__RefHeading___Toc19600_811951298">
            <w:r>
              <w:rPr>
                <w:webHidden/>
                <w:rStyle w:val="IndexLink"/>
              </w:rPr>
              <w:t>Tableau 2.1 – Sources des données</w:t>
              <w:tab/>
              <w:t>29</w:t>
            </w:r>
          </w:hyperlink>
        </w:p>
        <w:p>
          <w:pPr>
            <w:pStyle w:val="TOC1"/>
            <w:tabs>
              <w:tab w:val="clear" w:pos="9026"/>
              <w:tab w:val="right" w:pos="9025" w:leader="dot"/>
            </w:tabs>
            <w:rPr/>
          </w:pPr>
          <w:hyperlink w:anchor="__RefHeading___Toc19598_811951298">
            <w:r>
              <w:rPr>
                <w:webHidden/>
                <w:rStyle w:val="IndexLink"/>
              </w:rPr>
              <w:t>Tableau 2.2 – Soldes annuels reconstitués</w:t>
              <w:tab/>
              <w:t>32</w:t>
            </w:r>
          </w:hyperlink>
        </w:p>
        <w:p>
          <w:pPr>
            <w:pStyle w:val="TOC1"/>
            <w:tabs>
              <w:tab w:val="clear" w:pos="9026"/>
              <w:tab w:val="right" w:pos="9025" w:leader="dot"/>
            </w:tabs>
            <w:rPr/>
          </w:pPr>
          <w:hyperlink w:anchor="__RefHeading___Toc19596_811951298">
            <w:r>
              <w:rPr>
                <w:webHidden/>
                <w:rStyle w:val="IndexLink"/>
              </w:rPr>
              <w:t>Tableau 2.3 – Variables cibles</w:t>
              <w:tab/>
              <w:t>33</w:t>
            </w:r>
          </w:hyperlink>
        </w:p>
        <w:p>
          <w:pPr>
            <w:pStyle w:val="TOC1"/>
            <w:tabs>
              <w:tab w:val="clear" w:pos="9026"/>
              <w:tab w:val="right" w:pos="9025" w:leader="dot"/>
            </w:tabs>
            <w:rPr/>
          </w:pPr>
          <w:hyperlink w:anchor="__RefHeading___Toc19594_811951298">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19592_811951298">
            <w:r>
              <w:rPr>
                <w:webHidden/>
                <w:rStyle w:val="IndexLink"/>
              </w:rPr>
              <w:t>Tableau 2.5 – Jeux de variables emboîtés</w:t>
              <w:tab/>
              <w:t>34</w:t>
            </w:r>
          </w:hyperlink>
        </w:p>
        <w:p>
          <w:pPr>
            <w:pStyle w:val="TOC1"/>
            <w:tabs>
              <w:tab w:val="clear" w:pos="9026"/>
              <w:tab w:val="right" w:pos="9025" w:leader="dot"/>
            </w:tabs>
            <w:rPr/>
          </w:pPr>
          <w:hyperlink w:anchor="__RefHeading___Toc19590_811951298">
            <w:r>
              <w:rPr>
                <w:webHidden/>
                <w:rStyle w:val="IndexLink"/>
              </w:rPr>
              <w:t>Tableau 2.6 – Modèles comparés</w:t>
              <w:tab/>
              <w:t>36</w:t>
            </w:r>
          </w:hyperlink>
        </w:p>
        <w:p>
          <w:pPr>
            <w:pStyle w:val="TOC1"/>
            <w:tabs>
              <w:tab w:val="clear" w:pos="9026"/>
              <w:tab w:val="right" w:pos="9025" w:leader="dot"/>
            </w:tabs>
            <w:rPr/>
          </w:pPr>
          <w:hyperlink w:anchor="__RefHeading___Toc19588_811951298">
            <w:r>
              <w:rPr>
                <w:webHidden/>
                <w:rStyle w:val="IndexLink"/>
              </w:rPr>
              <w:t>Tableau 2.7 – Mesures de performance</w:t>
              <w:tab/>
              <w:t>38</w:t>
            </w:r>
          </w:hyperlink>
        </w:p>
        <w:p>
          <w:pPr>
            <w:pStyle w:val="TOC1"/>
            <w:tabs>
              <w:tab w:val="clear" w:pos="9026"/>
              <w:tab w:val="right" w:pos="9025" w:leader="dot"/>
            </w:tabs>
            <w:rPr/>
          </w:pPr>
          <w:hyperlink w:anchor="__RefHeading___Toc19586_811951298">
            <w:r>
              <w:rPr>
                <w:webHidden/>
                <w:rStyle w:val="IndexLink"/>
              </w:rPr>
              <w:t>Tableau 2.8 – Extensions testées</w:t>
              <w:tab/>
              <w:t>40</w:t>
            </w:r>
          </w:hyperlink>
        </w:p>
        <w:p>
          <w:pPr>
            <w:pStyle w:val="TOC1"/>
            <w:tabs>
              <w:tab w:val="clear" w:pos="9026"/>
              <w:tab w:val="right" w:pos="9025" w:leader="dot"/>
            </w:tabs>
            <w:rPr/>
          </w:pPr>
          <w:hyperlink w:anchor="__RefHeading___Toc19584_811951298">
            <w:r>
              <w:rPr>
                <w:webHidden/>
                <w:rStyle w:val="IndexLink"/>
              </w:rPr>
              <w:t>Tableau 3.1 – Statistiques des variables cibles (mars 2014 – juillet 2026, 149 mois)</w:t>
              <w:tab/>
              <w:t>43</w:t>
            </w:r>
          </w:hyperlink>
        </w:p>
        <w:p>
          <w:pPr>
            <w:pStyle w:val="TOC1"/>
            <w:tabs>
              <w:tab w:val="clear" w:pos="9026"/>
              <w:tab w:val="right" w:pos="9025" w:leader="dot"/>
            </w:tabs>
            <w:rPr/>
          </w:pPr>
          <w:hyperlink w:anchor="__RefHeading___Toc19582_811951298">
            <w:r>
              <w:rPr>
                <w:webHidden/>
                <w:rStyle w:val="IndexLink"/>
              </w:rPr>
              <w:t>Tableau 3.2 – R² hors échantillon par rapport à la moyenne historique (%), janvier 2020 – juillet 2026</w:t>
              <w:tab/>
              <w:t>44</w:t>
            </w:r>
          </w:hyperlink>
        </w:p>
        <w:p>
          <w:pPr>
            <w:pStyle w:val="TOC1"/>
            <w:tabs>
              <w:tab w:val="clear" w:pos="9026"/>
              <w:tab w:val="right" w:pos="9025" w:leader="dot"/>
            </w:tabs>
            <w:rPr/>
          </w:pPr>
          <w:hyperlink w:anchor="__RefHeading___Toc19580_811951298">
            <w:r>
              <w:rPr>
                <w:webHidden/>
                <w:rStyle w:val="IndexLink"/>
              </w:rPr>
              <w:t>Tableau 3.3 – Tests de Diebold-Mariano (p-values bilatérales)</w:t>
              <w:tab/>
              <w:t>45</w:t>
            </w:r>
          </w:hyperlink>
        </w:p>
        <w:p>
          <w:pPr>
            <w:pStyle w:val="TOC1"/>
            <w:tabs>
              <w:tab w:val="clear" w:pos="9026"/>
              <w:tab w:val="right" w:pos="9025" w:leader="dot"/>
            </w:tabs>
            <w:rPr/>
          </w:pPr>
          <w:hyperlink w:anchor="__RefHeading___Toc19578_811951298">
            <w:r>
              <w:rPr>
                <w:webHidden/>
                <w:rStyle w:val="IndexLink"/>
              </w:rPr>
              <w:t>Tableau 3.4 – Contrôle positif : part des tirages où le signal est retrouvé (Ridge, 10 tirages)</w:t>
              <w:tab/>
              <w:t>46</w:t>
            </w:r>
          </w:hyperlink>
        </w:p>
        <w:p>
          <w:pPr>
            <w:pStyle w:val="TOC1"/>
            <w:tabs>
              <w:tab w:val="clear" w:pos="9026"/>
              <w:tab w:val="right" w:pos="9025" w:leader="dot"/>
            </w:tabs>
            <w:rPr/>
          </w:pPr>
          <w:hyperlink w:anchor="__RefHeading___Toc19576_811951298">
            <w:r>
              <w:rPr>
                <w:webHidden/>
                <w:rStyle w:val="IndexLink"/>
              </w:rPr>
              <w:t>Tableau 3.5 – Part de l’importance SHAP des sept variables ajoutées à M0 (%)</w:t>
              <w:tab/>
              <w:t>47</w:t>
            </w:r>
          </w:hyperlink>
        </w:p>
        <w:p>
          <w:pPr>
            <w:pStyle w:val="TOC1"/>
            <w:tabs>
              <w:tab w:val="clear" w:pos="9026"/>
              <w:tab w:val="right" w:pos="9025" w:leader="dot"/>
            </w:tabs>
            <w:rPr/>
          </w:pPr>
          <w:hyperlink w:anchor="__RefHeading___Toc19574_811951298">
            <w:r>
              <w:rPr>
                <w:webHidden/>
                <w:rStyle w:val="IndexLink"/>
              </w:rPr>
              <w:t>Tableau 3.6 – Meilleur R² hors échantillon sans / avec dépenses, par extension (%)</w:t>
              <w:tab/>
              <w:t>48</w:t>
            </w:r>
          </w:hyperlink>
        </w:p>
        <w:p>
          <w:pPr>
            <w:pStyle w:val="TOC1"/>
            <w:tabs>
              <w:tab w:val="clear" w:pos="9026"/>
              <w:tab w:val="right" w:pos="9025" w:leader="dot"/>
            </w:tabs>
            <w:rPr/>
          </w:pPr>
          <w:hyperlink w:anchor="__RefHeading___Toc19572_811951298">
            <w:r>
              <w:rPr>
                <w:webHidden/>
                <w:rStyle w:val="IndexLink"/>
              </w:rPr>
              <w:t>Tableau 3.7 – E16 : niveau du spread, comparaison à la marche aléatoire (avec finances publiques)</w:t>
              <w:tab/>
              <w:t>51</w:t>
            </w:r>
          </w:hyperlink>
        </w:p>
        <w:p>
          <w:pPr>
            <w:pStyle w:val="TOC1"/>
            <w:tabs>
              <w:tab w:val="clear" w:pos="9026"/>
              <w:tab w:val="right" w:pos="9025" w:leader="dot"/>
            </w:tabs>
            <w:rPr/>
          </w:pPr>
          <w:hyperlink w:anchor="__RefHeading___Toc19570_811951298">
            <w:r>
              <w:rPr>
                <w:webHidden/>
                <w:rStyle w:val="IndexLink"/>
              </w:rPr>
              <w:t>Tableau 3.8 – État des hypothèses</w:t>
              <w:tab/>
              <w:t>51</w:t>
            </w:r>
          </w:hyperlink>
        </w:p>
        <w:p>
          <w:pPr>
            <w:pStyle w:val="TOC1"/>
            <w:tabs>
              <w:tab w:val="clear" w:pos="9026"/>
              <w:tab w:val="right" w:pos="9025" w:leader="dot"/>
            </w:tabs>
            <w:rPr/>
          </w:pPr>
          <w:hyperlink w:anchor="__RefHeading___Toc19568_811951298">
            <w:r>
              <w:rPr>
                <w:webHidden/>
                <w:rStyle w:val="IndexLink"/>
              </w:rPr>
              <w:t>Tableau A.1 – Variables des jeux emboîtés M0, M1 et M2</w:t>
              <w:tab/>
              <w:t>67</w:t>
            </w:r>
          </w:hyperlink>
        </w:p>
        <w:p>
          <w:pPr>
            <w:pStyle w:val="TOC1"/>
            <w:tabs>
              <w:tab w:val="clear" w:pos="9026"/>
              <w:tab w:val="right" w:pos="9025" w:leader="dot"/>
            </w:tabs>
            <w:rPr/>
          </w:pPr>
          <w:hyperlink w:anchor="__RefHeading___Toc19566_811951298">
            <w:r>
              <w:rPr>
                <w:webHidden/>
                <w:rStyle w:val="IndexLink"/>
              </w:rPr>
              <w:t>Tableau B.1 – Résultats des 210 comparaisons</w:t>
              <w:tab/>
              <w:t>67</w:t>
            </w:r>
          </w:hyperlink>
        </w:p>
        <w:p>
          <w:pPr>
            <w:pStyle w:val="TOC1"/>
            <w:tabs>
              <w:tab w:val="clear" w:pos="9026"/>
              <w:tab w:val="right" w:pos="9025" w:leader="dot"/>
            </w:tabs>
            <w:rPr/>
          </w:pPr>
          <w:hyperlink w:anchor="__RefHeading___Toc19564_811951298">
            <w:r>
              <w:rPr>
                <w:webHidden/>
                <w:rStyle w:val="IndexLink"/>
              </w:rPr>
              <w:t>Tableau C.1 – R² hors échantillon (%) selon la graine</w:t>
              <w:tab/>
              <w:t>79</w:t>
            </w:r>
          </w:hyperlink>
        </w:p>
        <w:p>
          <w:pPr>
            <w:pStyle w:val="TOC1"/>
            <w:tabs>
              <w:tab w:val="clear" w:pos="9026"/>
              <w:tab w:val="right" w:pos="9025" w:leader="dot"/>
            </w:tabs>
            <w:rPr/>
          </w:pPr>
          <w:hyperlink w:anchor="__RefHeading___Toc19562_811951298">
            <w:r>
              <w:rPr>
                <w:webHidden/>
                <w:rStyle w:val="IndexLink"/>
              </w:rPr>
              <w:t>Tableau D.1 – Gain de R² par rapport à M0 (points) : vraies dépenses et sept variables de bruit</w:t>
              <w:tab/>
              <w:t>79</w:t>
            </w:r>
          </w:hyperlink>
        </w:p>
        <w:p>
          <w:pPr>
            <w:pStyle w:val="TOC1"/>
            <w:tabs>
              <w:tab w:val="clear" w:pos="9026"/>
              <w:tab w:val="right" w:pos="9025" w:leader="dot"/>
            </w:tabs>
            <w:rPr/>
          </w:pPr>
          <w:hyperlink w:anchor="__RefHeading___Toc19560_811951298">
            <w:r>
              <w:rPr>
                <w:webHidden/>
                <w:rStyle w:val="IndexLink"/>
              </w:rPr>
              <w:t>Tableau E.1 – Modèles principaux avec un décalage budgétaire de 1, 2 et 3 mois</w:t>
              <w:tab/>
              <w:t>79</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bCs/>
          <w:i w:val="false"/>
          <w:i w:val="false"/>
          <w:color w:val="000000"/>
          <w:sz w:val="28"/>
          <w:szCs w:val="32"/>
        </w:rPr>
      </w:pPr>
      <w:bookmarkStart w:id="21" w:name="__RefHeading___Toc19448_811951298"/>
      <w:bookmarkStart w:id="22" w:name="liste-des-figures"/>
      <w:bookmarkEnd w:id="21"/>
      <w:bookmarkEnd w:id="22"/>
      <w:r>
        <w:rPr>
          <w:rFonts w:eastAsia="Times New Roman" w:cs="Times New Roman"/>
          <w:b/>
          <w:bCs/>
          <w:i w:val="false"/>
          <w:color w:val="000000"/>
          <w:sz w:val="28"/>
          <w:szCs w:val="32"/>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19602_811951298">
            <w:r>
              <w:rPr>
                <w:webHidden/>
                <w:rStyle w:val="IndexLink"/>
              </w:rPr>
              <w:t>Figure 3.1 – Distribution des trois cibles</w:t>
              <w:tab/>
              <w:t>44</w:t>
            </w:r>
          </w:hyperlink>
        </w:p>
        <w:p>
          <w:pPr>
            <w:pStyle w:val="TOC1"/>
            <w:tabs>
              <w:tab w:val="clear" w:pos="9026"/>
              <w:tab w:val="right" w:pos="9025" w:leader="dot"/>
            </w:tabs>
            <w:rPr/>
          </w:pPr>
          <w:hyperlink w:anchor="__RefHeading___Toc19608_811951298">
            <w:r>
              <w:rPr>
                <w:webHidden/>
                <w:rStyle w:val="IndexLink"/>
              </w:rPr>
              <w:t>Figure 3.2 – RMSE relatif à la moyenne historique</w:t>
              <w:tab/>
              <w:t>46</w:t>
            </w:r>
          </w:hyperlink>
        </w:p>
        <w:p>
          <w:pPr>
            <w:pStyle w:val="TOC1"/>
            <w:tabs>
              <w:tab w:val="clear" w:pos="9026"/>
              <w:tab w:val="right" w:pos="9025" w:leader="dot"/>
            </w:tabs>
            <w:rPr/>
          </w:pPr>
          <w:hyperlink w:anchor="__RefHeading___Toc19606_811951298">
            <w:r>
              <w:rPr>
                <w:webHidden/>
                <w:rStyle w:val="IndexLink"/>
              </w:rPr>
              <w:t>Figure 3.3 – Importance SHAP des variables</w:t>
              <w:tab/>
              <w:t>48</w:t>
            </w:r>
          </w:hyperlink>
        </w:p>
        <w:p>
          <w:pPr>
            <w:pStyle w:val="TOC1"/>
            <w:tabs>
              <w:tab w:val="clear" w:pos="9026"/>
              <w:tab w:val="right" w:pos="9025" w:leader="dot"/>
            </w:tabs>
            <w:rPr/>
          </w:pPr>
          <w:hyperlink w:anchor="__RefHeading___Toc19604_811951298">
            <w:r>
              <w:rPr>
                <w:webHidden/>
                <w:rStyle w:val="IndexLink"/>
              </w:rPr>
              <w:t>Figure 3.4 – Synthèse des extensions</w:t>
              <w:tab/>
              <w:t>50</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3" w:name="liste-des-figures"/>
      <w:bookmarkStart w:id="24" w:name="liste-des-figures"/>
      <w:bookmarkEnd w:id="24"/>
      <w:r>
        <w:br w:type="page"/>
      </w:r>
    </w:p>
    <w:p>
      <w:pPr>
        <w:pStyle w:val="Heading1"/>
        <w:spacing w:before="0" w:after="240"/>
        <w:rPr/>
      </w:pPr>
      <w:bookmarkStart w:id="25" w:name="__RefHeading___Toc19450_811951298"/>
      <w:bookmarkEnd w:id="25"/>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(gradient boosting)</w:t>
            </w:r>
            <w:bookmarkStart w:id="26" w:name="liste-des-abréviations"/>
            <w:bookmarkEnd w:id="26"/>
          </w:p>
        </w:tc>
      </w:tr>
    </w:tbl>
    <w:p>
      <w:pPr>
        <w:pStyle w:val="Heading1"/>
        <w:rPr/>
      </w:pPr>
      <w:bookmarkStart w:id="27" w:name="__RefHeading___Toc19452_811951298"/>
      <w:bookmarkEnd w:id="27"/>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8" w:name="__RefHeading___Toc19454_811951298"/>
      <w:bookmarkStart w:id="29" w:name="introduction-générale"/>
      <w:bookmarkEnd w:id="28"/>
      <w:bookmarkEnd w:id="29"/>
      <w:r>
        <w:rPr/>
        <w:t>Introduction générale</w:t>
      </w:r>
    </w:p>
    <w:p>
      <w:pPr>
        <w:pStyle w:val="Heading2"/>
        <w:rPr/>
      </w:pPr>
      <w:bookmarkStart w:id="30" w:name="__RefHeading___Toc19456_811951298"/>
      <w:bookmarkStart w:id="31" w:name="contexte"/>
      <w:bookmarkEnd w:id="30"/>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bookmarkStart w:id="32" w:name="contexte"/>
      <w:r>
        <w:rPr/>
        <w:t>Enfin, les méthodes de machine learning sont de plus en plus utilisées pour prévoir les variables financières. Des travaux récents annoncent de très bonnes performances pour la prévision des spreads souverains européens (Bouillot et al., 2025).</w:t>
      </w:r>
      <w:bookmarkEnd w:id="32"/>
    </w:p>
    <w:p>
      <w:pPr>
        <w:pStyle w:val="Heading2"/>
        <w:rPr/>
      </w:pPr>
      <w:bookmarkStart w:id="33" w:name="__RefHeading___Toc19458_811951298"/>
      <w:bookmarkStart w:id="34" w:name="problématique"/>
      <w:bookmarkEnd w:id="33"/>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bookmarkStart w:id="35" w:name="problématique"/>
      <w:r>
        <w:rPr/>
        <w:t>La réponse n’est pas évidente. D’un côté, les études européennes montrent que les finances publiques expliquent une partie du niveau des spreads, surtout en période de crise (Afonso et al., 2015). De l’autre, la théorie des marchés efficients (Fama, 1970) et les travaux sur l’anticipation des dépenses (Ramey, 2011) suggèrent qu’une information connue, ou prévisible, est déjà dans les prix. Un résultat négatif est donc aussi plausible qu’un résultat positif, et les deux seraient instructifs.</w:t>
      </w:r>
      <w:bookmarkEnd w:id="35"/>
    </w:p>
    <w:p>
      <w:pPr>
        <w:pStyle w:val="Heading2"/>
        <w:rPr/>
      </w:pPr>
      <w:bookmarkStart w:id="36" w:name="__RefHeading___Toc19460_811951298"/>
      <w:bookmarkStart w:id="37" w:name="objectif-et-démarche"/>
      <w:bookmarkEnd w:id="36"/>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8" w:name="objectif-et-démarche"/>
      <w:r>
        <w:rPr/>
        <w:t>Une attention particulière est portée à la rigueur de l’évaluation. Les données budgétaires sont décalées de leur délai réel de publication, pour ne jamais utiliser une information qui n’était pas encore connue. Vingt extensions testent d’autres horizons, d’autres cibles et un panel de cinq pays européens. Enfin, des contrôles avec un signal fictif et avec des variables de bruit permettent de savoir ce que notre dispositif est capable de détecter.</w:t>
      </w:r>
      <w:bookmarkEnd w:id="38"/>
    </w:p>
    <w:p>
      <w:pPr>
        <w:pStyle w:val="Heading2"/>
        <w:rPr/>
      </w:pPr>
      <w:bookmarkStart w:id="39" w:name="__RefHeading___Toc19462_811951298"/>
      <w:bookmarkStart w:id="40" w:name="apports"/>
      <w:bookmarkEnd w:id="39"/>
      <w:r>
        <w:rPr/>
        <w:t>Apports</w:t>
      </w:r>
    </w:p>
    <w:p>
      <w:pPr>
        <w:pStyle w:val="FirstParagraph"/>
        <w:rPr/>
      </w:pPr>
      <w:bookmarkStart w:id="41" w:name="apports"/>
      <w:r>
        <w:rPr/>
        <w:t>Ce travail apporte trois contributions. D’abord, il isole l’apport des dépenses publiques, que les études de prévision mélangent habituellement à des centaines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41"/>
    </w:p>
    <w:p>
      <w:pPr>
        <w:pStyle w:val="Heading2"/>
        <w:rPr/>
      </w:pPr>
      <w:bookmarkStart w:id="42" w:name="__RefHeading___Toc19464_811951298"/>
      <w:bookmarkStart w:id="43" w:name="plan-du-mémoire"/>
      <w:bookmarkEnd w:id="42"/>
      <w:bookmarkEnd w:id="43"/>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limites et pistes de recherche. La conclusion résume les apports du travail.</w:t>
      </w:r>
    </w:p>
    <w:p>
      <w:pPr>
        <w:pStyle w:val="Normal"/>
        <w:rPr/>
      </w:pPr>
      <w:r>
        <w:rPr/>
      </w:r>
      <w:bookmarkStart w:id="44" w:name="introduction-générale"/>
      <w:bookmarkStart w:id="45" w:name="plan-du-mémoire"/>
      <w:bookmarkStart w:id="46" w:name="introduction-générale"/>
      <w:bookmarkStart w:id="47" w:name="plan-du-mémoire"/>
      <w:bookmarkEnd w:id="46"/>
      <w:bookmarkEnd w:id="47"/>
      <w:r>
        <w:br w:type="page"/>
      </w:r>
    </w:p>
    <w:p>
      <w:pPr>
        <w:pStyle w:val="Heading1"/>
        <w:spacing w:before="0" w:after="240"/>
        <w:rPr/>
      </w:pPr>
      <w:bookmarkStart w:id="48" w:name="__RefHeading___Toc19466_811951298"/>
      <w:bookmarkStart w:id="49" w:name="chapitre-1-état-de-lart"/>
      <w:bookmarkEnd w:id="48"/>
      <w:bookmarkEnd w:id="49"/>
      <w:r>
        <w:rPr/>
        <w:t>Chapitre 1 – État de l’art</w:t>
      </w:r>
    </w:p>
    <w:p>
      <w:pPr>
        <w:pStyle w:val="Heading2"/>
        <w:rPr/>
      </w:pPr>
      <w:bookmarkStart w:id="50" w:name="__RefHeading___Toc19468_811951298"/>
      <w:bookmarkStart w:id="51" w:name="introduction-du-chapitre"/>
      <w:bookmarkEnd w:id="50"/>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52"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52"/>
    </w:p>
    <w:p>
      <w:pPr>
        <w:pStyle w:val="Heading2"/>
        <w:rPr/>
      </w:pPr>
      <w:bookmarkStart w:id="53" w:name="__RefHeading___Toc19470_811951298"/>
      <w:bookmarkStart w:id="54" w:name="cadre-théorique-ce-que-lon-peut-attendre"/>
      <w:bookmarkEnd w:id="53"/>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5" w:name="dépenses-publiques-et-taux-deux-visions"/>
      <w:r>
        <w:rPr/>
        <w:t>1.1.1 Dépenses publiques et taux : deux visions.</w:t>
      </w:r>
    </w:p>
    <w:p>
      <w:pPr>
        <w:pStyle w:val="FirstParagraph"/>
        <w:rPr/>
      </w:pPr>
      <w:bookmarkStart w:id="56" w:name="dépenses-publiques-et-taux-deux-visions"/>
      <w:r>
        <w:rPr/>
        <w:t>Dans la vision keynésienne, une hausse des dépenses financée par l’emprunt augmente la demande de fonds et fait monter les taux d’intérêt. Elle peut alors évincer une partie de l’investissement privé. À l’inverse, l’équivalence ricardienne de Barro (1974) suppose que les ménages anticipent les impôts futurs et épargnent davantage, ce qui annule l’effet sur les taux. La théorie ne tranche donc pas : la question est empirique.</w:t>
      </w:r>
      <w:bookmarkEnd w:id="56"/>
    </w:p>
    <w:p>
      <w:pPr>
        <w:pStyle w:val="Heading3"/>
        <w:rPr/>
      </w:pPr>
      <w:bookmarkStart w:id="57" w:name="lefficience-des-marchés-fama-1970"/>
      <w:r>
        <w:rPr/>
        <w:t>1.1.2 L’efficience des marchés (Fama, 1970).</w:t>
      </w:r>
    </w:p>
    <w:p>
      <w:pPr>
        <w:pStyle w:val="FirstParagraph"/>
        <w:rPr/>
      </w:pPr>
      <w:r>
        <w:rPr/>
        <w:t>Selon l’hypothèse d’efficience, dans sa forme semi-forte, les prix reflètent déjà toute l’information publique. Aucune donnée publique ne devrait alors permettre de prévoir de façon régulière les variations des prix.</w:t>
      </w:r>
    </w:p>
    <w:p>
      <w:pPr>
        <w:pStyle w:val="BodyText"/>
        <w:rPr/>
      </w:pPr>
      <w:bookmarkStart w:id="58" w:name="lefficience-des-marchés-fama-1970"/>
      <w:r>
        <w:rPr/>
        <w:t>Cela nous concerne directement. Les situations budgétaires de l’État sont publiques. Si le marché obligataire est efficient, elles sont intégrées dans le spread dès leur publication, et elles ne servent plus à prévoir le mois suivant.</w:t>
      </w:r>
      <w:bookmarkEnd w:id="58"/>
    </w:p>
    <w:p>
      <w:pPr>
        <w:pStyle w:val="Heading3"/>
        <w:rPr/>
      </w:pPr>
      <w:bookmarkStart w:id="59" w:name="les-dépenses-sont-anticipées-ramey-2011"/>
      <w:r>
        <w:rPr/>
        <w:t>1.1.3 Les dépenses sont anticipées (Ramey, 2011).</w:t>
      </w:r>
    </w:p>
    <w:p>
      <w:pPr>
        <w:pStyle w:val="FirstParagraph"/>
        <w:rPr/>
      </w:pPr>
      <w:r>
        <w:rPr/>
        <w:t>Ramey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60" w:name="les-dépenses-sont-anticipées-ramey-2011"/>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60"/>
    </w:p>
    <w:p>
      <w:pPr>
        <w:pStyle w:val="Heading3"/>
        <w:rPr/>
      </w:pPr>
      <w:bookmarkStart w:id="61" w:name="X07aa42a22fbcb3dee6d214c760cc0c20eb897be"/>
      <w:r>
        <w:rPr/>
        <w:t>1.1.4 Peu de prédicteurs résistent hors échantillon (Welch et Goyal, 2008).</w:t>
      </w:r>
    </w:p>
    <w:p>
      <w:pPr>
        <w:pStyle w:val="FirstParagraph"/>
        <w:rPr/>
      </w:pPr>
      <w:bookmarkStart w:id="62" w:name="X07aa42a22fbcb3dee6d214c760cc0c20eb897be"/>
      <w:r>
        <w:rPr/>
        <w:t>Welch et Goyal testent les variables les plus connues pour prévoir le rendement des actions. La plupart semblent fonctionner sur les données qui ont servi à les estimer. Mais sur des données nouvelles, elles font rarement mieux qu’une simple moyenne historique. Campbell et Thompson (2008) nuancent ce constat : avec quelques contraintes de bon sens, certains prédicteurs battent légèrement la moyenne, et même un petit gain peut avoir de la valeur.</w:t>
      </w:r>
      <w:bookmarkEnd w:id="62"/>
    </w:p>
    <w:p>
      <w:pPr>
        <w:pStyle w:val="Heading3"/>
        <w:rPr/>
      </w:pPr>
      <w:bookmarkStart w:id="63" w:name="ce-que-nous-en-retenons"/>
      <w:r>
        <w:rPr/>
        <w:t>1.1.5 Ce que nous en retenons.</w:t>
      </w:r>
    </w:p>
    <w:p>
      <w:pPr>
        <w:pStyle w:val="Compact"/>
        <w:numPr>
          <w:ilvl w:val="0"/>
          <w:numId w:val="18"/>
        </w:numPr>
        <w:rPr/>
      </w:pPr>
      <w:r>
        <w:rPr/>
        <w:t>Un pouvoir prédictif faible, voire nul, est plausible dès le départ. Un résultat négatif serait cohérent avec Fama et Ramey, et il aurait un sens.</w:t>
      </w:r>
    </w:p>
    <w:p>
      <w:pPr>
        <w:pStyle w:val="Compact"/>
        <w:numPr>
          <w:ilvl w:val="0"/>
          <w:numId w:val="19"/>
        </w:numPr>
        <w:rPr/>
      </w:pPr>
      <w:r>
        <w:rPr/>
        <w:t>Il faut évaluer les modèles hors échantillon, sur des mois qu’ils n’ont jamais vus.</w:t>
      </w:r>
    </w:p>
    <w:p>
      <w:pPr>
        <w:pStyle w:val="Compact"/>
        <w:numPr>
          <w:ilvl w:val="0"/>
          <w:numId w:val="20"/>
        </w:numPr>
        <w:rPr/>
      </w:pPr>
      <w:bookmarkStart w:id="64" w:name="cadre-théorique-ce-que-lon-peut-attendre"/>
      <w:bookmarkStart w:id="65" w:name="ce-que-nous-en-retenons"/>
      <w:r>
        <w:rPr/>
        <w:t>La référence à battre est simple : la moyenne historique. Un modèle qui ne la bat pas n’a pas de pouvoir prédictif.</w:t>
      </w:r>
      <w:bookmarkEnd w:id="64"/>
      <w:bookmarkEnd w:id="65"/>
    </w:p>
    <w:p>
      <w:pPr>
        <w:pStyle w:val="Heading2"/>
        <w:rPr/>
      </w:pPr>
      <w:bookmarkStart w:id="66" w:name="__RefHeading___Toc19472_811951298"/>
      <w:bookmarkStart w:id="67" w:name="Xfb34faa81f8d303ea1b5fa46b3b15873b7555c9"/>
      <w:bookmarkEnd w:id="66"/>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8" w:name="pourquoi-le-spread"/>
      <w:r>
        <w:rPr/>
        <w:t>1.2.1 Pourquoi le spread.</w:t>
      </w:r>
    </w:p>
    <w:p>
      <w:pPr>
        <w:pStyle w:val="FirstParagraph"/>
        <w:rPr/>
      </w:pPr>
      <w:bookmarkStart w:id="69"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9"/>
    </w:p>
    <w:p>
      <w:pPr>
        <w:pStyle w:val="Heading3"/>
        <w:rPr/>
      </w:pPr>
      <w:bookmarkStart w:id="70" w:name="ce-que-montrent-les-travaux-européens"/>
      <w:r>
        <w:rPr/>
        <w:t>1.2.2 Ce que montrent les travaux européens.</w:t>
      </w:r>
    </w:p>
    <w:p>
      <w:pPr>
        <w:pStyle w:val="FirstParagraph"/>
        <w:rPr/>
      </w:pPr>
      <w:r>
        <w:rPr/>
        <w:t>Bernoth, von Hagen et Schuknecht (2012)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(2009)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 xml:space="preserve">Afonso, Arghyrou et Kontonikas (2015)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 xml:space="preserve">Favero (2013)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70"/>
    </w:p>
    <w:p>
      <w:pPr>
        <w:pStyle w:val="Heading3"/>
        <w:rPr/>
      </w:pPr>
      <w:bookmarkStart w:id="71" w:name="le-cas-français"/>
      <w:r>
        <w:rPr/>
        <w:t>1.2.3 Le cas français.</w:t>
      </w:r>
    </w:p>
    <w:p>
      <w:pPr>
        <w:pStyle w:val="FirstParagraph"/>
        <w:rPr/>
      </w:pPr>
      <w:r>
        <w:rPr/>
        <w:t>Les études consacrées à la France sont rares. Garlanda-Longueville (2023)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(2011) : le marché réagit aux annonces.</w:t>
      </w:r>
    </w:p>
    <w:p>
      <w:pPr>
        <w:pStyle w:val="BodyText"/>
        <w:rPr/>
      </w:pPr>
      <w:bookmarkStart w:id="72"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72"/>
    </w:p>
    <w:p>
      <w:pPr>
        <w:pStyle w:val="Heading3"/>
        <w:rPr/>
      </w:pPr>
      <w:bookmarkStart w:id="73" w:name="X631363f92121cb0fbc005b65d04ad7aed35c764"/>
      <w:r>
        <w:rPr/>
        <w:t>1.2.4 Les travaux fondateurs, surtout américains.</w:t>
      </w:r>
    </w:p>
    <w:p>
      <w:pPr>
        <w:pStyle w:val="FirstParagraph"/>
        <w:rPr/>
      </w:pPr>
      <w:bookmarkStart w:id="74" w:name="X631363f92121cb0fbc005b65d04ad7aed35c764"/>
      <w:r>
        <w:rPr/>
        <w:t>Ces travaux européens s’appuient sur une littérature plus ancienne, surtout américaine, que nous résumons brièvement. Blanchard et Perotti (2002) proposent une méthode de référence pour isoler les chocs budgétaires, et trouvent qu’une hausse des dépenses réduit l’investissement privé. Laubach (2009) estime qu’un point de PIB de déficit prévu en plus fait monter les taux longs américains d’environ 25 points de base. Afonso et Sousa (2011) montrent que les chocs de dépenses pèsent sur le prix des actions, et Ardagna (2009) que les fortes consolidations budgétaires dans l’OCDE s’accompagnent d’une baisse des taux et d’une hausse des actions.</w:t>
      </w:r>
      <w:bookmarkEnd w:id="74"/>
    </w:p>
    <w:p>
      <w:pPr>
        <w:pStyle w:val="Heading3"/>
        <w:rPr/>
      </w:pPr>
      <w:bookmarkStart w:id="75" w:name="ce-que-nous-en-retenons-1"/>
      <w:r>
        <w:rPr/>
        <w:t>1.2.5 Ce que nous en retenons.</w:t>
      </w:r>
    </w:p>
    <w:p>
      <w:pPr>
        <w:pStyle w:val="Compact"/>
        <w:numPr>
          <w:ilvl w:val="0"/>
          <w:numId w:val="21"/>
        </w:numPr>
        <w:rPr/>
      </w:pPr>
      <w:r>
        <w:rPr/>
        <w:t>Le spread OAT–Bund est la cible la plus directement liée aux finances publiques françaises.</w:t>
      </w:r>
    </w:p>
    <w:p>
      <w:pPr>
        <w:pStyle w:val="Compact"/>
        <w:numPr>
          <w:ilvl w:val="0"/>
          <w:numId w:val="22"/>
        </w:numPr>
        <w:rPr/>
      </w:pPr>
      <w:r>
        <w:rPr/>
        <w:t>L’aversion au risque et la liquidité comptent beaucoup : elles doivent être dans le modèle comme variables de contrôle.</w:t>
      </w:r>
    </w:p>
    <w:p>
      <w:pPr>
        <w:pStyle w:val="Compact"/>
        <w:numPr>
          <w:ilvl w:val="0"/>
          <w:numId w:val="23"/>
        </w:numPr>
        <w:rPr/>
      </w:pPr>
      <w:r>
        <w:rPr/>
        <w:t>L’effet des finances publiques dépend de la période. Il faudra regarder séparément les périodes calmes et agitées.</w:t>
      </w:r>
    </w:p>
    <w:p>
      <w:pPr>
        <w:pStyle w:val="Compact"/>
        <w:numPr>
          <w:ilvl w:val="0"/>
          <w:numId w:val="24"/>
        </w:numPr>
        <w:rPr/>
      </w:pPr>
      <w:bookmarkStart w:id="76" w:name="Xfb34faa81f8d303ea1b5fa46b3b15873b7555c9"/>
      <w:bookmarkStart w:id="77"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76"/>
      <w:bookmarkEnd w:id="77"/>
    </w:p>
    <w:p>
      <w:pPr>
        <w:pStyle w:val="Heading2"/>
        <w:rPr/>
      </w:pPr>
      <w:bookmarkStart w:id="78" w:name="__RefHeading___Toc19474_811951298"/>
      <w:bookmarkStart w:id="79" w:name="X27f0006f940c23a763f89cc3f723417490f25ae"/>
      <w:bookmarkEnd w:id="78"/>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80" w:name="les-travaux-européens"/>
      <w:r>
        <w:rPr/>
        <w:t>1.3.1 Les travaux européens.</w:t>
      </w:r>
    </w:p>
    <w:p>
      <w:pPr>
        <w:pStyle w:val="FirstParagraph"/>
        <w:rPr/>
      </w:pPr>
      <w:r>
        <w:rPr/>
        <w:t>Belly et al. (2023)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(2025)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 les modèles sont comparés à la moyenne et à des régressions linéaires, mais pas à la prévision naïve « spread du mois précédent ».</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bookmarkStart w:id="81" w:name="les-travaux-européens"/>
      <w:r>
        <w:rPr/>
        <w:t>Enfin, Barbier-Gauchard et Sofianos (2025) appliquent le machine learning aux finances publiques elles-mêmes. Ils prévoient la dette publique de 17 pays de la zone euro, et XGBoost y fait mieux que les projections de la Commission européenne et du FMI.</w:t>
      </w:r>
      <w:bookmarkEnd w:id="81"/>
    </w:p>
    <w:p>
      <w:pPr>
        <w:pStyle w:val="Heading3"/>
        <w:rPr/>
      </w:pPr>
      <w:bookmarkStart w:id="82" w:name="le-contexte-américain-en-bref"/>
      <w:r>
        <w:rPr/>
        <w:t>1.3.2 Le contexte américain, en bref.</w:t>
      </w:r>
    </w:p>
    <w:p>
      <w:pPr>
        <w:pStyle w:val="FirstParagraph"/>
        <w:rPr/>
      </w:pPr>
      <w:bookmarkStart w:id="83" w:name="le-contexte-américain-en-bref"/>
      <w:r>
        <w:rPr/>
        <w:t>Ces travaux européens suivent une littérature américaine plus large. Gu, Kelly et Xiu (2020) montrent que les arbres de décision et les réseaux de neurones prévoient mieux les rendements des actions que les modèles linéaires, grâce aux effets non linéaires. Bianchi, Büchner et Tamoni (2021) trouvent le même type de gain pour les obligations d’État. En macroéconomie, Medeiros et al. (2021) et Goulet Coulombe et al. (2022) montrent que les forêts aléatoires prévoient bien l’inflation, surtout en période d’incertitude.</w:t>
      </w:r>
      <w:bookmarkEnd w:id="83"/>
    </w:p>
    <w:p>
      <w:pPr>
        <w:pStyle w:val="Heading3"/>
        <w:rPr/>
      </w:pPr>
      <w:bookmarkStart w:id="84" w:name="quels-modèles-avec-peu-de-données"/>
      <w:r>
        <w:rPr/>
        <w:t>1.3.3 Quels modèles avec peu de données.</w:t>
      </w:r>
    </w:p>
    <w:p>
      <w:pPr>
        <w:pStyle w:val="FirstParagraph"/>
        <w:rPr/>
      </w:pPr>
      <w:bookmarkStart w:id="85" w:name="quels-modèles-avec-peu-de-données"/>
      <w:r>
        <w:rPr/>
        <w:t>Les modèles à base d’arbres, comme les forêts aléatoires (Breiman, 2001) et XGBoost (Chen et Guestrin, 2016), fonctionnent bien sur des tableaux de données de taille moyenne. Le deep learning demande beaucoup plus d’observations : Fischer et Krauss (2018) obtiennent de bons résultats avec des réseaux LSTM, mais sur des données quotidiennes de centaines d’actions pendant plus de vingt ans. Avec environ 150 mois, un tel modèle apprendrait surtout le bruit.</w:t>
      </w:r>
      <w:bookmarkEnd w:id="85"/>
    </w:p>
    <w:p>
      <w:pPr>
        <w:pStyle w:val="Heading3"/>
        <w:rPr/>
      </w:pPr>
      <w:bookmarkStart w:id="86" w:name="ce-que-nous-en-retenons-2"/>
      <w:r>
        <w:rPr/>
        <w:t>1.3.4 Ce que nous en retenons.</w:t>
      </w:r>
    </w:p>
    <w:p>
      <w:pPr>
        <w:pStyle w:val="Compact"/>
        <w:numPr>
          <w:ilvl w:val="0"/>
          <w:numId w:val="25"/>
        </w:numPr>
        <w:rPr/>
      </w:pPr>
      <w:r>
        <w:rPr/>
        <w:t>Il faut comparer le machine learning à des références simples : la moyenne historique, la variation nulle et un modèle linéaire.</w:t>
      </w:r>
    </w:p>
    <w:p>
      <w:pPr>
        <w:pStyle w:val="Compact"/>
        <w:numPr>
          <w:ilvl w:val="0"/>
          <w:numId w:val="26"/>
        </w:numPr>
        <w:rPr/>
      </w:pPr>
      <w:r>
        <w:rPr/>
        <w:t>Le spread passé, principal prédicteur chez Bouillot et al. (2025), doit être dans tous les modèles. Sinon, on attribuerait aux dépenses ce qui vient en réalité du spread lui-même.</w:t>
      </w:r>
    </w:p>
    <w:p>
      <w:pPr>
        <w:pStyle w:val="Compact"/>
        <w:numPr>
          <w:ilvl w:val="0"/>
          <w:numId w:val="27"/>
        </w:numPr>
        <w:rPr/>
      </w:pPr>
      <w:r>
        <w:rPr/>
        <w:t>La forêt aléatoire et XGBoost sont adaptés à notre volume de données ; le deep learning ne l’est pas.</w:t>
      </w:r>
    </w:p>
    <w:p>
      <w:pPr>
        <w:pStyle w:val="Compact"/>
        <w:numPr>
          <w:ilvl w:val="0"/>
          <w:numId w:val="28"/>
        </w:numPr>
        <w:rPr/>
      </w:pPr>
      <w:bookmarkStart w:id="87" w:name="X27f0006f940c23a763f89cc3f723417490f25ae"/>
      <w:bookmarkStart w:id="88" w:name="ce-que-nous-en-retenons-2"/>
      <w:r>
        <w:rPr/>
        <w:t>Aucun de ces travaux ne mesure séparément ce qu’apportent les dépenses publiques. C’est la question précise de ce mémoire.</w:t>
      </w:r>
      <w:bookmarkEnd w:id="87"/>
      <w:bookmarkEnd w:id="88"/>
    </w:p>
    <w:p>
      <w:pPr>
        <w:pStyle w:val="Heading2"/>
        <w:rPr/>
      </w:pPr>
      <w:bookmarkStart w:id="89" w:name="__RefHeading___Toc19476_811951298"/>
      <w:bookmarkStart w:id="90" w:name="X9ae88ff3dd35a976078ba2fe427ef8b5284b26c"/>
      <w:bookmarkEnd w:id="8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91" w:name="lopen-data-budgétaire"/>
      <w:r>
        <w:rPr/>
        <w:t>1.4.1 L’open data budgétaire.</w:t>
      </w:r>
    </w:p>
    <w:p>
      <w:pPr>
        <w:pStyle w:val="FirstParagraph"/>
        <w:rPr/>
      </w:pPr>
      <w:r>
        <w:rPr/>
        <w:t>Janssen, Charalabidis et Zuiderwijk (2012)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92" w:name="lopen-data-budgétaire"/>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92"/>
    </w:p>
    <w:p>
      <w:pPr>
        <w:pStyle w:val="Heading3"/>
        <w:rPr/>
      </w:pPr>
      <w:bookmarkStart w:id="93" w:name="calendrier-de-publication-et-révisions"/>
      <w:r>
        <w:rPr/>
        <w:t>1.4.2 Calendrier de publication et révisions.</w:t>
      </w:r>
    </w:p>
    <w:p>
      <w:pPr>
        <w:pStyle w:val="FirstParagraph"/>
        <w:rPr/>
      </w:pPr>
      <w:r>
        <w:rPr/>
        <w:t>Giannone, Reichlin et Small (2008) montrent qu’une donnée n’apporte de l’information qu’à partir du moment où elle est publiée : son calendrier compte autant que son contenu. Croushore (2011)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bookmarkStart w:id="94" w:name="calendrier-de-publication-et-révisions"/>
      <w:r>
        <w:rPr/>
        <w:t>Aux États-Unis, McCracken et Ng (2016) ont construit FRED-MD, une base mensuelle de plus d’une centaine d’indicateurs macroéconomiques. Il n’existe pas d’équivalent français qui intègre l’exécution budgétaire.</w:t>
      </w:r>
      <w:bookmarkEnd w:id="94"/>
    </w:p>
    <w:p>
      <w:pPr>
        <w:pStyle w:val="Heading3"/>
        <w:rPr/>
      </w:pPr>
      <w:bookmarkStart w:id="95" w:name="éviter-de-se-tromper-soi-même"/>
      <w:r>
        <w:rPr/>
        <w:t>1.4.3 Éviter de se tromper soi-même.</w:t>
      </w:r>
    </w:p>
    <w:p>
      <w:pPr>
        <w:pStyle w:val="FirstParagraph"/>
        <w:rPr/>
      </w:pPr>
      <w:bookmarkStart w:id="96" w:name="éviter-de-se-tromper-soi-même"/>
      <w:r>
        <w:rPr/>
        <w:t>Bailey et al. (2014)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(1995) permet de le vérifier.</w:t>
      </w:r>
      <w:bookmarkEnd w:id="96"/>
    </w:p>
    <w:p>
      <w:pPr>
        <w:pStyle w:val="Heading3"/>
        <w:rPr/>
      </w:pPr>
      <w:bookmarkStart w:id="97" w:name="ce-que-nous-en-retenons-3"/>
      <w:r>
        <w:rPr/>
        <w:t>1.4.4 Ce que nous en retenons.</w:t>
      </w:r>
    </w:p>
    <w:p>
      <w:pPr>
        <w:pStyle w:val="Compact"/>
        <w:numPr>
          <w:ilvl w:val="0"/>
          <w:numId w:val="29"/>
        </w:numPr>
        <w:rPr/>
      </w:pPr>
      <w:r>
        <w:rPr/>
        <w:t>Les données budgétaires d’un mois ne peuvent servir qu’après leur publication : nous les décalons de deux mois.</w:t>
      </w:r>
    </w:p>
    <w:p>
      <w:pPr>
        <w:pStyle w:val="Compact"/>
        <w:numPr>
          <w:ilvl w:val="0"/>
          <w:numId w:val="30"/>
        </w:numPr>
        <w:rPr/>
      </w:pPr>
      <w:r>
        <w:rPr/>
        <w:t>Les montants cumulés doivent être transformés pour enlever la saisonnalité.</w:t>
      </w:r>
    </w:p>
    <w:p>
      <w:pPr>
        <w:pStyle w:val="Compact"/>
        <w:numPr>
          <w:ilvl w:val="0"/>
          <w:numId w:val="31"/>
        </w:numPr>
        <w:rPr/>
      </w:pPr>
      <w:r>
        <w:rPr/>
        <w:t>Les révisions seront discutées comme une limite.</w:t>
      </w:r>
    </w:p>
    <w:p>
      <w:pPr>
        <w:pStyle w:val="Compact"/>
        <w:numPr>
          <w:ilvl w:val="0"/>
          <w:numId w:val="32"/>
        </w:numPr>
        <w:rPr/>
      </w:pPr>
      <w:bookmarkStart w:id="98" w:name="X9ae88ff3dd35a976078ba2fe427ef8b5284b26c"/>
      <w:bookmarkStart w:id="99" w:name="ce-que-nous-en-retenons-3"/>
      <w:r>
        <w:rPr/>
        <w:t>Construire un jeu de données mensuel français qui croise budget et marchés est déjà, en soi, une contribution.</w:t>
      </w:r>
      <w:bookmarkEnd w:id="98"/>
      <w:bookmarkEnd w:id="99"/>
    </w:p>
    <w:p>
      <w:pPr>
        <w:pStyle w:val="Heading2"/>
        <w:rPr/>
      </w:pPr>
      <w:bookmarkStart w:id="100" w:name="__RefHeading___Toc19478_811951298"/>
      <w:bookmarkStart w:id="101" w:name="synthèse-et-positionnement-du-mémoire"/>
      <w:bookmarkEnd w:id="100"/>
      <w:bookmarkEnd w:id="101"/>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102" w:name="__RefHeading___Toc19558_811951298"/>
      <w:bookmarkEnd w:id="102"/>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Bouillot, Candelon et Kool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Apport des finances publiques non isolé (1 des 50 variables principales) ; cible en niveau, sans comparaison à la marche aléatoire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Belly et al.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Favero (2013)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Afonso, Arghyrou et Kontonikas (2015)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Bernoth, von Hagen et Schuknecht (2012)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Attinasi, Checherita et Nickel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Garlanda-Longueville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18"/>
                <w:szCs w:val="24"/>
                <w:lang w:val="en-US" w:eastAsia="en-US" w:bidi="ar-SA"/>
              </w:rPr>
              <w:t>France</w:t>
            </w:r>
            <w:r>
              <w:rPr>
                <w:kern w:val="0"/>
                <w:sz w:val="18"/>
                <w:szCs w:val="24"/>
                <w:lang w:val="en-US" w:eastAsia="en-US"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annonces budgétaires font bouger actions et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Barbier-Gauchard et Sofianos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Fama (1970)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Ramey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Welch et Goyal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Gu, Kelly et Xiu (2020)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Bianchi, Büchner et Tamoni (2021)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Giannone, Reichlin et Small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Croushore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103" w:name="le-vide-identifié"/>
      <w:r>
        <w:rPr/>
        <w:t>1.5.1 Le vide identifié.</w:t>
      </w:r>
    </w:p>
    <w:p>
      <w:pPr>
        <w:pStyle w:val="FirstParagraph"/>
        <w:rPr/>
      </w:pPr>
      <w:r>
        <w:rPr/>
        <w:t>La littérature se partage en deux blocs qui se croisent peu :</w:t>
      </w:r>
    </w:p>
    <w:p>
      <w:pPr>
        <w:pStyle w:val="Compact"/>
        <w:numPr>
          <w:ilvl w:val="0"/>
          <w:numId w:val="33"/>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4"/>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(2023), se concentre sur la France, et il porte sur les annonces, pas sur les dépenses exécutées. Même Bouillot et al. (2025)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(2025) commencent à rapprocher les deux blocs. Notre travail s’en distingue sur trois points :</w:t>
      </w:r>
    </w:p>
    <w:p>
      <w:pPr>
        <w:pStyle w:val="Compact"/>
        <w:numPr>
          <w:ilvl w:val="0"/>
          <w:numId w:val="35"/>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6"/>
        </w:numPr>
        <w:rPr/>
      </w:pPr>
      <w:r>
        <w:rPr>
          <w:b/>
          <w:bCs/>
        </w:rPr>
        <w:t>Nous utilisons les données détaillées d’exécution du budget français</w:t>
      </w:r>
      <w:r>
        <w:rPr/>
        <w:t>, par catégorie de dépense, en open data.</w:t>
      </w:r>
    </w:p>
    <w:p>
      <w:pPr>
        <w:pStyle w:val="Compact"/>
        <w:numPr>
          <w:ilvl w:val="0"/>
          <w:numId w:val="37"/>
        </w:numPr>
        <w:rPr/>
      </w:pPr>
      <w:r>
        <w:rPr>
          <w:b/>
          <w:bCs/>
        </w:rPr>
        <w:t>Nous comparons trois indicateurs</w:t>
      </w:r>
      <w:r>
        <w:rPr/>
        <w:t xml:space="preserve"> plus ou moins exposés au risque souverain : le spread, le taux OAT et le CAC 40.</w:t>
      </w:r>
      <w:bookmarkEnd w:id="103"/>
    </w:p>
    <w:p>
      <w:pPr>
        <w:pStyle w:val="Heading3"/>
        <w:rPr/>
      </w:pPr>
      <w:bookmarkStart w:id="104" w:name="problématique-et-hypothèses"/>
      <w:bookmarkEnd w:id="104"/>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38"/>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39"/>
        </w:numPr>
        <w:rPr/>
      </w:pPr>
      <w:r>
        <w:rPr>
          <w:b/>
          <w:bCs/>
        </w:rPr>
        <w:t>H2.</w:t>
      </w:r>
      <w:r>
        <w:rPr/>
        <w:t xml:space="preserve"> L’apport des dépenses diminue du spread au taux OAT, puis au CAC 40, à mesure que l’indicateur est moins exposé au risque souverain.</w:t>
      </w:r>
    </w:p>
    <w:p>
      <w:pPr>
        <w:pStyle w:val="Compact"/>
        <w:numPr>
          <w:ilvl w:val="0"/>
          <w:numId w:val="40"/>
        </w:numPr>
        <w:rPr/>
      </w:pPr>
      <w:r>
        <w:rPr>
          <w:b/>
          <w:bCs/>
        </w:rPr>
        <w:t>H3.</w:t>
      </w:r>
      <w:r>
        <w:rPr/>
        <w:t xml:space="preserve"> Les modèles de machine learning (forêt aléatoire, XGBoost) prévoient mieux que les modèles linéaires.</w:t>
      </w:r>
    </w:p>
    <w:p>
      <w:pPr>
        <w:pStyle w:val="Compact"/>
        <w:numPr>
          <w:ilvl w:val="0"/>
          <w:numId w:val="41"/>
        </w:numPr>
        <w:rPr/>
      </w:pPr>
      <w:r>
        <w:rPr>
          <w:b/>
          <w:bCs/>
        </w:rPr>
        <w:t>H4.</w:t>
      </w:r>
      <w:r>
        <w:rPr/>
        <w:t xml:space="preserve"> Parmi les dépenses, la charge de la dette et les dépenses d’intervention sont les plus prédictives.</w:t>
      </w:r>
    </w:p>
    <w:p>
      <w:pPr>
        <w:pStyle w:val="FirstParagraph"/>
        <w:rPr/>
      </w:pPr>
      <w:r>
        <w:rPr/>
        <w:t>En suivant Fama (1970) et Ramey (2011), un rejet de H1 reste un résultat plausible, et il nous apprendrait quelque chose.</w:t>
      </w:r>
    </w:p>
    <w:p>
      <w:pPr>
        <w:pStyle w:val="Normal"/>
        <w:rPr/>
      </w:pPr>
      <w:r>
        <w:rPr/>
      </w:r>
      <w:bookmarkStart w:id="105" w:name="chapitre-1-état-de-lart"/>
      <w:bookmarkStart w:id="106" w:name="synthèse-et-positionnement-du-mémoire"/>
      <w:bookmarkStart w:id="107" w:name="problématique-et-hypothèses"/>
      <w:bookmarkStart w:id="108" w:name="chapitre-1-état-de-lart"/>
      <w:bookmarkStart w:id="109" w:name="synthèse-et-positionnement-du-mémoire"/>
      <w:bookmarkStart w:id="110" w:name="problématique-et-hypothèses"/>
      <w:bookmarkEnd w:id="108"/>
      <w:bookmarkEnd w:id="109"/>
      <w:bookmarkEnd w:id="110"/>
      <w:r>
        <w:br w:type="page"/>
      </w:r>
    </w:p>
    <w:p>
      <w:pPr>
        <w:pStyle w:val="Heading1"/>
        <w:spacing w:before="0" w:after="240"/>
        <w:rPr/>
      </w:pPr>
      <w:bookmarkStart w:id="111" w:name="__RefHeading___Toc19480_811951298"/>
      <w:bookmarkStart w:id="112" w:name="chapitre-2-données-et-méthodologie"/>
      <w:bookmarkEnd w:id="111"/>
      <w:bookmarkEnd w:id="112"/>
      <w:r>
        <w:rPr/>
        <w:t>Chapitre 2 – Données et méthodologie</w:t>
      </w:r>
    </w:p>
    <w:p>
      <w:pPr>
        <w:pStyle w:val="Heading2"/>
        <w:rPr/>
      </w:pPr>
      <w:bookmarkStart w:id="113" w:name="__RefHeading___Toc19482_811951298"/>
      <w:bookmarkStart w:id="114" w:name="introduction-du-chapitre-1"/>
      <w:bookmarkEnd w:id="113"/>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15" w:name="introduction-du-chapitre-1"/>
      <w:r>
        <w:rPr/>
        <w:t>Le code et les données sont publiés sur GitHub. Chaque tableau et chaque figure de ce mémoire peut donc être recalculé à partir des fichiers bruts.</w:t>
      </w:r>
      <w:bookmarkEnd w:id="115"/>
    </w:p>
    <w:p>
      <w:pPr>
        <w:pStyle w:val="Heading2"/>
        <w:rPr/>
      </w:pPr>
      <w:bookmarkStart w:id="116" w:name="__RefHeading___Toc19484_811951298"/>
      <w:bookmarkStart w:id="117" w:name="sources-des-données"/>
      <w:bookmarkEnd w:id="116"/>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18" w:name="__RefHeading___Toc19600_811951298"/>
      <w:bookmarkEnd w:id="118"/>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Cibles et 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directeurs de la BCE (refinancement,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2"/>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3"/>
        </w:numPr>
        <w:rPr/>
      </w:pPr>
      <w:r>
        <w:rPr>
          <w:b/>
          <w:bCs/>
        </w:rPr>
        <w:t>Le CAC 40 est un indice de prix</w:t>
      </w:r>
      <w:r>
        <w:rPr/>
        <w:t>, qui ne compte pas les dividendes.</w:t>
      </w:r>
    </w:p>
    <w:p>
      <w:pPr>
        <w:pStyle w:val="Compact"/>
        <w:numPr>
          <w:ilvl w:val="0"/>
          <w:numId w:val="44"/>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5"/>
        </w:numPr>
        <w:rPr/>
      </w:pPr>
      <w:r>
        <w:rPr>
          <w:b/>
          <w:bCs/>
        </w:rPr>
        <w:t>Le budget voté pour 2026 n’est pas dans les fichiers ouverts.</w:t>
      </w:r>
      <w:r>
        <w:rPr/>
        <w:t xml:space="preserve"> L’extension qui l’utilise (E4) s’arrête donc en février 2026.</w:t>
      </w:r>
      <w:bookmarkEnd w:id="117"/>
    </w:p>
    <w:p>
      <w:pPr>
        <w:pStyle w:val="Heading2"/>
        <w:rPr/>
      </w:pPr>
      <w:bookmarkStart w:id="119" w:name="__RefHeading___Toc19486_811951298"/>
      <w:bookmarkStart w:id="120" w:name="construction-du-jeu-de-données"/>
      <w:bookmarkEnd w:id="119"/>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Heading3"/>
        <w:rPr/>
      </w:pPr>
      <w:bookmarkStart w:id="121"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21"/>
    </w:p>
    <w:p>
      <w:pPr>
        <w:pStyle w:val="Heading3"/>
        <w:rPr/>
      </w:pPr>
      <w:bookmarkStart w:id="122"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6"/>
        </w:numPr>
        <w:rPr/>
      </w:pPr>
      <w:r>
        <w:rPr>
          <w:b/>
          <w:bCs/>
        </w:rPr>
        <w:t>La somme des 12 derniers mois</w:t>
      </w:r>
      <w:r>
        <w:rPr/>
        <w:t xml:space="preserve"> (en milliards d’euros). Elle donne le niveau annuel, sans effet de saison.</w:t>
      </w:r>
    </w:p>
    <w:p>
      <w:pPr>
        <w:pStyle w:val="Compact"/>
        <w:numPr>
          <w:ilvl w:val="0"/>
          <w:numId w:val="47"/>
        </w:numPr>
        <w:rPr/>
      </w:pPr>
      <w:r>
        <w:rPr>
          <w:b/>
          <w:bCs/>
        </w:rPr>
        <w:t>L’écart du cumul depuis janvier par rapport au même mois de l’année précédente, rapporté au total annuel</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janvier, le cumul est presque nul, et le taux prend des valeurs absurdes : de -902 % à +1 789 % pour l’impôt sur les sociétés. Diviser par le total annuel règle ce problème.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23" w:name="neutraliser-la-saisonnalité"/>
      <w:r>
        <w:rPr/>
        <w:t>Nous avons exclu les opérations financières. Ce sont des prises de participation ou des soutiens exceptionnels, très irréguliers, et non une dépense économique courante. Leur écart annuel atteignait -462 %.</w:t>
      </w:r>
      <w:bookmarkEnd w:id="123"/>
    </w:p>
    <w:p>
      <w:pPr>
        <w:pStyle w:val="Heading3"/>
        <w:rPr/>
      </w:pPr>
      <w:bookmarkStart w:id="124"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bookmarkStart w:id="125" w:name="respecter-le-calendrier-de-publication"/>
      <w:r>
        <w:rPr/>
        <w:t>Sans ces décalages, le modèle utiliserait des chiffres que personne ne connaissait encore au moment de la prévision. Ses performances seraient alors gonflées artificiellement. C’est le biais d’anticipation, bien connu pour les données macroéconomiques (Croushore, 2011).</w:t>
      </w:r>
      <w:bookmarkEnd w:id="125"/>
    </w:p>
    <w:p>
      <w:pPr>
        <w:pStyle w:val="Heading3"/>
        <w:rPr/>
      </w:pPr>
      <w:bookmarkStart w:id="126"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27" w:name="__RefHeading___Toc19598_811951298"/>
      <w:bookmarkEnd w:id="127"/>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31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20"/>
      <w:bookmarkEnd w:id="126"/>
    </w:p>
    <w:p>
      <w:pPr>
        <w:pStyle w:val="Heading2"/>
        <w:rPr/>
      </w:pPr>
      <w:bookmarkStart w:id="128" w:name="__RefHeading___Toc19488_811951298"/>
      <w:bookmarkStart w:id="129" w:name="variables-cibles-et-stationnarité"/>
      <w:bookmarkEnd w:id="128"/>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30" w:name="__RefHeading___Toc19596_811951298"/>
      <w:bookmarkEnd w:id="130"/>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31" w:name="X1f226371d223a388ad860388f2edd529dc4d91f"/>
      <w:r>
        <w:rPr/>
        <w:t>Pourquoi prédire des variations plutôt que des niveaux.</w:t>
      </w:r>
    </w:p>
    <w:p>
      <w:pPr>
        <w:pStyle w:val="FirstParagraph"/>
        <w:rPr/>
      </w:pPr>
      <w:r>
        <w:rPr/>
        <w:t>Le test de Dickey-Fuller augmenté (ADF) confirme que les trois cibles, en variations, sont stationnaires, alors que les niveaux ne le sont pas :</w:t>
      </w:r>
    </w:p>
    <w:p>
      <w:pPr>
        <w:pStyle w:val="CaptionTable"/>
        <w:keepNext w:val="true"/>
        <w:spacing w:lineRule="auto" w:line="240" w:before="120" w:after="80"/>
        <w:jc w:val="left"/>
        <w:rPr/>
      </w:pPr>
      <w:bookmarkStart w:id="132" w:name="__RefHeading___Toc19594_811951298"/>
      <w:bookmarkEnd w:id="132"/>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33" w:name="variables-cibles-et-stationnarité"/>
      <w:bookmarkStart w:id="134" w:name="X1f226371d223a388ad860388f2edd529dc4d91f"/>
      <w:r>
        <w:rPr/>
        <w:t>Nous testons aussi une version plus simple dans les extensions : deviner seulement si le spread va monter ou baisser. Sur notre échantillon, il a monté dans 52 % des mois.</w:t>
      </w:r>
      <w:bookmarkEnd w:id="133"/>
      <w:bookmarkEnd w:id="134"/>
    </w:p>
    <w:p>
      <w:pPr>
        <w:pStyle w:val="Heading2"/>
        <w:rPr/>
      </w:pPr>
      <w:bookmarkStart w:id="135" w:name="__RefHeading___Toc19490_811951298"/>
      <w:bookmarkStart w:id="136" w:name="variables-explicatives"/>
      <w:bookmarkEnd w:id="135"/>
      <w:r>
        <w:rPr/>
        <w:t>2.4 Variables explicatives</w:t>
      </w:r>
    </w:p>
    <w:p>
      <w:pPr>
        <w:pStyle w:val="FirstParagraph"/>
        <w:rPr/>
      </w:pPr>
      <w:r>
        <w:rPr/>
        <w:t xml:space="preserve">Nous n’avons pas choisi les variables une par une selon leurs corrélations. Nous avons construit trois jeux emboités,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37" w:name="__RefHeading___Toc19592_811951298"/>
      <w:bookmarkEnd w:id="137"/>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38"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 ADF supérieure à 0,7). </w:t>
      </w:r>
      <w:r>
        <w:rPr>
          <w:b/>
          <w:bCs/>
        </w:rPr>
        <w:t>Nos modèles utilisent donc les écarts annuels, pas les niveaux.</w:t>
      </w:r>
      <w:r>
        <w:rPr/>
        <w:t xml:space="preserve"> Ces écarts sont beaucoup plus proches de la stationnarité (p-values ADF entre 0,01 et 0,06).</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a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36"/>
      <w:bookmarkEnd w:id="138"/>
    </w:p>
    <w:p>
      <w:pPr>
        <w:pStyle w:val="Heading2"/>
        <w:rPr/>
      </w:pPr>
      <w:bookmarkStart w:id="139" w:name="__RefHeading___Toc19492_811951298"/>
      <w:bookmarkStart w:id="140" w:name="modèles-retenus"/>
      <w:bookmarkEnd w:id="139"/>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(Gu, Kelly et Xiu, 2020 ; Bouillot, Candelon et Kool, 2025). Nous comparons cinq approches, des plus simples aux plus flexibles :</w:t>
      </w:r>
    </w:p>
    <w:p>
      <w:pPr>
        <w:pStyle w:val="CaptionTable"/>
        <w:keepNext w:val="true"/>
        <w:spacing w:lineRule="auto" w:line="240" w:before="120" w:after="80"/>
        <w:jc w:val="left"/>
        <w:rPr/>
      </w:pPr>
      <w:bookmarkStart w:id="141" w:name="__RefHeading___Toc19590_811951298"/>
      <w:bookmarkEnd w:id="141"/>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modèle qui ne la bat pas n’a pas de pouvoir prédictif (Welch et Goyal, 2008 ; 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Capte les effets non linéaires, stable sur de petits échantillons (Breiman, 2001 ; Medeiros et al., 2021)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Meilleur modèle chez Bouillot et al. (2025) pour les spreads européens (Chen et Guestrin, 2016)</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(2018), travaillent sur des données quotidiennes de centaines d’actions, soit des centaines de milliers d’observations.</w:t>
      </w:r>
    </w:p>
    <w:p>
      <w:pPr>
        <w:pStyle w:val="Heading3"/>
        <w:rPr/>
      </w:pPr>
      <w:bookmarkStart w:id="142"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48"/>
        </w:numPr>
        <w:rPr/>
      </w:pPr>
      <w:r>
        <w:rPr>
          <w:b/>
          <w:bCs/>
        </w:rPr>
        <w:t>Ridge</w:t>
      </w:r>
      <w:r>
        <w:rPr/>
        <w:t xml:space="preserve"> : paramètre de régularisation choisi automatiquement sur les données d’entraînement, parmi 40 valeurs entre 0,01 et 1 000 000. La grille initiale s’arrêtait à 1 000 ; lors de la revue du code, nous avons constaté que cette borne était atteinte la plupart des mois pour le CAC 40, et nous l’avons élargie (le R² de Ridge change d’au plus 1,2 point).</w:t>
      </w:r>
    </w:p>
    <w:p>
      <w:pPr>
        <w:pStyle w:val="Compact"/>
        <w:numPr>
          <w:ilvl w:val="0"/>
          <w:numId w:val="49"/>
        </w:numPr>
        <w:rPr/>
      </w:pPr>
      <w:r>
        <w:rPr>
          <w:b/>
          <w:bCs/>
        </w:rPr>
        <w:t>Forêt aléatoire</w:t>
      </w:r>
      <w:r>
        <w:rPr/>
        <w:t xml:space="preserve"> : 300 arbres, profondeur maximale 4, au moins 5 observations par feuille, 50 % des variables tirées à chaque division.</w:t>
      </w:r>
    </w:p>
    <w:p>
      <w:pPr>
        <w:pStyle w:val="Compact"/>
        <w:numPr>
          <w:ilvl w:val="0"/>
          <w:numId w:val="50"/>
        </w:numPr>
        <w:rPr/>
      </w:pPr>
      <w:r>
        <w:rPr>
          <w:b/>
          <w:bCs/>
        </w:rPr>
        <w:t>XGBoost</w:t>
      </w:r>
      <w:r>
        <w:rPr/>
        <w:t xml:space="preserve"> : 200 arbres, profondeur maximale 2, taux d’apprentissage 0,05, sous-échantillonnage de 80 % des observations et des variables.</w:t>
      </w:r>
    </w:p>
    <w:p>
      <w:pPr>
        <w:pStyle w:val="FirstParagraph"/>
        <w:rPr/>
      </w:pPr>
      <w:bookmarkStart w:id="143" w:name="modèles-retenus"/>
      <w:bookmarkStart w:id="144"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43"/>
      <w:bookmarkEnd w:id="144"/>
    </w:p>
    <w:p>
      <w:pPr>
        <w:pStyle w:val="Heading2"/>
        <w:rPr/>
      </w:pPr>
      <w:bookmarkStart w:id="145" w:name="__RefHeading___Toc19494_811951298"/>
      <w:bookmarkStart w:id="146" w:name="protocole-dévaluation"/>
      <w:bookmarkEnd w:id="145"/>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47"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1"/>
        </w:numPr>
        <w:rPr/>
      </w:pPr>
      <w:r>
        <w:rPr/>
        <w:t>Le modèle est entraîné sur mars 2014 – décembre 2019 (70 mois) et prédit janvier 2020.</w:t>
      </w:r>
    </w:p>
    <w:p>
      <w:pPr>
        <w:pStyle w:val="Compact"/>
        <w:numPr>
          <w:ilvl w:val="0"/>
          <w:numId w:val="12"/>
        </w:numPr>
        <w:rPr/>
      </w:pPr>
      <w:r>
        <w:rPr/>
        <w:t>Il est réentraîné en ajoutant janvier 2020, puis prédit février 2020.</w:t>
      </w:r>
    </w:p>
    <w:p>
      <w:pPr>
        <w:pStyle w:val="Compact"/>
        <w:numPr>
          <w:ilvl w:val="0"/>
          <w:numId w:val="12"/>
        </w:numPr>
        <w:rPr/>
      </w:pPr>
      <w:r>
        <w:rPr/>
        <w:t>L’opération est répétée chaque mois jusqu’à juillet 2026.</w:t>
      </w:r>
    </w:p>
    <w:p>
      <w:pPr>
        <w:pStyle w:val="FirstParagraph"/>
        <w:rPr/>
      </w:pPr>
      <w:r>
        <w:rPr/>
        <w:t xml:space="preserve">La période de test compte </w:t>
      </w:r>
      <w:r>
        <w:rPr>
          <w:b/>
          <w:bCs/>
        </w:rPr>
        <w:t>79 mois</w:t>
      </w:r>
      <w:r>
        <w:rPr/>
        <w:t>, de janvier 2020 à juillet 2026. Elle traverse des contextes très différents : le Covid-19, la hausse des taux de la BCE à partir de 2022, puis les tensions politiques et budgétaires françaises de 2024 à 2026.</w:t>
      </w:r>
      <w:bookmarkEnd w:id="147"/>
    </w:p>
    <w:p>
      <w:pPr>
        <w:pStyle w:val="Heading3"/>
        <w:rPr/>
      </w:pPr>
      <w:bookmarkStart w:id="148" w:name="mesures-de-performance"/>
      <w:r>
        <w:rPr/>
        <w:t>2.6.2 Mesures de performance.</w:t>
      </w:r>
    </w:p>
    <w:p>
      <w:pPr>
        <w:pStyle w:val="CaptionTable"/>
        <w:keepNext w:val="true"/>
        <w:spacing w:lineRule="auto" w:line="240" w:before="120" w:after="80"/>
        <w:jc w:val="left"/>
        <w:rPr/>
      </w:pPr>
      <w:bookmarkStart w:id="149" w:name="__RefHeading___Toc19588_811951298"/>
      <w:bookmarkEnd w:id="149"/>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gain par rapport à la moyenne historique : positif si le modèle fait mieux, négatif sinon (Campbell et Thompson, 2008)</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2700020" cy="10090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2700020" cy="100901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48"/>
    </w:p>
    <w:p>
      <w:pPr>
        <w:pStyle w:val="Heading3"/>
        <w:rPr/>
      </w:pPr>
      <w:bookmarkStart w:id="150"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(1995)</w:t>
      </w:r>
      <w:r>
        <w:rPr/>
        <w:t>, avec la correction de Harvey, Leybourne et Newbold (1997) pour les petits échantillons. Il nous dit si l’écart d’erreurs entre deux modèles est assez grand pour ne pas être dû au hasard. Nous l’appliquons à trois comparaisons :</w:t>
      </w:r>
    </w:p>
    <w:p>
      <w:pPr>
        <w:pStyle w:val="Compact"/>
        <w:numPr>
          <w:ilvl w:val="0"/>
          <w:numId w:val="52"/>
        </w:numPr>
        <w:rPr/>
      </w:pPr>
      <w:r>
        <w:rPr/>
        <w:t>M1 contre M0 pour chaque modèle (test de l’hypothèse H1) ;</w:t>
      </w:r>
    </w:p>
    <w:p>
      <w:pPr>
        <w:pStyle w:val="Compact"/>
        <w:numPr>
          <w:ilvl w:val="0"/>
          <w:numId w:val="53"/>
        </w:numPr>
        <w:rPr/>
      </w:pPr>
      <w:r>
        <w:rPr/>
        <w:t>chaque modèle contre la moyenne historique ;</w:t>
      </w:r>
    </w:p>
    <w:p>
      <w:pPr>
        <w:pStyle w:val="Compact"/>
        <w:numPr>
          <w:ilvl w:val="0"/>
          <w:numId w:val="54"/>
        </w:numPr>
        <w:rPr/>
      </w:pPr>
      <w:bookmarkStart w:id="151" w:name="tests-statistiques"/>
      <w:r>
        <w:rPr/>
        <w:t>forêt aléatoire et XGBoost contre Ridge (hypothèse H3).</w:t>
      </w:r>
      <w:bookmarkEnd w:id="151"/>
    </w:p>
    <w:p>
      <w:pPr>
        <w:pStyle w:val="Heading3"/>
        <w:rPr/>
      </w:pPr>
      <w:bookmarkStart w:id="152"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(Lundberg et Lee, 2017).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6"/>
      <w:bookmarkEnd w:id="152"/>
    </w:p>
    <w:p>
      <w:pPr>
        <w:pStyle w:val="Heading2"/>
        <w:rPr/>
      </w:pPr>
      <w:bookmarkStart w:id="153" w:name="__RefHeading___Toc19496_811951298"/>
      <w:bookmarkStart w:id="154" w:name="Xe43980d90f80326a1c3dbbdccb49a1d499f6c02"/>
      <w:bookmarkEnd w:id="153"/>
      <w:r>
        <w:rPr/>
        <w:t>2.7 Extensions pré-enregistrées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(2014)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mais avant leurs propres données. E18 est donc présentée comme exploratoire, car son idée vient directement d’un résultat d’E15.</w:t>
      </w:r>
    </w:p>
    <w:p>
      <w:pPr>
        <w:pStyle w:val="CaptionTable"/>
        <w:keepNext w:val="true"/>
        <w:spacing w:lineRule="auto" w:line="240" w:before="120" w:after="80"/>
        <w:jc w:val="left"/>
        <w:rPr/>
      </w:pPr>
      <w:bookmarkStart w:id="155" w:name="__RefHeading___Toc19586_811951298"/>
      <w:bookmarkEnd w:id="155"/>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réagit à l’information nouvelle (Ramey, 2011)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sensibilité aux finances publiques varie dans le temps (Afonso et al., 2015)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réglé par validation croisée temporelle emboitée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Répliquer le cadre de Bouillot et al. (2025)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Incertitude de politique économique (indice européen de Baker, Bloom et Davis)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56"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(1995)</w:t>
      </w:r>
      <w:r>
        <w:rPr/>
        <w:t>, avec un taux de fausses découvertes de 10 %. Nous ne considérons comme significatifs que les résultats qui résistent à cette correction.</w:t>
      </w:r>
      <w:bookmarkEnd w:id="154"/>
      <w:bookmarkEnd w:id="156"/>
    </w:p>
    <w:p>
      <w:pPr>
        <w:pStyle w:val="Heading2"/>
        <w:rPr/>
      </w:pPr>
      <w:bookmarkStart w:id="157" w:name="__RefHeading___Toc19498_811951298"/>
      <w:bookmarkStart w:id="158" w:name="considérations-éthiques"/>
      <w:bookmarkEnd w:id="157"/>
      <w:bookmarkEnd w:id="158"/>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disponibles dans un dépôt GitHub,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(Bailey et al., 2014).</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la validation des résultats et les interprétations relèvent de l’auteur.</w:t>
      </w:r>
    </w:p>
    <w:p>
      <w:pPr>
        <w:pStyle w:val="Normal"/>
        <w:rPr/>
      </w:pPr>
      <w:r>
        <w:rPr/>
      </w:r>
      <w:bookmarkStart w:id="159" w:name="chapitre-2-données-et-méthodologie"/>
      <w:bookmarkStart w:id="160" w:name="considérations-éthiques"/>
      <w:bookmarkStart w:id="161" w:name="chapitre-2-données-et-méthodologie"/>
      <w:bookmarkStart w:id="162" w:name="considérations-éthiques"/>
      <w:bookmarkEnd w:id="161"/>
      <w:bookmarkEnd w:id="162"/>
      <w:r>
        <w:br w:type="page"/>
      </w:r>
    </w:p>
    <w:p>
      <w:pPr>
        <w:pStyle w:val="Heading1"/>
        <w:spacing w:before="0" w:after="240"/>
        <w:rPr/>
      </w:pPr>
      <w:bookmarkStart w:id="163" w:name="__RefHeading___Toc19500_811951298"/>
      <w:bookmarkStart w:id="164" w:name="chapitre-3-résultats"/>
      <w:bookmarkEnd w:id="163"/>
      <w:bookmarkEnd w:id="164"/>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vingt extensions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5" w:name="__RefHeading___Toc19502_811951298"/>
      <w:bookmarkStart w:id="166" w:name="statistiques-descriptives"/>
      <w:bookmarkEnd w:id="165"/>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7" w:name="__RefHeading___Toc19584_811951298"/>
      <w:bookmarkEnd w:id="167"/>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8" w:name="__RefHeading___Toc19602_811951298"/>
      <w:bookmarkEnd w:id="168"/>
      <w:r>
        <w:rPr>
          <w:b/>
          <w:bCs/>
          <w:sz w:val="22"/>
        </w:rPr>
        <w:t>Figure 3.1 – Distribution des trois cibles</w:t>
      </w:r>
    </w:p>
    <w:p>
      <w:pPr>
        <w:pStyle w:val="BodyText"/>
        <w:keepNext w:val="false"/>
        <w:spacing w:lineRule="auto" w:line="240" w:before="40" w:after="240"/>
        <w:jc w:val="left"/>
        <w:rPr/>
      </w:pPr>
      <w:bookmarkStart w:id="169" w:name="statistiques-descriptives"/>
      <w:r>
        <w:rPr>
          <w:i/>
          <w:iCs/>
          <w:sz w:val="20"/>
        </w:rPr>
        <w:t>Source : calculs de l’auteur.</w:t>
      </w:r>
      <w:bookmarkEnd w:id="169"/>
    </w:p>
    <w:p>
      <w:pPr>
        <w:pStyle w:val="Heading2"/>
        <w:rPr/>
      </w:pPr>
      <w:bookmarkStart w:id="170" w:name="__RefHeading___Toc19504_811951298"/>
      <w:bookmarkStart w:id="171" w:name="modèles-principaux"/>
      <w:bookmarkEnd w:id="170"/>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72" w:name="__RefHeading___Toc19582_811951298"/>
      <w:bookmarkEnd w:id="172"/>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qui prévoit presque toujours le même signe,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73" w:name="__RefHeading___Toc19580_811951298"/>
      <w:bookmarkEnd w:id="173"/>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0,03</w:t>
            </w:r>
            <w:r>
              <w:rPr>
                <w:kern w:val="0"/>
                <w:sz w:val="20"/>
                <w:szCs w:val="24"/>
                <w:lang w:val="en-US" w:eastAsia="en-US"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va dans le sens contraire de H3 : sur le CAC 40, XGBoost fait moins bien que Ridge.</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74" w:name="__RefHeading___Toc19608_811951298"/>
      <w:bookmarkEnd w:id="174"/>
      <w:r>
        <w:rPr>
          <w:b/>
          <w:bCs/>
          <w:sz w:val="22"/>
        </w:rPr>
        <w:t>Figure 3.2 – RMSE relatif à la moyenne historique</w:t>
      </w:r>
    </w:p>
    <w:p>
      <w:pPr>
        <w:pStyle w:val="BodyText"/>
        <w:keepNext w:val="false"/>
        <w:spacing w:lineRule="auto" w:line="240" w:before="40" w:after="240"/>
        <w:jc w:val="left"/>
        <w:rPr/>
      </w:pPr>
      <w:bookmarkStart w:id="175" w:name="modèles-principaux"/>
      <w:r>
        <w:rPr>
          <w:i/>
          <w:iCs/>
          <w:sz w:val="20"/>
        </w:rPr>
        <w:t>Source : calculs de l’auteur.</w:t>
      </w:r>
      <w:bookmarkEnd w:id="175"/>
    </w:p>
    <w:p>
      <w:pPr>
        <w:pStyle w:val="Heading2"/>
        <w:rPr/>
      </w:pPr>
      <w:bookmarkStart w:id="176" w:name="__RefHeading___Toc19506_811951298"/>
      <w:bookmarkStart w:id="177" w:name="solidité-des-résultats"/>
      <w:bookmarkEnd w:id="176"/>
      <w:r>
        <w:rPr/>
        <w:t>3.3 Solidité des résultats</w:t>
      </w:r>
    </w:p>
    <w:p>
      <w:pPr>
        <w:pStyle w:val="FirstParagraph"/>
        <w:rPr/>
      </w:pPr>
      <w:r>
        <w:rPr/>
        <w:t>Quatre contrôles complètent le tableau 3.2. Ils ont été ajoutés lors de la revue du code, après les premiers résultats.</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(tableau 3.4).</w:t>
      </w:r>
    </w:p>
    <w:p>
      <w:pPr>
        <w:pStyle w:val="CaptionTable"/>
        <w:keepNext w:val="true"/>
        <w:spacing w:lineRule="auto" w:line="240" w:before="120" w:after="80"/>
        <w:jc w:val="left"/>
        <w:rPr/>
      </w:pPr>
      <w:bookmarkStart w:id="178" w:name="__RefHeading___Toc19578_811951298"/>
      <w:bookmarkEnd w:id="178"/>
      <w:r>
        <w:rPr>
          <w:b/>
          <w:bCs/>
          <w:sz w:val="22"/>
        </w:rPr>
        <w:t>Tableau 3.4 – Contrôle positif : part des tirages où le signal est retrouvé (Ridge, 10 tirages)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Test DM significatif (5 %)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10 %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77"/>
    </w:p>
    <w:p>
      <w:pPr>
        <w:pStyle w:val="Heading2"/>
        <w:rPr/>
      </w:pPr>
      <w:bookmarkStart w:id="179" w:name="__RefHeading___Toc19508_811951298"/>
      <w:bookmarkStart w:id="180" w:name="importance-des-variables-1"/>
      <w:bookmarkEnd w:id="179"/>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Les dépenses d’intervention arrivent en tête pour le spread et l’OAT, l’investissement pour le CAC 40.</w:t>
      </w:r>
    </w:p>
    <w:p>
      <w:pPr>
        <w:pStyle w:val="BodyText"/>
        <w:rPr/>
      </w:pPr>
      <w:r>
        <w:rPr/>
        <w:t xml:space="preserve">Pour juger ce chiffre, nous avons remplacé les sept dépenses par sept variables de pur bruit, tirées au hasard (10 tirages). Ces variables sans aucune information obtiennent en moyenne </w:t>
      </w:r>
      <w:r>
        <w:rPr>
          <w:b/>
          <w:bCs/>
        </w:rPr>
        <w:t>34 à 38 %</w:t>
      </w:r>
      <w:r>
        <w:rPr/>
        <w:t xml:space="preserve"> de l’importance SHAP.</w:t>
      </w:r>
    </w:p>
    <w:p>
      <w:pPr>
        <w:pStyle w:val="CaptionTable"/>
        <w:keepNext w:val="true"/>
        <w:spacing w:lineRule="auto" w:line="240" w:before="120" w:after="80"/>
        <w:jc w:val="left"/>
        <w:rPr/>
      </w:pPr>
      <w:bookmarkStart w:id="181" w:name="__RefHeading___Toc19576_811951298"/>
      <w:bookmarkEnd w:id="181"/>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lors de la revue : l’importance par permutation. On mélange au hasard les valeurs d’un groupe de variables sur la période de test, puis on mesure la hausse de l’erreur. Quand on mélange les sept dépenses, l’erreur n’augmente pas : le RMSE baisse légèrement, de 0,1 % à 2,5 % selon la cible et le modèle (Ridge et XGBoost).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82" w:name="__RefHeading___Toc19606_811951298"/>
      <w:bookmarkEnd w:id="182"/>
      <w:r>
        <w:rPr>
          <w:b/>
          <w:bCs/>
          <w:sz w:val="22"/>
        </w:rPr>
        <w:t>Figure 3.3 – Importance SHAP des variables</w:t>
      </w:r>
    </w:p>
    <w:p>
      <w:pPr>
        <w:pStyle w:val="BodyText"/>
        <w:keepNext w:val="false"/>
        <w:spacing w:lineRule="auto" w:line="240" w:before="40" w:after="240"/>
        <w:jc w:val="left"/>
        <w:rPr/>
      </w:pPr>
      <w:bookmarkStart w:id="183" w:name="importance-des-variables-1"/>
      <w:r>
        <w:rPr>
          <w:i/>
          <w:iCs/>
          <w:sz w:val="20"/>
        </w:rPr>
        <w:t>Source : calculs de l’auteur.</w:t>
      </w:r>
      <w:bookmarkEnd w:id="183"/>
    </w:p>
    <w:p>
      <w:pPr>
        <w:pStyle w:val="Heading2"/>
        <w:rPr/>
      </w:pPr>
      <w:bookmarkStart w:id="184" w:name="__RefHeading___Toc19510_811951298"/>
      <w:bookmarkStart w:id="185" w:name="X61a4d291439392788f28764514cb69606ca960d"/>
      <w:bookmarkEnd w:id="184"/>
      <w:r>
        <w:rPr/>
        <w:t>3.5 Extensions sur les données françaises (E1 à E13)</w:t>
      </w:r>
    </w:p>
    <w:p>
      <w:pPr>
        <w:pStyle w:val="FirstParagraph"/>
        <w:rPr/>
      </w:pPr>
      <w:r>
        <w:rPr/>
        <w:t>Les treize extensions françaises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Le détail par modèle est en annexe.</w:t>
      </w:r>
    </w:p>
    <w:p>
      <w:pPr>
        <w:pStyle w:val="CaptionTable"/>
        <w:keepNext w:val="true"/>
        <w:spacing w:lineRule="auto" w:line="240" w:before="120" w:after="80"/>
        <w:jc w:val="left"/>
        <w:rPr/>
      </w:pPr>
      <w:bookmarkStart w:id="186" w:name="__RefHeading___Toc19574_811951298"/>
      <w:bookmarkEnd w:id="186"/>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-7,0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 / -8,7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-12,2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-30,3 / -39,6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-94,0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-6,7 / -7,7</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-4,0 / -7,5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-10,7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7" w:name="__RefHeading___Toc19604_811951298"/>
      <w:bookmarkEnd w:id="187"/>
      <w:r>
        <w:rPr>
          <w:b/>
          <w:bCs/>
          <w:sz w:val="22"/>
        </w:rPr>
        <w:t>Figure 3.4 – Synthèse des extensions</w:t>
      </w:r>
    </w:p>
    <w:p>
      <w:pPr>
        <w:pStyle w:val="BodyText"/>
        <w:keepNext w:val="false"/>
        <w:spacing w:lineRule="auto" w:line="240" w:before="40" w:after="240"/>
        <w:jc w:val="left"/>
        <w:rPr/>
      </w:pPr>
      <w:bookmarkStart w:id="188" w:name="X61a4d291439392788f28764514cb69606ca960d"/>
      <w:r>
        <w:rPr>
          <w:i/>
          <w:iCs/>
          <w:sz w:val="20"/>
        </w:rPr>
        <w:t>Source : calculs de l’auteur.</w:t>
      </w:r>
      <w:bookmarkEnd w:id="188"/>
    </w:p>
    <w:p>
      <w:pPr>
        <w:pStyle w:val="Heading2"/>
        <w:rPr/>
      </w:pPr>
      <w:bookmarkStart w:id="189" w:name="__RefHeading___Toc19512_811951298"/>
      <w:bookmarkStart w:id="190" w:name="X98da76a2dfe6287c3d8c5b97d63fcea983b716d"/>
      <w:bookmarkEnd w:id="189"/>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montre que la cible en moyenne trimestrielle est autocorrélée (0,32, contre 0,07 pour le spread de fin de trimestre). Avec le spread de fin de trimestre, les deux R² deviennent négatifs : -4,1 % sans dépenses et -2,9 % avec.</w:t>
      </w:r>
    </w:p>
    <w:p>
      <w:pPr>
        <w:pStyle w:val="BodyText"/>
        <w:rPr/>
      </w:pPr>
      <w:r>
        <w:rPr>
          <w:b/>
          <w:bCs/>
        </w:rPr>
        <w:t>E16 – réplication élargie de Bouillot et al. (2025).</w:t>
      </w:r>
      <w:r>
        <w:rPr/>
        <w:t xml:space="preserve"> Le panel mensuel compte 150 variables, dont 18 de finances publiques, et 874 prévisions. Sur le </w:t>
      </w:r>
      <w:r>
        <w:rPr>
          <w:b/>
          <w:bCs/>
        </w:rPr>
        <w:t>niveau</w:t>
      </w:r>
      <w:r>
        <w:rPr/>
        <w:t xml:space="preserve"> du spread, le R² par rapport à la moyenne atteint 90 à 97 %.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0,88).</w:t>
      </w:r>
    </w:p>
    <w:p>
      <w:pPr>
        <w:pStyle w:val="CaptionTable"/>
        <w:keepNext w:val="true"/>
        <w:spacing w:lineRule="auto" w:line="240" w:before="120" w:after="80"/>
        <w:jc w:val="left"/>
        <w:rPr/>
      </w:pPr>
      <w:bookmarkStart w:id="191" w:name="__RefHeading___Toc19572_811951298"/>
      <w:bookmarkEnd w:id="191"/>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-139,6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-45,5 %,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-5,0 % (p = 0,20).</w:t>
      </w:r>
      <w:bookmarkEnd w:id="190"/>
    </w:p>
    <w:p>
      <w:pPr>
        <w:pStyle w:val="Heading2"/>
        <w:rPr/>
      </w:pPr>
      <w:bookmarkStart w:id="192" w:name="__RefHeading___Toc19514_811951298"/>
      <w:bookmarkStart w:id="193" w:name="synthèse-état-des-hypothèses"/>
      <w:bookmarkEnd w:id="192"/>
      <w:bookmarkEnd w:id="193"/>
      <w:r>
        <w:rPr/>
        <w:t>3.7 Synthèse : état des hypothèses</w:t>
      </w:r>
    </w:p>
    <w:p>
      <w:pPr>
        <w:pStyle w:val="CaptionTable"/>
        <w:keepNext w:val="true"/>
        <w:spacing w:lineRule="auto" w:line="240" w:before="120" w:after="80"/>
        <w:jc w:val="left"/>
        <w:rPr/>
      </w:pPr>
      <w:bookmarkStart w:id="194" w:name="__RefHeading___Toc19570_811951298"/>
      <w:bookmarkEnd w:id="194"/>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Rejetée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Rejetée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5" w:name="chapitre-3-résultats"/>
      <w:bookmarkStart w:id="196" w:name="synthèse-état-des-hypothèses"/>
      <w:bookmarkStart w:id="197" w:name="chapitre-3-résultats"/>
      <w:bookmarkStart w:id="198" w:name="synthèse-état-des-hypothèses"/>
      <w:bookmarkEnd w:id="197"/>
      <w:bookmarkEnd w:id="198"/>
      <w:r>
        <w:br w:type="page"/>
      </w:r>
    </w:p>
    <w:p>
      <w:pPr>
        <w:pStyle w:val="Heading1"/>
        <w:spacing w:before="0" w:after="240"/>
        <w:rPr/>
      </w:pPr>
      <w:bookmarkStart w:id="199" w:name="__RefHeading___Toc19516_811951298"/>
      <w:bookmarkStart w:id="200" w:name="chapitre-4-discussion"/>
      <w:bookmarkEnd w:id="199"/>
      <w:bookmarkEnd w:id="200"/>
      <w:r>
        <w:rPr/>
        <w:t>Chapitre 4 – Discussion</w:t>
      </w:r>
    </w:p>
    <w:p>
      <w:pPr>
        <w:pStyle w:val="Heading2"/>
        <w:rPr/>
      </w:pPr>
      <w:bookmarkStart w:id="201" w:name="__RefHeading___Toc19518_811951298"/>
      <w:bookmarkStart w:id="202" w:name="réponse-à-la-problématique"/>
      <w:bookmarkEnd w:id="201"/>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pour les vingt extensions, avec un décalage de publication de un à trois mois, et après correction pour les tests multiples.</w:t>
      </w:r>
    </w:p>
    <w:p>
      <w:pPr>
        <w:pStyle w:val="BodyText"/>
        <w:rPr/>
      </w:pPr>
      <w:r>
        <w:rPr/>
        <w:t>Cette réponse a une portée précise. Elle ne dit pas que les dépenses n’ont aucun lien avec les marchés. Elle dit que, si ce lien existe, il est trop faible pour être détecté avec 79 mois de test (section 4.3). Elle porte sur l’exécution mensuelle du budget de l’État, et non sur les annonces budgétaires ni sur l’ensemble des administrations publiques. Nous préférons donc écrire « pas de preuve » plutôt que « les dépenses ne permettent pas de prédire » : la première formulation décrit ce que nos tests montrent ; la seconde affirmerait une impossibilité que nos données ne peuvent pas démontrer. C’est une conclusion « pour l’instant » : avec des séries plus longues ou des données quotidiennes, un effet faible pourrait apparaître.</w:t>
      </w:r>
    </w:p>
    <w:p>
      <w:pPr>
        <w:pStyle w:val="BodyText"/>
        <w:rPr/>
      </w:pPr>
      <w:r>
        <w:rPr/>
        <w:t xml:space="preserve">Un second constat dépasse la question des dépenses : </w:t>
      </w:r>
      <w:r>
        <w:rPr>
          <w:b/>
          <w:bCs/>
        </w:rPr>
        <w:t>aucun modèle ne bat la moyenne historique</w:t>
      </w:r>
      <w:r>
        <w:rPr/>
        <w:t>, même sans les dépenses. Pour les taux, la prévision la plus simple, « pas de variation le mois prochain », fait même mieux que la moyenne et que tous nos modèles. À un mois, ces marchés sont donc très difficiles à prévoir, quelles que soient les variables utilisées.</w:t>
      </w:r>
      <w:bookmarkEnd w:id="202"/>
    </w:p>
    <w:p>
      <w:pPr>
        <w:pStyle w:val="Heading2"/>
        <w:rPr/>
      </w:pPr>
      <w:bookmarkStart w:id="203" w:name="__RefHeading___Toc19520_811951298"/>
      <w:bookmarkStart w:id="204" w:name="Xa5e5ce56c40b921dc4fb73ef6c887ec2a5a3779"/>
      <w:bookmarkEnd w:id="203"/>
      <w:r>
        <w:rPr/>
        <w:t>4.2 Pourquoi les dépenses n’aident pas : trois explications</w:t>
      </w:r>
    </w:p>
    <w:p>
      <w:pPr>
        <w:pStyle w:val="FirstParagraph"/>
        <w:rPr/>
      </w:pPr>
      <w:r>
        <w:rPr/>
        <w:t>Le chapitre 3 montre que les dépenses de l’État n’améliorent la prévision d’aucune des trois cibles. Nous proposons trois explications. Elles ne s’excluent pas.</w:t>
      </w:r>
    </w:p>
    <w:p>
      <w:pPr>
        <w:pStyle w:val="Heading3"/>
        <w:rPr/>
      </w:pPr>
      <w:bookmarkStart w:id="205" w:name="Xb6cbddcd8f5ae7d3e4ba72eb19a3909bfa7b954"/>
      <w:r>
        <w:rPr/>
        <w:t>L’information est déjà connue au moment de la publication.</w:t>
      </w:r>
    </w:p>
    <w:p>
      <w:pPr>
        <w:pStyle w:val="FirstParagraph"/>
        <w:rPr/>
      </w:pPr>
      <w:r>
        <w:rPr/>
        <w:t>Le budget de l’État est voté en décembre, dans la loi de finances de l’année suivante. Les marchés connaissent donc le plan de dépenses avant le début de l’année. De plus, les grandes lignes évoluent lentement : les dépenses de personnel ou la charge de la dette ne changent pas brutalement d’un mois à l’autre. Quand la situation mensuelle est publiée, deux mois plus tard, elle confirme surtout ce qui était attendu.</w:t>
      </w:r>
    </w:p>
    <w:p>
      <w:pPr>
        <w:pStyle w:val="BodyText"/>
        <w:rPr/>
      </w:pPr>
      <w:r>
        <w:rPr/>
        <w:t>Or un prix de marché réagit à l’information nouvelle, pas à ce qui est déjà prévu (Fama, 1970). Ramey (2011) montre que, pour les dépenses publiques, ce qui compte est le moment de l’annonce, et non celui où l’argent est dépensé. L’extension E4 va dans ce sens : même l’écart entre l’exécution et le budget voté, qui mesure une forme de surprise, n’améliore pas la prévision. On retrouve la même idée chez Attinasi et al. (2009) : pendant la crise de 2007-2009, c’est l’annonce des plans de sauvetage bancaire qui a fait monter les spreads, et non le montant engagé.</w:t>
      </w:r>
    </w:p>
    <w:p>
      <w:pPr>
        <w:pStyle w:val="BodyText"/>
        <w:rPr/>
      </w:pPr>
      <w:bookmarkStart w:id="206" w:name="Xb6cbddcd8f5ae7d3e4ba72eb19a3909bfa7b954"/>
      <w:r>
        <w:rPr/>
        <w:t>Cette explication reste une hypothèse. Pour la démontrer, il faudrait observer le spread le jour même de chaque publication (étude d’événement). Cette étude n’a pas pu être réalisée, faute de taux quotidiens accessibles (section 4.6).</w:t>
      </w:r>
      <w:bookmarkEnd w:id="206"/>
    </w:p>
    <w:p>
      <w:pPr>
        <w:pStyle w:val="Heading3"/>
        <w:rPr/>
      </w:pPr>
      <w:bookmarkStart w:id="207" w:name="X57f8577d700eaa38cd6c624300c66f71b06c5e6"/>
      <w:r>
        <w:rPr/>
        <w:t>Ce qui fait bouger le spread n’est pas budgétaire.</w:t>
      </w:r>
    </w:p>
    <w:p>
      <w:pPr>
        <w:pStyle w:val="FirstParagraph"/>
        <w:rPr/>
      </w:pPr>
      <w:r>
        <w:rPr/>
        <w:t>Les plus fortes variations mensuelles du spread OAT–Bund correspondent à des chocs politiques ou mondiaux : mars 2020 (+20,5 pb, Covid), la période de l’élection présidentielle de 2017 (+16,3 pb en février, -18,1 pb en mai), juin 2024 (+15,5 pb, dissolution de l’Assemblée nationale). Ces mouvements s’expliquent par des événements identifiés, sans lien avec le contenu des situations budgétaires mensuelles. [À vérifier avant la version finale : dates et sources de chaque événement.]</w:t>
      </w:r>
    </w:p>
    <w:p>
      <w:pPr>
        <w:pStyle w:val="BodyText"/>
        <w:rPr/>
      </w:pPr>
      <w:bookmarkStart w:id="208" w:name="X57f8577d700eaa38cd6c624300c66f71b06c5e6"/>
      <w:r>
        <w:rPr/>
        <w:t>Le cas de juin 2024 est intéressant. Il concerne bien les finances publiques, mais par un canal politique : la crainte qu’une nouvelle majorité ne tienne pas la trajectoire budgétaire. Cette crainte est une anticipation sur l’avenir ; elle n’apparaît dans aucune ligne de dépense déjà exécutée.</w:t>
      </w:r>
      <w:bookmarkEnd w:id="208"/>
    </w:p>
    <w:p>
      <w:pPr>
        <w:pStyle w:val="Heading3"/>
        <w:rPr/>
      </w:pPr>
      <w:bookmarkStart w:id="209" w:name="une-variable-lente-pour-une-cible-rapide"/>
      <w:r>
        <w:rPr/>
        <w:t>Une variable lente pour une cible rapide.</w:t>
      </w:r>
    </w:p>
    <w:p>
      <w:pPr>
        <w:pStyle w:val="FirstParagraph"/>
        <w:rPr/>
      </w:pPr>
      <w:r>
        <w:rPr/>
        <w:t>Les dépenses publiques évoluent sur plusieurs années. Le spread, le taux OAT et le CAC 40 réagissent en quelques jours. Nous cherchons donc à prévoir un mouvement rapide avec une information lente, et disponible avec deux mois de retard.</w:t>
      </w:r>
    </w:p>
    <w:p>
      <w:pPr>
        <w:pStyle w:val="BodyText"/>
        <w:rPr/>
      </w:pPr>
      <w:r>
        <w:rPr/>
        <w:t xml:space="preserve">La littérature européenne trouve pourtant un lien entre finances publiques et spreads (Bernoth et al., 2012 ; Afonso et al., 2015). Ce n’est pas une contradiction : ces études </w:t>
      </w:r>
      <w:r>
        <w:rPr>
          <w:b/>
          <w:bCs/>
        </w:rPr>
        <w:t>expliquent le niveau</w:t>
      </w:r>
      <w:r>
        <w:rPr/>
        <w:t xml:space="preserve"> des spreads, en coupe ou en panel, souvent sur des périodes de crise. Nous cherchons à </w:t>
      </w:r>
      <w:r>
        <w:rPr>
          <w:b/>
          <w:bCs/>
        </w:rPr>
        <w:t>prévoir leur variation</w:t>
      </w:r>
      <w:r>
        <w:rPr/>
        <w:t xml:space="preserve"> le mois suivant, hors échantillon. Une variable peut expliquer un niveau sur dix ans sans aider à prévoir le mois prochain. Le panel annuel (E17) teste une fréquence plus basse ; il ne fait pas mieux, mais il ne compte que 75 prévisions.</w:t>
      </w:r>
    </w:p>
    <w:p>
      <w:pPr>
        <w:pStyle w:val="BodyText"/>
        <w:rPr/>
      </w:pPr>
      <w:bookmarkStart w:id="210" w:name="Xa5e5ce56c40b921dc4fb73ef6c887ec2a5a3779"/>
      <w:bookmarkStart w:id="211" w:name="une-variable-lente-pour-une-cible-rapide"/>
      <w:r>
        <w:rPr/>
        <w:t>Enfin, la France n’a pas connu de crise de la dette pendant notre période (2014-2026), contrairement à l’Italie ou à l’Espagne en 2011-2012. Il est possible que les dépenses ne comptent pour les marchés qu’en période de tension (Afonso et al., 2015). Le panel trimestriel allait dans ce sens (+4 points de R² en 2010-2014), mais l’écart n’est pas significatif (p = 0,36) et disparaît avec le spread de fin de trimestre (E18).</w:t>
      </w:r>
      <w:bookmarkEnd w:id="210"/>
      <w:bookmarkEnd w:id="211"/>
    </w:p>
    <w:p>
      <w:pPr>
        <w:pStyle w:val="Heading2"/>
        <w:rPr/>
      </w:pPr>
      <w:bookmarkStart w:id="212" w:name="__RefHeading___Toc19522_811951298"/>
      <w:bookmarkStart w:id="213" w:name="X4f24273c89b93f863aba17af74a867268801037"/>
      <w:bookmarkEnd w:id="212"/>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14" w:name="X5c4ef77c170152c1e9564333d059fa01c8bab33"/>
      <w:r>
        <w:rPr/>
        <w:t>Ce que le test aurait trouvé : la puissance.</w:t>
      </w:r>
    </w:p>
    <w:p>
      <w:pPr>
        <w:pStyle w:val="FirstParagraph"/>
        <w:rPr/>
      </w:pPr>
      <w:r>
        <w:rPr/>
        <w:t>Le contrôle positif (section 3.3) ajoute à M0 une variable fictive, construite pour être corrélée à la cible. Avec une corrélation de 0,5, le modèle bat la moyenne historique dans 80 à 100 % des tirages. Avec une corrélation de 0,3, il ne la bat que dans 20 à 30 % des tirages. Notre dispositif repère donc un signal fort, mais il manquerait souvent un signal modéré.</w:t>
      </w:r>
    </w:p>
    <w:p>
      <w:pPr>
        <w:pStyle w:val="BodyText"/>
        <w:rPr/>
      </w:pPr>
      <w:bookmarkStart w:id="215" w:name="X5c4ef77c170152c1e9564333d059fa01c8bab33"/>
      <w:r>
        <w:rPr/>
        <w:t>Cela définit la portée de notre conclusion : les dépenses n’ont pas un pouvoir prédictif fort ; un effet faible reste possible. La cause principale est la taille de l’échantillon : les séries budgétaires ouvertes commencent en 2013, ce qui laisse 79 mois de test. Ce n’est pas un choix de méthode, c’est une limite des données disponibles.</w:t>
      </w:r>
      <w:bookmarkEnd w:id="215"/>
    </w:p>
    <w:p>
      <w:pPr>
        <w:pStyle w:val="Heading3"/>
        <w:rPr/>
      </w:pPr>
      <w:bookmarkStart w:id="216" w:name="X91246e4b4c31707a215f07722d23662805b7573"/>
      <w:r>
        <w:rPr/>
        <w:t>Ce que fait du pur bruit : le contrôle négatif.</w:t>
      </w:r>
    </w:p>
    <w:p>
      <w:pPr>
        <w:pStyle w:val="FirstParagraph"/>
        <w:rPr/>
      </w:pPr>
      <w:r>
        <w:rPr/>
        <w:t>Quand on remplace les sept dépenses par sept variables tirées au hasard, 90 à 95 % des tirages de bruit font au moins aussi bien que les vraies dépenses avec Ridge. Les petites différences entre M1 et M0 ne sont donc pas propres aux dépenses : n’importe quelles variables ajoutées produisent des écarts du même ordre.</w:t>
      </w:r>
    </w:p>
    <w:p>
      <w:pPr>
        <w:pStyle w:val="BodyText"/>
        <w:rPr/>
      </w:pPr>
      <w:bookmarkStart w:id="217" w:name="X91246e4b4c31707a215f07722d23662805b7573"/>
      <w:r>
        <w:rPr/>
        <w:t>Le même contrôle change la lecture de l’importance des variables. Les dépenses pèsent 31 à 37 % de l’importance SHAP, ce qui paraît beaucoup ; mais du bruit obtient 34 à 38 %. Une part d’importance élevée dans un modèle d’arbres ne montre donc pas qu’une variable est utile. C’est une leçon de méthode plus générale : sans comparaison à du bruit, les mesures d’importance peuvent tromper.</w:t>
      </w:r>
      <w:bookmarkEnd w:id="217"/>
    </w:p>
    <w:p>
      <w:pPr>
        <w:pStyle w:val="Heading3"/>
        <w:rPr/>
      </w:pPr>
      <w:bookmarkStart w:id="218" w:name="Xecf3ad6827ba826d0d342eb932b46c5b8115e23"/>
      <w:r>
        <w:rPr/>
        <w:t>Contre quoi comparer : le choix de la référence.</w:t>
      </w:r>
    </w:p>
    <w:p>
      <w:pPr>
        <w:pStyle w:val="FirstParagraph"/>
        <w:rPr/>
      </w:pPr>
      <w:r>
        <w:rPr/>
        <w:t>Pour les taux, la prévision « pas de variation » bat la moyenne historique. La moyenne n’est donc pas la référence la plus exigeante. Le panel trimestriel (E15) montre un autre piège : un R² de +15 % venait du fait que la cible était une moyenne sur le trimestre, ce qui la rend en partie prévisible de façon mécanique (Working, 1960). Avec le spread de fin de trimestre, le R² devient négatif.</w:t>
      </w:r>
    </w:p>
    <w:p>
      <w:pPr>
        <w:pStyle w:val="BodyText"/>
        <w:rPr/>
      </w:pPr>
      <w:bookmarkStart w:id="219" w:name="X4f24273c89b93f863aba17af74a867268801037"/>
      <w:bookmarkStart w:id="220" w:name="Xecf3ad6827ba826d0d342eb932b46c5b8115e23"/>
      <w:r>
        <w:rPr/>
        <w:t>Ces trois points ont un même message : un bon score ne suffit pas. Il faut toujours le comparer à une référence simple et à du bruit, et vérifier que la cible ne contient pas une régularité mécanique.</w:t>
      </w:r>
      <w:bookmarkEnd w:id="219"/>
      <w:bookmarkEnd w:id="220"/>
    </w:p>
    <w:p>
      <w:pPr>
        <w:pStyle w:val="Heading2"/>
        <w:rPr/>
      </w:pPr>
      <w:bookmarkStart w:id="221" w:name="__RefHeading___Toc19524_811951298"/>
      <w:bookmarkStart w:id="222" w:name="comparaison-avec-la-littérature"/>
      <w:bookmarkEnd w:id="221"/>
      <w:r>
        <w:rPr/>
        <w:t>4.4 Comparaison avec la littérature</w:t>
      </w:r>
    </w:p>
    <w:p>
      <w:pPr>
        <w:pStyle w:val="Heading3"/>
        <w:rPr/>
      </w:pPr>
      <w:bookmarkStart w:id="223" w:name="X38da42998e753696a184ac02ba53813e7b5557d"/>
      <w:r>
        <w:rPr/>
        <w:t>Bouillot, Candelon et Kool (2025) : un R² élevé n’est pas une bonne prévision.</w:t>
      </w:r>
    </w:p>
    <w:p>
      <w:pPr>
        <w:pStyle w:val="FirstParagraph"/>
        <w:rPr/>
      </w:pPr>
      <w:r>
        <w:rPr/>
        <w:t>L’étude la plus proche de la nôtre annonce d’excellents résultats : un R² de 0,81 à 0,99 selon les pays (0,86 pour la France), et une erreur de 7,3 points de base pour la France sur 2020-2025. Nos résultats semblent contraires aux leurs. En réalité, ils ne mesurent pas la même chose.</w:t>
      </w:r>
    </w:p>
    <w:p>
      <w:pPr>
        <w:pStyle w:val="BodyText"/>
        <w:rPr/>
      </w:pPr>
      <w:r>
        <w:rPr/>
        <w:t xml:space="preserve">Bouillot et al. prévoient le </w:t>
      </w:r>
      <w:r>
        <w:rPr>
          <w:b/>
          <w:bCs/>
        </w:rPr>
        <w:t>niveau</w:t>
      </w:r>
      <w:r>
        <w:rPr/>
        <w:t xml:space="preserve"> du spread, et comparent leurs modèles à la moyenne et à des régressions linéaires. Or le spread d’un mois est très proche de celui du mois précédent. Un modèle qui recopie simplement le dernier spread obtient déjà un R² très élevé face à la moyenne. Leur propre analyse le confirme : le spread passé est la variable dominante dans tous les pays.</w:t>
      </w:r>
    </w:p>
    <w:p>
      <w:pPr>
        <w:pStyle w:val="BodyText"/>
        <w:rPr/>
      </w:pPr>
      <w:r>
        <w:rPr/>
        <w:t>Nous avons testé cette comparaison de deux façons. D’abord, dans notre panel européen (E16), nous retrouvons un R² de 92 à 97 % sur le niveau du spread, comme eux ; mais tous nos modèles font moins bien que la marche aléatoire, qui prévoit le spread du mois précédent (XGBoost : erreur de 21,1 points de base contre 18,4). Ensuite, sur la France et la même période qu’eux (janvier 2020 à février 2025), la marche aléatoire a une erreur de 5,1 points de base dans nos données, contre 7,3 pour leur XGBoost. Cette dernière comparaison doit être lue avec prudence : nos séries sont des moyennes mensuelles, et leur définition exacte du spread peut différer.</w:t>
      </w:r>
    </w:p>
    <w:p>
      <w:pPr>
        <w:pStyle w:val="BodyText"/>
        <w:rPr/>
      </w:pPr>
      <w:bookmarkStart w:id="224" w:name="X38da42998e753696a184ac02ba53813e7b5557d"/>
      <w:r>
        <w:rPr/>
        <w:t>Notre conclusion n’est pas que leur travail est faux, mais qu’un R² sur le niveau ne suffit pas à juger une prévision. La comparaison à la marche aléatoire est indispensable. Il faut aussi noter un point commun : chez eux aussi, les finances publiques pèsent très peu (une seule variable parmi les 50 plus importantes).</w:t>
      </w:r>
      <w:bookmarkEnd w:id="224"/>
    </w:p>
    <w:p>
      <w:pPr>
        <w:pStyle w:val="Heading3"/>
        <w:rPr/>
      </w:pPr>
      <w:bookmarkStart w:id="225" w:name="welch-et-goyal-2008-un-résultat-attendu"/>
      <w:r>
        <w:rPr/>
        <w:t>Welch et Goyal (2008) : un résultat attendu.</w:t>
      </w:r>
    </w:p>
    <w:p>
      <w:pPr>
        <w:pStyle w:val="FirstParagraph"/>
        <w:rPr/>
      </w:pPr>
      <w:bookmarkStart w:id="226" w:name="welch-et-goyal-2008-un-résultat-attendu"/>
      <w:r>
        <w:rPr/>
        <w:t>Welch et Goyal montrent que la plupart des variables proposées pour prévoir la bourse américaine ne battent pas la moyenne historique hors échantillon. Nos résultats sur le CAC 40 vont exactement dans ce sens. Nous montrons que la même difficulté existe pour le spread et le taux OAT à un mois.</w:t>
      </w:r>
      <w:bookmarkEnd w:id="226"/>
    </w:p>
    <w:p>
      <w:pPr>
        <w:pStyle w:val="Heading3"/>
        <w:rPr/>
      </w:pPr>
      <w:bookmarkStart w:id="227" w:name="X753ea51395fb05b75cf0b45d5b5430777b1a82f"/>
      <w:r>
        <w:rPr/>
        <w:t>Les études européennes sur les finances publiques.</w:t>
      </w:r>
    </w:p>
    <w:p>
      <w:pPr>
        <w:pStyle w:val="FirstParagraph"/>
        <w:rPr/>
      </w:pPr>
      <w:r>
        <w:rPr/>
        <w:t>Afonso et al. (2015) et Bernoth et al. (2012) trouvent un lien entre finances publiques et spreads. Comme expliqué en section 4.2, ces études expliquent le niveau des spreads, sur des périodes qui incluent la crise de la dette, alors que nous prévoyons leur variation hors échantillon. Afonso et al. montrent d’ailleurs que la dette ne compte qu’après mars 2009 : le lien dépend de la période, et notre période française ne contient pas de crise de la dette.</w:t>
      </w:r>
    </w:p>
    <w:p>
      <w:pPr>
        <w:pStyle w:val="BodyText"/>
        <w:rPr/>
      </w:pPr>
      <w:r>
        <w:rPr/>
        <w:t>Belly et al. (2023) trouvent que le machine learning suit mieux les spreads que les modèles économétriques, y compris en variation mensuelle, sur 2004-2019. Notre question est différente : nous testons l’apport d’un bloc de variables, pas la supériorité d’une famille de modèles. Sur ce second point, nous ne trouvons pas d’avantage du machine learning (H3) : XGBoost est même le moins bon de nos modèles.</w:t>
      </w:r>
    </w:p>
    <w:p>
      <w:pPr>
        <w:pStyle w:val="BodyText"/>
        <w:rPr/>
      </w:pPr>
      <w:bookmarkStart w:id="228" w:name="comparaison-avec-la-littérature"/>
      <w:bookmarkStart w:id="229" w:name="X753ea51395fb05b75cf0b45d5b5430777b1a82f"/>
      <w:r>
        <w:rPr/>
        <w:t>Enfin, Garlanda-Longueville (2023) trouve un effet des annonces budgétaires françaises sur le spread, avec des données quotidiennes. Ce résultat est cohérent avec le nôtre : ce sont les annonces, observées au jour le jour, qui font bouger les marchés, et non l’exécution mensuelle publiée deux mois plus tard.</w:t>
      </w:r>
      <w:bookmarkEnd w:id="228"/>
      <w:bookmarkEnd w:id="229"/>
    </w:p>
    <w:p>
      <w:pPr>
        <w:pStyle w:val="Heading2"/>
        <w:rPr/>
      </w:pPr>
      <w:bookmarkStart w:id="230" w:name="__RefHeading___Toc19526_811951298"/>
      <w:bookmarkStart w:id="231" w:name="limites"/>
      <w:bookmarkEnd w:id="230"/>
      <w:r>
        <w:rPr/>
        <w:t>4.5 Limites</w:t>
      </w:r>
    </w:p>
    <w:p>
      <w:pPr>
        <w:pStyle w:val="Heading3"/>
        <w:rPr/>
      </w:pPr>
      <w:bookmarkStart w:id="232" w:name="limites-des-données"/>
      <w:r>
        <w:rPr/>
        <w:t>Limites des données.</w:t>
      </w:r>
    </w:p>
    <w:p>
      <w:pPr>
        <w:pStyle w:val="Compact"/>
        <w:numPr>
          <w:ilvl w:val="0"/>
          <w:numId w:val="55"/>
        </w:numPr>
        <w:rPr/>
      </w:pPr>
      <w:r>
        <w:rPr>
          <w:b/>
          <w:bCs/>
        </w:rPr>
        <w:t>Données révisées.</w:t>
      </w:r>
      <w:r>
        <w:rPr/>
        <w:t xml:space="preserve"> Nous utilisons la dernière version publiée des situations budgétaires, et non les chiffres tels qu’ils étaient connus à chaque date. Les montants de décembre, en particulier, sont d’abord provisoires puis révisés.</w:t>
      </w:r>
    </w:p>
    <w:p>
      <w:pPr>
        <w:pStyle w:val="Compact"/>
        <w:numPr>
          <w:ilvl w:val="0"/>
          <w:numId w:val="56"/>
        </w:numPr>
        <w:rPr/>
      </w:pPr>
      <w:r>
        <w:rPr>
          <w:b/>
          <w:bCs/>
        </w:rPr>
        <w:t>Date de publication.</w:t>
      </w:r>
      <w:r>
        <w:rPr/>
        <w:t xml:space="preserve"> Le décalage de deux mois est vérifié sur 2023-2026 seulement ; pour 2014-2019, c’est une hypothèse. Les résultats ne changent pas avec un décalage de un ou de trois mois (section 3.3).</w:t>
      </w:r>
    </w:p>
    <w:p>
      <w:pPr>
        <w:pStyle w:val="Compact"/>
        <w:numPr>
          <w:ilvl w:val="0"/>
          <w:numId w:val="57"/>
        </w:numPr>
        <w:rPr/>
      </w:pPr>
      <w:r>
        <w:rPr>
          <w:b/>
          <w:bCs/>
        </w:rPr>
        <w:t>Périmètre.</w:t>
      </w:r>
      <w:r>
        <w:rPr/>
        <w:t xml:space="preserve"> Les données couvrent le budget de l’État, pas la Sécurité sociale ni les collectivités locales. Elles ne sont pas ventilées par mission (défense, éducation, etc.).</w:t>
      </w:r>
    </w:p>
    <w:p>
      <w:pPr>
        <w:pStyle w:val="Compact"/>
        <w:numPr>
          <w:ilvl w:val="0"/>
          <w:numId w:val="58"/>
        </w:numPr>
        <w:rPr/>
      </w:pPr>
      <w:r>
        <w:rPr>
          <w:b/>
          <w:bCs/>
        </w:rPr>
        <w:t>Cibles de taux en moyennes mensuelles.</w:t>
      </w:r>
      <w:r>
        <w:rPr/>
        <w:t xml:space="preserve"> Le spread et le taux OAT sont des moyennes du mois (source OCDE), alors que le CAC 40 est pris en fin de mois. Les variations de moyennes sont légèrement autocorrélées de façon mécanique.</w:t>
      </w:r>
    </w:p>
    <w:p>
      <w:pPr>
        <w:pStyle w:val="Compact"/>
        <w:numPr>
          <w:ilvl w:val="0"/>
          <w:numId w:val="59"/>
        </w:numPr>
        <w:rPr/>
      </w:pPr>
      <w:r>
        <w:rPr>
          <w:b/>
          <w:bCs/>
        </w:rPr>
        <w:t>Variables budgétaires hétérogènes dans l’année.</w:t>
      </w:r>
      <w:r>
        <w:rPr/>
        <w:t xml:space="preserve"> L’écart cumulé depuis janvier varie beaucoup plus en fin d’année qu’en début d’année : en médiane, son écart-type en décembre est 6,3 fois celui de janvier.</w:t>
      </w:r>
      <w:bookmarkEnd w:id="232"/>
    </w:p>
    <w:p>
      <w:pPr>
        <w:pStyle w:val="Heading3"/>
        <w:rPr/>
      </w:pPr>
      <w:bookmarkStart w:id="233" w:name="limites-de-méthode"/>
      <w:r>
        <w:rPr/>
        <w:t>Limites de méthode.</w:t>
      </w:r>
    </w:p>
    <w:p>
      <w:pPr>
        <w:pStyle w:val="Compact"/>
        <w:numPr>
          <w:ilvl w:val="0"/>
          <w:numId w:val="60"/>
        </w:numPr>
        <w:rPr/>
      </w:pPr>
      <w:r>
        <w:rPr>
          <w:b/>
          <w:bCs/>
        </w:rPr>
        <w:t>Petit échantillon.</w:t>
      </w:r>
      <w:r>
        <w:rPr/>
        <w:t xml:space="preserve"> Avec 70 à 148 mois d’entraînement et 79 mois de test, seul un effet fort pouvait être détecté (section 4.3). Les écarts de quelques points de R² entre deux modèles ne sont pas interprétables.</w:t>
      </w:r>
    </w:p>
    <w:p>
      <w:pPr>
        <w:pStyle w:val="Compact"/>
        <w:numPr>
          <w:ilvl w:val="0"/>
          <w:numId w:val="61"/>
        </w:numPr>
        <w:rPr/>
      </w:pPr>
      <w:r>
        <w:rPr>
          <w:b/>
          <w:bCs/>
        </w:rPr>
        <w:t>Hyperparamètres.</w:t>
      </w:r>
      <w:r>
        <w:rPr/>
        <w:t xml:space="preserve"> Ils ont été fixés à des valeurs usuelles, sans réglage sur la période de test. Mais le code et les résultats des modèles principaux ont été enregistrés en même temps : nous ne pouvons pas prouver qu’ils ont été choisis avant de voir les résultats. Seules les extensions ont un plan daté avant leur exécution.</w:t>
      </w:r>
    </w:p>
    <w:p>
      <w:pPr>
        <w:pStyle w:val="Compact"/>
        <w:numPr>
          <w:ilvl w:val="0"/>
          <w:numId w:val="62"/>
        </w:numPr>
        <w:rPr/>
      </w:pPr>
      <w:r>
        <w:rPr>
          <w:b/>
          <w:bCs/>
        </w:rPr>
        <w:t>Instabilité de XGBoost.</w:t>
      </w:r>
      <w:r>
        <w:rPr/>
        <w:t xml:space="preserve"> Son R² varie d’environ 9 points selon la graine aléatoire. Les conclusions ne changent pas, mais les chiffres précis dépendent aussi des versions des librairies.</w:t>
      </w:r>
    </w:p>
    <w:p>
      <w:pPr>
        <w:pStyle w:val="Compact"/>
        <w:numPr>
          <w:ilvl w:val="0"/>
          <w:numId w:val="63"/>
        </w:numPr>
        <w:rPr/>
      </w:pPr>
      <w:r>
        <w:rPr>
          <w:b/>
          <w:bCs/>
        </w:rPr>
        <w:t>Extensions ajoutées en cours de route.</w:t>
      </w:r>
      <w:r>
        <w:rPr/>
        <w:t xml:space="preserve"> Les extensions E15 à E20 ont été décidées après les premiers résultats, et E18 est explicitement exploratoire.</w:t>
      </w:r>
    </w:p>
    <w:p>
      <w:pPr>
        <w:pStyle w:val="Compact"/>
        <w:numPr>
          <w:ilvl w:val="0"/>
          <w:numId w:val="64"/>
        </w:numPr>
        <w:rPr/>
      </w:pPr>
      <w:r>
        <w:rPr>
          <w:b/>
          <w:bCs/>
        </w:rPr>
        <w:t>Panel européen.</w:t>
      </w:r>
      <w:r>
        <w:rPr/>
        <w:t xml:space="preserve">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65"/>
        </w:numPr>
        <w:rPr/>
      </w:pPr>
      <w:r>
        <w:rPr>
          <w:b/>
          <w:bCs/>
        </w:rPr>
        <w:t>Pas d’étude d’événement.</w:t>
      </w:r>
      <w:r>
        <w:rPr/>
        <w:t xml:space="preserve"> Faute de taux quotidiens accessibles, nous n’avons pas pu mesurer la réaction du marché le jour de chaque publication. L’explication « l’information est déjà connue » (section 4.2) reste donc une hypothèse.</w:t>
      </w:r>
      <w:bookmarkEnd w:id="231"/>
      <w:bookmarkEnd w:id="233"/>
    </w:p>
    <w:p>
      <w:pPr>
        <w:pStyle w:val="Heading2"/>
        <w:rPr/>
      </w:pPr>
      <w:bookmarkStart w:id="234" w:name="__RefHeading___Toc19528_811951298"/>
      <w:bookmarkStart w:id="235" w:name="recherches-futures"/>
      <w:bookmarkEnd w:id="234"/>
      <w:bookmarkEnd w:id="235"/>
      <w:r>
        <w:rPr/>
        <w:t>4.6 Recherches futures</w:t>
      </w:r>
    </w:p>
    <w:p>
      <w:pPr>
        <w:pStyle w:val="Compact"/>
        <w:numPr>
          <w:ilvl w:val="0"/>
          <w:numId w:val="66"/>
        </w:numPr>
        <w:rPr/>
      </w:pPr>
      <w:r>
        <w:rPr>
          <w:b/>
          <w:bCs/>
        </w:rPr>
        <w:t>Étude d’événement.</w:t>
      </w:r>
      <w:r>
        <w:rPr/>
        <w:t xml:space="preserve"> Avec des taux quotidiens (Banque de France, Bundesbank) et les dates exactes de publication des situations budgétaires, on pourrait mesurer la réaction du spread le jour même. C’est le test direct de l’explication « l’information est déjà connue ». Garlanda-Longueville (2023) montre qu’une telle approche trouve des effets pour les annonces budgétaires.</w:t>
      </w:r>
    </w:p>
    <w:p>
      <w:pPr>
        <w:pStyle w:val="Compact"/>
        <w:numPr>
          <w:ilvl w:val="0"/>
          <w:numId w:val="67"/>
        </w:numPr>
        <w:rPr/>
      </w:pPr>
      <w:r>
        <w:rPr>
          <w:b/>
          <w:bCs/>
        </w:rPr>
        <w:t>Les annonces plutôt que l’exécution.</w:t>
      </w:r>
      <w:r>
        <w:rPr/>
        <w:t xml:space="preserve"> Le projet de loi de finances, les lois de finances rectificatives et les programmes de stabilité sont de l’information nouvelle pour les marchés. Ils pourraient être codés comme des surprises, par exemple l’écart entre le déficit annoncé et les prévisions des économistes.</w:t>
      </w:r>
    </w:p>
    <w:p>
      <w:pPr>
        <w:pStyle w:val="Compact"/>
        <w:numPr>
          <w:ilvl w:val="0"/>
          <w:numId w:val="68"/>
        </w:numPr>
        <w:rPr/>
      </w:pPr>
      <w:r>
        <w:rPr>
          <w:b/>
          <w:bCs/>
        </w:rPr>
        <w:t>Données en temps réel.</w:t>
      </w:r>
      <w:r>
        <w:rPr/>
        <w:t xml:space="preserve"> Conserver chaque version publiée des situations budgétaires permettrait de travailler avec l’information réellement disponible à chaque date.</w:t>
      </w:r>
    </w:p>
    <w:p>
      <w:pPr>
        <w:pStyle w:val="Compact"/>
        <w:numPr>
          <w:ilvl w:val="0"/>
          <w:numId w:val="69"/>
        </w:numPr>
        <w:rPr/>
      </w:pPr>
      <w:r>
        <w:rPr>
          <w:b/>
          <w:bCs/>
        </w:rPr>
        <w:t>Plus d’observations.</w:t>
      </w:r>
      <w:r>
        <w:rPr/>
        <w:t xml:space="preserve"> Un panel de pays plus long, incluant la crise de 2010-2012, avec des cibles de fin de période (et non des moyennes), augmenterait la puissance des tests.</w:t>
      </w:r>
    </w:p>
    <w:p>
      <w:pPr>
        <w:pStyle w:val="Compact"/>
        <w:numPr>
          <w:ilvl w:val="0"/>
          <w:numId w:val="70"/>
        </w:numPr>
        <w:rPr/>
      </w:pPr>
      <w:r>
        <w:rPr>
          <w:b/>
          <w:bCs/>
        </w:rPr>
        <w:t>Ventilation sectorielle.</w:t>
      </w:r>
      <w:r>
        <w:rPr/>
        <w:t xml:space="preserve"> Les données de la commande publique (marchés publics) permettraient de relier la dépense aux entreprises qui en bénéficient, et de mieux tester le canal des actions sectorielles (E19).</w:t>
      </w:r>
    </w:p>
    <w:p>
      <w:pPr>
        <w:pStyle w:val="Normal"/>
        <w:rPr/>
      </w:pPr>
      <w:r>
        <w:rPr/>
      </w:r>
      <w:bookmarkStart w:id="236" w:name="chapitre-4-discussion"/>
      <w:bookmarkStart w:id="237" w:name="recherches-futures"/>
      <w:bookmarkStart w:id="238" w:name="chapitre-4-discussion"/>
      <w:bookmarkStart w:id="239" w:name="recherches-futures"/>
      <w:bookmarkEnd w:id="238"/>
      <w:bookmarkEnd w:id="239"/>
      <w:r>
        <w:br w:type="page"/>
      </w:r>
    </w:p>
    <w:p>
      <w:pPr>
        <w:pStyle w:val="Heading1"/>
        <w:spacing w:before="0" w:after="240"/>
        <w:rPr/>
      </w:pPr>
      <w:bookmarkStart w:id="240" w:name="__RefHeading___Toc19530_811951298"/>
      <w:bookmarkStart w:id="241" w:name="conclusion-générale"/>
      <w:bookmarkEnd w:id="240"/>
      <w:bookmarkEnd w:id="241"/>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42" w:name="__RefHeading___Toc19532_811951298"/>
      <w:bookmarkStart w:id="243" w:name="principaux-résultats"/>
      <w:bookmarkEnd w:id="242"/>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vingt extensions, avec un décalage de publication de un à trois mois, et après correction pour les 168 comparaisons réalisées. Les quatre hypothèses de départ sont rejetées ou non soutenues : les dépenses n’apportent rien (H1), il n’y a donc pas d’apport à classer entre les indicateurs (H2), le machine learning ne fait pas mieux qu’une régression linéaire (H3), et aucune ligne de dépense ne se détache (H4).</w:t>
      </w:r>
    </w:p>
    <w:p>
      <w:pPr>
        <w:pStyle w:val="BodyText"/>
        <w:rPr/>
      </w:pPr>
      <w:bookmarkStart w:id="244" w:name="principaux-résultats"/>
      <w:r>
        <w:rPr/>
        <w:t>Plus largement, aucun modèle ne bat la moyenne historique, et pour les taux, la prévision « pas de variation » fait mieux que tous les modèles. À un mois, ces marchés restent très difficiles à prévoir.</w:t>
      </w:r>
      <w:bookmarkEnd w:id="244"/>
    </w:p>
    <w:p>
      <w:pPr>
        <w:pStyle w:val="Heading2"/>
        <w:rPr/>
      </w:pPr>
      <w:bookmarkStart w:id="245" w:name="__RefHeading___Toc19534_811951298"/>
      <w:bookmarkStart w:id="246" w:name="apports-1"/>
      <w:bookmarkEnd w:id="245"/>
      <w:r>
        <w:rPr/>
        <w:t>Apports</w:t>
      </w:r>
    </w:p>
    <w:p>
      <w:pPr>
        <w:pStyle w:val="FirstParagraph"/>
        <w:rPr/>
      </w:pPr>
      <w:bookmarkStart w:id="247"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47"/>
    </w:p>
    <w:p>
      <w:pPr>
        <w:pStyle w:val="Heading2"/>
        <w:rPr/>
      </w:pPr>
      <w:bookmarkStart w:id="248" w:name="__RefHeading___Toc19536_811951298"/>
      <w:bookmarkStart w:id="249" w:name="limites-1"/>
      <w:bookmarkEnd w:id="248"/>
      <w:r>
        <w:rPr/>
        <w:t>Limites</w:t>
      </w:r>
    </w:p>
    <w:p>
      <w:pPr>
        <w:pStyle w:val="FirstParagraph"/>
        <w:rPr/>
      </w:pPr>
      <w:bookmarkStart w:id="250"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50"/>
    </w:p>
    <w:p>
      <w:pPr>
        <w:pStyle w:val="Heading2"/>
        <w:rPr/>
      </w:pPr>
      <w:bookmarkStart w:id="251" w:name="__RefHeading___Toc19538_811951298"/>
      <w:bookmarkStart w:id="252" w:name="perspectives"/>
      <w:bookmarkEnd w:id="251"/>
      <w:bookmarkEnd w:id="252"/>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n’est pas dans l’exécution mensuelle du budget.</w:t>
      </w:r>
    </w:p>
    <w:p>
      <w:pPr>
        <w:pStyle w:val="Normal"/>
        <w:rPr/>
      </w:pPr>
      <w:r>
        <w:rPr/>
      </w:r>
      <w:bookmarkStart w:id="253" w:name="conclusion-générale"/>
      <w:bookmarkStart w:id="254" w:name="perspectives"/>
      <w:bookmarkStart w:id="255" w:name="conclusion-générale"/>
      <w:bookmarkStart w:id="256" w:name="perspectives"/>
      <w:bookmarkEnd w:id="255"/>
      <w:bookmarkEnd w:id="256"/>
      <w:r>
        <w:br w:type="page"/>
      </w:r>
    </w:p>
    <w:p>
      <w:pPr>
        <w:pStyle w:val="Heading1"/>
        <w:spacing w:before="0" w:after="240"/>
        <w:rPr/>
      </w:pPr>
      <w:bookmarkStart w:id="257" w:name="__RefHeading___Toc19540_811951298"/>
      <w:bookmarkStart w:id="258" w:name="références"/>
      <w:bookmarkEnd w:id="257"/>
      <w:bookmarkEnd w:id="258"/>
      <w:r>
        <w:rPr/>
        <w:t>Références</w:t>
      </w:r>
    </w:p>
    <w:p>
      <w:pPr>
        <w:pStyle w:val="Bibliography"/>
        <w:rPr/>
      </w:pPr>
      <w:r>
        <w:rPr/>
        <w:t xml:space="preserve">Afonso, A., Arghyrou, M. G., &amp; Kontonikas, A. (2015). </w:t>
      </w:r>
      <w:hyperlink r:id="rId7">
        <w:r>
          <w:rPr>
            <w:rStyle w:val="Hyperlink"/>
            <w:i/>
            <w:iCs/>
          </w:rPr>
          <w:t>The determinants of sovereign bond yield spreads in the EMU</w:t>
        </w:r>
      </w:hyperlink>
      <w:r>
        <w:rPr/>
        <w:t>. ECB Working Paper No. 1781.</w:t>
      </w:r>
    </w:p>
    <w:p>
      <w:pPr>
        <w:pStyle w:val="Bibliography"/>
        <w:rPr/>
      </w:pPr>
      <w:r>
        <w:rPr/>
        <w:t xml:space="preserve">Afonso, A., &amp; Sousa, R. M. (2011). What are the effects of fiscal policy on asset markets? </w:t>
      </w:r>
      <w:r>
        <w:rPr>
          <w:i/>
          <w:iCs/>
        </w:rPr>
        <w:t>Economic Modelling</w:t>
      </w:r>
      <w:r>
        <w:rPr/>
        <w:t>, 28(4), 1871–1890.</w:t>
      </w:r>
    </w:p>
    <w:p>
      <w:pPr>
        <w:pStyle w:val="Bibliography"/>
        <w:rPr/>
      </w:pPr>
      <w:r>
        <w:rPr/>
        <w:t xml:space="preserve">Ardagna, S. (2009). Financial markets’ behavior around episodes of large changes in the fiscal stance. </w:t>
      </w:r>
      <w:r>
        <w:rPr>
          <w:i/>
          <w:iCs/>
        </w:rPr>
        <w:t>European Economic Review</w:t>
      </w:r>
      <w:r>
        <w:rPr/>
        <w:t>, 53(1), 37–55.</w:t>
      </w:r>
    </w:p>
    <w:p>
      <w:pPr>
        <w:pStyle w:val="Bibliography"/>
        <w:rPr/>
      </w:pPr>
      <w:r>
        <w:rPr/>
        <w:t xml:space="preserve">Attinasi, M.-G., Checherita, C., &amp; Nickel, C. (2009). </w:t>
      </w:r>
      <w:r>
        <w:rPr>
          <w:i/>
          <w:iCs/>
        </w:rPr>
        <w:t>What explains the surge in euro area sovereign spreads during the financial crisis of 2007-09?</w:t>
      </w:r>
      <w:r>
        <w:rPr/>
        <w:t xml:space="preserve"> ECB Working Paper No. 1131.</w:t>
      </w:r>
    </w:p>
    <w:p>
      <w:pPr>
        <w:pStyle w:val="Bibliography"/>
        <w:rPr/>
      </w:pPr>
      <w:r>
        <w:rPr/>
        <w:t xml:space="preserve">Bailey, D. H., Borwein, J. M., López de Prado, M., &amp; Zhu, Q. J. (2014). Pseudo-mathematics and financial charlatanism: The effects of backtest overfitting on out-of-sample performance. </w:t>
      </w:r>
      <w:r>
        <w:rPr>
          <w:i/>
          <w:iCs/>
        </w:rPr>
        <w:t>Notices of the American Mathematical Society</w:t>
      </w:r>
      <w:r>
        <w:rPr/>
        <w:t>, 61(5), 458–471.</w:t>
      </w:r>
    </w:p>
    <w:p>
      <w:pPr>
        <w:pStyle w:val="Bibliography"/>
        <w:rPr/>
      </w:pPr>
      <w:r>
        <w:rPr/>
        <w:t xml:space="preserve">Barbier-Gauchard, A., &amp; Sofianos, E. (2025). </w:t>
      </w:r>
      <w:hyperlink r:id="rId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r>
        <w:rPr/>
        <w:t xml:space="preserve">Barro, R. J. (1974). Are government bonds net wealth? </w:t>
      </w:r>
      <w:r>
        <w:rPr>
          <w:i/>
          <w:iCs/>
        </w:rPr>
        <w:t>Journal of Political Economy</w:t>
      </w:r>
      <w:r>
        <w:rPr/>
        <w:t>, 82(6), 1095–1117.</w:t>
      </w:r>
    </w:p>
    <w:p>
      <w:pPr>
        <w:pStyle w:val="Bibliography"/>
        <w:rPr/>
      </w:pPr>
      <w:r>
        <w:rPr/>
        <w:t xml:space="preserve">Belly, G., Boeckelmann, L., Caicedo Graciano, C. M., Di Iorio, A., Istrefi, K., Siakoulis, V., &amp; Stalla-Bourdillon, A. (2023). </w:t>
      </w:r>
      <w:hyperlink r:id="rId9">
        <w:r>
          <w:rPr>
            <w:rStyle w:val="Hyperlink"/>
          </w:rPr>
          <w:t>Forecasting sovereign risk in the Euro area via machine learning</w:t>
        </w:r>
      </w:hyperlink>
      <w:r>
        <w:rPr/>
        <w:t xml:space="preserve">. </w:t>
      </w:r>
      <w:r>
        <w:rPr>
          <w:i/>
          <w:iCs/>
        </w:rPr>
        <w:t>Journal of Forecasting</w:t>
      </w:r>
      <w:r>
        <w:rPr/>
        <w:t>, 42(3), 657–684.</w:t>
      </w:r>
    </w:p>
    <w:p>
      <w:pPr>
        <w:pStyle w:val="Bibliography"/>
        <w:rPr/>
      </w:pPr>
      <w:r>
        <w:rPr/>
        <w:t xml:space="preserve">Benjamini, Y., &amp; Hochberg, Y. (1995). Controlling the false discovery rate: A practical and powerful approach to multiple testing. </w:t>
      </w:r>
      <w:r>
        <w:rPr>
          <w:i/>
          <w:iCs/>
        </w:rPr>
        <w:t>Journal of the Royal Statistical Society: Series B</w:t>
      </w:r>
      <w:r>
        <w:rPr/>
        <w:t>, 57(1), 289–300.</w:t>
      </w:r>
    </w:p>
    <w:p>
      <w:pPr>
        <w:pStyle w:val="Bibliography"/>
        <w:rPr/>
      </w:pPr>
      <w:r>
        <w:rPr/>
        <w:t xml:space="preserve">Bernoth, K., von Hagen, J., &amp; Schuknecht, L. (2012). Sovereign risk premiums in the European government bond market. </w:t>
      </w:r>
      <w:r>
        <w:rPr>
          <w:i/>
          <w:iCs/>
        </w:rPr>
        <w:t>Journal of International Money and Finance</w:t>
      </w:r>
      <w:r>
        <w:rPr/>
        <w:t>, 31(5), 975–995.</w:t>
      </w:r>
    </w:p>
    <w:p>
      <w:pPr>
        <w:pStyle w:val="Bibliography"/>
        <w:rPr/>
      </w:pPr>
      <w:r>
        <w:rPr/>
        <w:t xml:space="preserve">Bianchi, D., Büchner, M., &amp; Tamoni, A. (2021). </w:t>
      </w:r>
      <w:hyperlink r:id="rId10">
        <w:r>
          <w:rPr>
            <w:rStyle w:val="Hyperlink"/>
          </w:rPr>
          <w:t>Bond risk premiums with machine learning</w:t>
        </w:r>
      </w:hyperlink>
      <w:r>
        <w:rPr/>
        <w:t xml:space="preserve">. </w:t>
      </w:r>
      <w:r>
        <w:rPr>
          <w:i/>
          <w:iCs/>
        </w:rPr>
        <w:t>The Review of Financial Studies</w:t>
      </w:r>
      <w:r>
        <w:rPr/>
        <w:t>, 34(2), 1046–1089.</w:t>
      </w:r>
    </w:p>
    <w:p>
      <w:pPr>
        <w:pStyle w:val="Bibliography"/>
        <w:rPr/>
      </w:pPr>
      <w:r>
        <w:rPr/>
        <w:t xml:space="preserve">Blanchard, O., &amp; Perotti, R. (2002). An empirical characterization of the dynamic effects of changes in government spending and taxes on output. </w:t>
      </w:r>
      <w:r>
        <w:rPr>
          <w:i/>
          <w:iCs/>
        </w:rPr>
        <w:t>The Quarterly Journal of Economics</w:t>
      </w:r>
      <w:r>
        <w:rPr/>
        <w:t>, 117(4), 1329–1368.</w:t>
      </w:r>
    </w:p>
    <w:p>
      <w:pPr>
        <w:pStyle w:val="Bibliography"/>
        <w:rPr/>
      </w:pPr>
      <w:r>
        <w:rPr/>
        <w:t xml:space="preserve">Bouillot, R., Candelon, B., &amp; Kool, C. (2025). </w:t>
      </w:r>
      <w:hyperlink r:id="rId11">
        <w:r>
          <w:rPr>
            <w:rStyle w:val="Hyperlink"/>
            <w:i/>
            <w:iCs/>
          </w:rPr>
          <w:t>Forecasting European sovereign spreads using machine learning</w:t>
        </w:r>
      </w:hyperlink>
      <w:r>
        <w:rPr/>
        <w:t>. LIDAM Discussion Paper LFIN 2025/04, UCLouvain.</w:t>
      </w:r>
    </w:p>
    <w:p>
      <w:pPr>
        <w:pStyle w:val="Bibliography"/>
        <w:rPr/>
      </w:pPr>
      <w:r>
        <w:rPr/>
        <w:t xml:space="preserve">Breiman, L. (2001). Random forests. </w:t>
      </w:r>
      <w:r>
        <w:rPr>
          <w:i/>
          <w:iCs/>
        </w:rPr>
        <w:t>Machine Learning</w:t>
      </w:r>
      <w:r>
        <w:rPr/>
        <w:t>, 45(1), 5–32.</w:t>
      </w:r>
    </w:p>
    <w:p>
      <w:pPr>
        <w:pStyle w:val="Bibliography"/>
        <w:rPr/>
      </w:pPr>
      <w:r>
        <w:rPr/>
        <w:t xml:space="preserve">Campbell, J. Y., &amp; Thompson, S. B. (2008). Predicting excess stock returns out of sample: Can anything beat the historical average? </w:t>
      </w:r>
      <w:r>
        <w:rPr>
          <w:i/>
          <w:iCs/>
        </w:rPr>
        <w:t>The Review of Financial Studies</w:t>
      </w:r>
      <w:r>
        <w:rPr/>
        <w:t>, 21(4), 1509–1531.</w:t>
      </w:r>
    </w:p>
    <w:p>
      <w:pPr>
        <w:pStyle w:val="Bibliography"/>
        <w:rPr/>
      </w:pPr>
      <w:r>
        <w:rPr/>
        <w:t xml:space="preserve">Chen, T., &amp; Guestrin, C. (2016). XGBoost: A scalable tree boosting system. </w:t>
      </w:r>
      <w:r>
        <w:rPr>
          <w:i/>
          <w:iCs/>
        </w:rPr>
        <w:t>Proceedings of the 22nd ACM SIGKDD International Conference on Knowledge Discovery and Data Mining</w:t>
      </w:r>
      <w:r>
        <w:rPr/>
        <w:t>, 785–794.</w:t>
      </w:r>
    </w:p>
    <w:p>
      <w:pPr>
        <w:pStyle w:val="Bibliography"/>
        <w:rPr/>
      </w:pPr>
      <w:r>
        <w:rPr/>
        <w:t xml:space="preserve">Croushore, D. (2011). Frontiers of real-time data analysis. </w:t>
      </w:r>
      <w:r>
        <w:rPr>
          <w:i/>
          <w:iCs/>
        </w:rPr>
        <w:t>Journal of Economic Literature</w:t>
      </w:r>
      <w:r>
        <w:rPr/>
        <w:t>, 49(1), 72–100.</w:t>
      </w:r>
    </w:p>
    <w:p>
      <w:pPr>
        <w:pStyle w:val="Bibliography"/>
        <w:rPr/>
      </w:pPr>
      <w:r>
        <w:rPr/>
        <w:t xml:space="preserve">Dickey, D. A., &amp; Fuller, W. A. (1979). Distribution of the estimators for autoregressive time series with a unit root. </w:t>
      </w:r>
      <w:r>
        <w:rPr>
          <w:i/>
          <w:iCs/>
        </w:rPr>
        <w:t>Journal of the American Statistical Association</w:t>
      </w:r>
      <w:r>
        <w:rPr/>
        <w:t>, 74(366), 427–431.</w:t>
      </w:r>
    </w:p>
    <w:p>
      <w:pPr>
        <w:pStyle w:val="Bibliography"/>
        <w:rPr/>
      </w:pPr>
      <w:r>
        <w:rPr/>
        <w:t xml:space="preserve">Diebold, F. X., &amp; Mariano, R. S. (1995). Comparing predictive accuracy. </w:t>
      </w:r>
      <w:r>
        <w:rPr>
          <w:i/>
          <w:iCs/>
        </w:rPr>
        <w:t>Journal of Business &amp; Economic Statistics</w:t>
      </w:r>
      <w:r>
        <w:rPr/>
        <w:t>, 13(3), 253–263.</w:t>
      </w:r>
    </w:p>
    <w:p>
      <w:pPr>
        <w:pStyle w:val="Bibliography"/>
        <w:rPr/>
      </w:pPr>
      <w:r>
        <w:rPr/>
        <w:t xml:space="preserve">Fama, E. F. (1970). Efficient capital markets: A review of theory and empirical work. </w:t>
      </w:r>
      <w:r>
        <w:rPr>
          <w:i/>
          <w:iCs/>
        </w:rPr>
        <w:t>The Journal of Finance</w:t>
      </w:r>
      <w:r>
        <w:rPr/>
        <w:t>, 25(2), 383–417.</w:t>
      </w:r>
    </w:p>
    <w:p>
      <w:pPr>
        <w:pStyle w:val="Bibliography"/>
        <w:rPr/>
      </w:pPr>
      <w:r>
        <w:rPr/>
        <w:t xml:space="preserve">Favero, C. A. (2013). </w:t>
      </w:r>
      <w:hyperlink r:id="rId12">
        <w:r>
          <w:rPr>
            <w:rStyle w:val="Hyperlink"/>
          </w:rPr>
          <w:t>Modelling and forecasting government bond spreads in the euro area: A GVAR model</w:t>
        </w:r>
      </w:hyperlink>
      <w:r>
        <w:rPr/>
        <w:t xml:space="preserve">. </w:t>
      </w:r>
      <w:r>
        <w:rPr>
          <w:i/>
          <w:iCs/>
        </w:rPr>
        <w:t>Journal of Econometrics</w:t>
      </w:r>
      <w:r>
        <w:rPr/>
        <w:t>, 177(2), 343–356.</w:t>
      </w:r>
    </w:p>
    <w:p>
      <w:pPr>
        <w:pStyle w:val="Bibliography"/>
        <w:rPr/>
      </w:pPr>
      <w:r>
        <w:rPr/>
        <w:t xml:space="preserve">Fischer, T., &amp; Krauss, C. (2018). Deep learning with long short-term memory networks for financial market predictions. </w:t>
      </w:r>
      <w:r>
        <w:rPr>
          <w:i/>
          <w:iCs/>
        </w:rPr>
        <w:t>European Journal of Operational Research</w:t>
      </w:r>
      <w:r>
        <w:rPr/>
        <w:t>, 270(2), 654–669.</w:t>
      </w:r>
    </w:p>
    <w:p>
      <w:pPr>
        <w:pStyle w:val="Bibliography"/>
        <w:rPr/>
      </w:pPr>
      <w:r>
        <w:rPr/>
        <w:t xml:space="preserve">Garlanda-Longueville, L. (2023). </w:t>
      </w:r>
      <w:hyperlink r:id="rId13">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r>
        <w:rPr/>
        <w:t xml:space="preserve">Giannone, D., Reichlin, L., &amp; Small, D. (2008). Nowcasting: The real-time informational content of macroeconomic data. </w:t>
      </w:r>
      <w:r>
        <w:rPr>
          <w:i/>
          <w:iCs/>
        </w:rPr>
        <w:t>Journal of Monetary Economics</w:t>
      </w:r>
      <w:r>
        <w:rPr/>
        <w:t>, 55(4), 665–676.</w:t>
      </w:r>
    </w:p>
    <w:p>
      <w:pPr>
        <w:pStyle w:val="Bibliography"/>
        <w:rPr/>
      </w:pPr>
      <w:r>
        <w:rPr/>
        <w:t xml:space="preserve">Goulet Coulombe, P., Leroux, M., Stevanovic, D., &amp; Surprenant, S. (2022). How is machine learning useful for macroeconomic forecasting? </w:t>
      </w:r>
      <w:r>
        <w:rPr>
          <w:i/>
          <w:iCs/>
        </w:rPr>
        <w:t>Journal of Applied Econometrics</w:t>
      </w:r>
      <w:r>
        <w:rPr/>
        <w:t>, 37(5), 920–964.</w:t>
      </w:r>
    </w:p>
    <w:p>
      <w:pPr>
        <w:pStyle w:val="Bibliography"/>
        <w:rPr/>
      </w:pPr>
      <w:r>
        <w:rPr/>
        <w:t xml:space="preserve">Gu, S., Kelly, B., &amp; Xiu, D. (2020). Empirical asset pricing via machine learning. </w:t>
      </w:r>
      <w:r>
        <w:rPr>
          <w:i/>
          <w:iCs/>
        </w:rPr>
        <w:t>The Review of Financial Studies</w:t>
      </w:r>
      <w:r>
        <w:rPr/>
        <w:t>, 33(5), 2223–2273.</w:t>
      </w:r>
    </w:p>
    <w:p>
      <w:pPr>
        <w:pStyle w:val="Bibliography"/>
        <w:rPr/>
      </w:pPr>
      <w:r>
        <w:rPr/>
        <w:t xml:space="preserve">Harvey, D., Leybourne, S., &amp; Newbold, P. (1997). Testing the equality of prediction mean squared errors. </w:t>
      </w:r>
      <w:r>
        <w:rPr>
          <w:i/>
          <w:iCs/>
        </w:rPr>
        <w:t>International Journal of Forecasting</w:t>
      </w:r>
      <w:r>
        <w:rPr/>
        <w:t>, 13(2), 281–291.</w:t>
      </w:r>
    </w:p>
    <w:p>
      <w:pPr>
        <w:pStyle w:val="Bibliography"/>
        <w:rPr/>
      </w:pPr>
      <w:r>
        <w:rPr/>
        <w:t xml:space="preserve">Janssen, M., Charalabidis, Y., &amp; Zuiderwijk, A. (2012). Benefits, adoption barriers and myths of open data and open government. </w:t>
      </w:r>
      <w:r>
        <w:rPr>
          <w:i/>
          <w:iCs/>
        </w:rPr>
        <w:t>Information Systems Management</w:t>
      </w:r>
      <w:r>
        <w:rPr/>
        <w:t>, 29(4), 258–268.</w:t>
      </w:r>
    </w:p>
    <w:p>
      <w:pPr>
        <w:pStyle w:val="Bibliography"/>
        <w:rPr/>
      </w:pPr>
      <w:r>
        <w:rPr/>
        <w:t xml:space="preserve">Laubach, T. (2009). New evidence on the interest rate effects of budget deficits and debt. </w:t>
      </w:r>
      <w:r>
        <w:rPr>
          <w:i/>
          <w:iCs/>
        </w:rPr>
        <w:t>Journal of the European Economic Association</w:t>
      </w:r>
      <w:r>
        <w:rPr/>
        <w:t>, 7(4), 858–885.</w:t>
      </w:r>
    </w:p>
    <w:p>
      <w:pPr>
        <w:pStyle w:val="Bibliography"/>
        <w:rPr/>
      </w:pPr>
      <w:r>
        <w:rPr/>
        <w:t xml:space="preserve">Lundberg, S. M., &amp; Lee, S.-I. (2017). A unified approach to interpreting model predictions. </w:t>
      </w:r>
      <w:r>
        <w:rPr>
          <w:i/>
          <w:iCs/>
        </w:rPr>
        <w:t>Advances in Neural Information Processing Systems</w:t>
      </w:r>
      <w:r>
        <w:rPr/>
        <w:t>, 30.</w:t>
      </w:r>
    </w:p>
    <w:p>
      <w:pPr>
        <w:pStyle w:val="Bibliography"/>
        <w:rPr/>
      </w:pPr>
      <w:r>
        <w:rPr/>
        <w:t xml:space="preserve">McCracken, M. W., &amp; Ng, S. (2016). FRED-MD: A monthly database for macroeconomic research. </w:t>
      </w:r>
      <w:r>
        <w:rPr>
          <w:i/>
          <w:iCs/>
        </w:rPr>
        <w:t>Journal of Business &amp; Economic Statistics</w:t>
      </w:r>
      <w:r>
        <w:rPr/>
        <w:t>, 34(4), 574–589.</w:t>
      </w:r>
    </w:p>
    <w:p>
      <w:pPr>
        <w:pStyle w:val="Bibliography"/>
        <w:rPr/>
      </w:pPr>
      <w:r>
        <w:rPr/>
        <w:t xml:space="preserve">Medeiros, M. C., Vasconcelos, G. F. R., Veiga, Á., &amp; Zilberman, E. (2021). Forecasting inflation in a data-rich environment: The benefits of machine learning methods. </w:t>
      </w:r>
      <w:r>
        <w:rPr>
          <w:i/>
          <w:iCs/>
        </w:rPr>
        <w:t>Journal of Business &amp; Economic Statistics</w:t>
      </w:r>
      <w:r>
        <w:rPr/>
        <w:t>, 39(1), 98–119.</w:t>
      </w:r>
    </w:p>
    <w:p>
      <w:pPr>
        <w:pStyle w:val="Bibliography"/>
        <w:rPr/>
      </w:pPr>
      <w:r>
        <w:rPr/>
        <w:t xml:space="preserve">Ramey, V. A. (2011). Identifying government spending shocks: It’s all in the timing. </w:t>
      </w:r>
      <w:r>
        <w:rPr>
          <w:i/>
          <w:iCs/>
        </w:rPr>
        <w:t>The Quarterly Journal of Economics</w:t>
      </w:r>
      <w:r>
        <w:rPr/>
        <w:t>, 126(1), 1–50.</w:t>
      </w:r>
    </w:p>
    <w:p>
      <w:pPr>
        <w:pStyle w:val="Bibliography"/>
        <w:rPr/>
      </w:pPr>
      <w:r>
        <w:rPr/>
        <w:t xml:space="preserve">Welch, I., &amp; Goyal, A. (2008). A comprehensive look at the empirical performance of equity premium prediction. </w:t>
      </w:r>
      <w:r>
        <w:rPr>
          <w:i/>
          <w:iCs/>
        </w:rPr>
        <w:t>The Review of Financial Studies</w:t>
      </w:r>
      <w:r>
        <w:rPr/>
        <w:t>, 21(4), 1455–1508.</w:t>
      </w:r>
    </w:p>
    <w:p>
      <w:pPr>
        <w:pStyle w:val="Bibliography"/>
        <w:rPr/>
      </w:pPr>
      <w:r>
        <w:rPr/>
        <w:t xml:space="preserve">Working, H. (1960). Note on the correlation of first differences of averages in a random chain. </w:t>
      </w:r>
      <w:r>
        <w:rPr>
          <w:i/>
          <w:iCs/>
        </w:rPr>
        <w:t>Econometrica</w:t>
      </w:r>
      <w:r>
        <w:rPr/>
        <w:t>, 28(4), 916–918.</w:t>
      </w:r>
    </w:p>
    <w:p>
      <w:pPr>
        <w:pStyle w:val="Heading2"/>
        <w:rPr/>
      </w:pPr>
      <w:bookmarkStart w:id="259" w:name="__RefHeading___Toc19542_811951298"/>
      <w:bookmarkStart w:id="260" w:name="sources-en-ligne"/>
      <w:bookmarkEnd w:id="259"/>
      <w:bookmarkEnd w:id="260"/>
      <w:r>
        <w:rPr/>
        <w:t>Sources en ligne</w:t>
      </w:r>
    </w:p>
    <w:p>
      <w:pPr>
        <w:pStyle w:val="Bibliography"/>
        <w:rPr/>
      </w:pPr>
      <w:r>
        <w:rPr/>
        <w:t xml:space="preserve">Ministère de l’Économie. </w:t>
      </w:r>
      <w:hyperlink r:id="rId14">
        <w:r>
          <w:rPr>
            <w:rStyle w:val="Hyperlink"/>
          </w:rPr>
          <w:t>Situations mensuelles budgétaires de l’État, séries longues depuis 2013</w:t>
        </w:r>
      </w:hyperlink>
      <w:r>
        <w:rPr/>
        <w:t>. data.economie.gouv.fr.</w:t>
      </w:r>
    </w:p>
    <w:p>
      <w:pPr>
        <w:pStyle w:val="Bibliography"/>
        <w:rPr/>
      </w:pPr>
      <w:r>
        <w:rPr/>
        <w:t xml:space="preserve">DGFiP. </w:t>
      </w:r>
      <w:hyperlink r:id="rId15">
        <w:r>
          <w:rPr>
            <w:rStyle w:val="Hyperlink"/>
          </w:rPr>
          <w:t>La situation mensuelle de l’État</w:t>
        </w:r>
      </w:hyperlink>
      <w:r>
        <w:rPr/>
        <w:t>. economie.gouv.fr.</w:t>
      </w:r>
    </w:p>
    <w:p>
      <w:pPr>
        <w:pStyle w:val="Bibliography"/>
        <w:rPr/>
      </w:pPr>
      <w:hyperlink r:id="rId16">
        <w:r>
          <w:rPr>
            <w:rStyle w:val="Hyperlink"/>
          </w:rPr>
          <w:t>Dépôt du projet</w:t>
        </w:r>
      </w:hyperlink>
      <w:r>
        <w:rPr/>
        <w:t xml:space="preserve">, GitHub (code, données, plan pré-enregistré </w:t>
      </w:r>
      <w:r>
        <w:rPr>
          <w:rStyle w:val="VerbatimChar"/>
        </w:rPr>
        <w:t>docs/plan_extensions.md</w:t>
      </w:r>
      <w:r>
        <w:rPr/>
        <w:t>).</w:t>
      </w:r>
    </w:p>
    <w:p>
      <w:pPr>
        <w:pStyle w:val="Normal"/>
        <w:rPr/>
      </w:pPr>
      <w:r>
        <w:rPr/>
      </w:r>
      <w:bookmarkStart w:id="261" w:name="références"/>
      <w:bookmarkStart w:id="262" w:name="sources-en-ligne"/>
      <w:bookmarkStart w:id="263" w:name="références"/>
      <w:bookmarkStart w:id="264" w:name="sources-en-ligne"/>
      <w:bookmarkEnd w:id="263"/>
      <w:bookmarkEnd w:id="264"/>
      <w:r>
        <w:br w:type="page"/>
      </w:r>
    </w:p>
    <w:p>
      <w:pPr>
        <w:pStyle w:val="Heading1"/>
        <w:spacing w:before="0" w:after="240"/>
        <w:rPr/>
      </w:pPr>
      <w:bookmarkStart w:id="265" w:name="__RefHeading___Toc19544_811951298"/>
      <w:bookmarkStart w:id="266" w:name="annexes"/>
      <w:bookmarkEnd w:id="265"/>
      <w:r>
        <w:rPr/>
        <w:t>Annexes</w:t>
      </w:r>
    </w:p>
    <w:p>
      <w:pPr>
        <w:pStyle w:val="Heading2"/>
        <w:rPr/>
      </w:pPr>
      <w:bookmarkStart w:id="267" w:name="__RefHeading___Toc19546_811951298"/>
      <w:bookmarkStart w:id="268" w:name="X3ca383dbffb9d55a756372c83cc12a5ba689804"/>
      <w:bookmarkEnd w:id="267"/>
      <w:r>
        <w:rPr/>
        <w:t>Annexe A – Variables des modèles principaux</w:t>
      </w:r>
    </w:p>
    <w:p>
      <w:pPr>
        <w:pStyle w:val="CaptionTable"/>
        <w:keepNext w:val="true"/>
        <w:spacing w:lineRule="auto" w:line="240" w:before="120" w:after="80"/>
        <w:jc w:val="left"/>
        <w:rPr/>
      </w:pPr>
      <w:bookmarkStart w:id="269" w:name="__RefHeading___Toc19568_811951298"/>
      <w:bookmarkEnd w:id="269"/>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Écart du cumul depuis janvier par rapport à l’année précédente, en % du total annuel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68"/>
    </w:p>
    <w:p>
      <w:pPr>
        <w:pStyle w:val="Heading2"/>
        <w:rPr/>
      </w:pPr>
      <w:bookmarkStart w:id="270" w:name="__RefHeading___Toc19548_811951298"/>
      <w:bookmarkStart w:id="271" w:name="annexe-b-détail-des-extensions-e1-à-e20"/>
      <w:bookmarkEnd w:id="270"/>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72" w:name="__RefHeading___Toc19566_811951298"/>
      <w:bookmarkEnd w:id="272"/>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h=12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réglé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réglé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réglé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[2020-2021]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[2022-2026]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[VIX &gt; 20]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notations vs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complet vs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btp_concessions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h=1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defense (excès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h=3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logit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logit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logit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M0+EPU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M1+EPU vs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M0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M1 + surprise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vs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vs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vs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 réduit + 2 CP des dépenses vs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 50/50 avec la moyenne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enet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enet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enet : M1 vs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71"/>
    </w:p>
    <w:p>
      <w:pPr>
        <w:pStyle w:val="Heading2"/>
        <w:rPr/>
      </w:pPr>
      <w:bookmarkStart w:id="273" w:name="__RefHeading___Toc19550_811951298"/>
      <w:bookmarkStart w:id="274" w:name="Xb3e285cc14b2fbc3f04dfc3a545449b954bfbe1"/>
      <w:bookmarkEnd w:id="273"/>
      <w:r>
        <w:rPr/>
        <w:t>Annexe C – Sensibilité à la graine aléatoire</w:t>
      </w:r>
    </w:p>
    <w:p>
      <w:pPr>
        <w:pStyle w:val="CaptionTable"/>
        <w:keepNext w:val="true"/>
        <w:spacing w:lineRule="auto" w:line="240" w:before="120" w:after="80"/>
        <w:jc w:val="left"/>
        <w:rPr/>
      </w:pPr>
      <w:bookmarkStart w:id="275" w:name="__RefHeading___Toc19564_811951298"/>
      <w:bookmarkEnd w:id="275"/>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274"/>
    </w:p>
    <w:p>
      <w:pPr>
        <w:pStyle w:val="Heading2"/>
        <w:rPr/>
      </w:pPr>
      <w:bookmarkStart w:id="276" w:name="__RefHeading___Toc19552_811951298"/>
      <w:bookmarkStart w:id="277" w:name="Xd68da8618e318907bf0faf326720b285d49eebd"/>
      <w:bookmarkEnd w:id="276"/>
      <w:r>
        <w:rPr/>
        <w:t>Annexe D – Contrôle négatif : dépenses contre variables de bruit</w:t>
      </w:r>
    </w:p>
    <w:p>
      <w:pPr>
        <w:pStyle w:val="CaptionTable"/>
        <w:keepNext w:val="true"/>
        <w:spacing w:lineRule="auto" w:line="240" w:before="120" w:after="80"/>
        <w:jc w:val="left"/>
        <w:rPr/>
      </w:pPr>
      <w:bookmarkStart w:id="278" w:name="__RefHeading___Toc19562_811951298"/>
      <w:bookmarkEnd w:id="278"/>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277"/>
    </w:p>
    <w:p>
      <w:pPr>
        <w:pStyle w:val="Heading2"/>
        <w:rPr/>
      </w:pPr>
      <w:bookmarkStart w:id="279" w:name="__RefHeading___Toc19554_811951298"/>
      <w:bookmarkStart w:id="280" w:name="Xe4aa703dc8ae53bd5a3baef5b8de368c6e05d88"/>
      <w:bookmarkEnd w:id="279"/>
      <w:r>
        <w:rPr/>
        <w:t>Annexe E – Robustesse au décalage de publication</w:t>
      </w:r>
    </w:p>
    <w:p>
      <w:pPr>
        <w:pStyle w:val="CaptionTable"/>
        <w:keepNext w:val="true"/>
        <w:spacing w:lineRule="auto" w:line="240" w:before="120" w:after="80"/>
        <w:jc w:val="left"/>
        <w:rPr/>
      </w:pPr>
      <w:bookmarkStart w:id="281" w:name="__RefHeading___Toc19560_811951298"/>
      <w:bookmarkEnd w:id="281"/>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DM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0,86</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rf</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nan</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nan</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nan</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w:t>
      </w:r>
      <w:bookmarkEnd w:id="280"/>
    </w:p>
    <w:p>
      <w:pPr>
        <w:pStyle w:val="Heading2"/>
        <w:rPr/>
      </w:pPr>
      <w:bookmarkStart w:id="282" w:name="__RefHeading___Toc19556_811951298"/>
      <w:bookmarkStart w:id="283" w:name="annexe-f-code-et-reproductibilité"/>
      <w:bookmarkEnd w:id="282"/>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librairies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librairies ; les conclusions n’en dépendent pas.</w:t>
      </w:r>
      <w:bookmarkEnd w:id="266"/>
      <w:bookmarkEnd w:id="283"/>
    </w:p>
    <w:sectPr>
      <w:footerReference w:type="even" r:id="rId17"/>
      <w:footerReference w:type="default" r:id="rId18"/>
      <w:footerReference w:type="first" r:id="rId1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2"/>
    <w:lvlOverride w:ilvl="0">
      <w:startOverride w:val="1"/>
    </w:lvlOverride>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240" w:before="360" w:after="240"/>
      <w:ind w:left="0"/>
      <w:jc w:val="center"/>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lineRule="auto" w:line="240" w:before="360" w:after="240"/>
      <w:ind w:left="0"/>
      <w:jc w:val="left"/>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lineRule="auto" w:line="240" w:before="240" w:after="120"/>
      <w:ind w:left="720"/>
      <w:jc w:val="left"/>
      <w:outlineLvl w:val="2"/>
    </w:pPr>
    <w:rPr>
      <w:rFonts w:ascii="Times New Roman" w:hAnsi="Times New Roman" w:eastAsia="Times New Roman" w:cs="Times New Roman"/>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www.ecb.europa.eu/pub/pdf/scpwps/ecbwp1781.en.pdf" TargetMode="External"/><Relationship Id="rId8" Type="http://schemas.openxmlformats.org/officeDocument/2006/relationships/hyperlink" Target="https://link.springer.com/article/10.1007/s10614-025-11106-9" TargetMode="External"/><Relationship Id="rId9" Type="http://schemas.openxmlformats.org/officeDocument/2006/relationships/hyperlink" Target="https://ideas.repec.org/a/wly/jforec/v42y2023i3p657-684.html" TargetMode="External"/><Relationship Id="rId10" Type="http://schemas.openxmlformats.org/officeDocument/2006/relationships/hyperlink" Target="https://academic.oup.com/rfs/article-abstract/34/2/1046/5843806" TargetMode="External"/><Relationship Id="rId11" Type="http://schemas.openxmlformats.org/officeDocument/2006/relationships/hyperlink" Target="https://research.dial.uclouvain.be/server/api/core/bitstreams/f99c9d92-b208-429f-84ec-256595aa55a5/content" TargetMode="External"/><Relationship Id="rId12" Type="http://schemas.openxmlformats.org/officeDocument/2006/relationships/hyperlink" Target="https://www.sciencedirect.com/science/article/abs/pii/S030440761300081X" TargetMode="External"/><Relationship Id="rId13" Type="http://schemas.openxmlformats.org/officeDocument/2006/relationships/hyperlink" Target="https://theses.fr/2023PA100145" TargetMode="External"/><Relationship Id="rId14" Type="http://schemas.openxmlformats.org/officeDocument/2006/relationships/hyperlink" Target="https://data.economie.gouv.fr/explore/assets/situations-mensuelles-budgetaires-series-longues/" TargetMode="External"/><Relationship Id="rId15" Type="http://schemas.openxmlformats.org/officeDocument/2006/relationships/hyperlink" Target="https://www.economie.gouv.fr/dgfip/la-situation-mensuelle-de-letat" TargetMode="External"/><Relationship Id="rId16" Type="http://schemas.openxmlformats.org/officeDocument/2006/relationships/hyperlink" Target="https://github.com/lyaminedb1/public-spending-market-prediction" TargetMode="Externa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77</Pages>
  <Words>19894</Words>
  <Characters>96963</Characters>
  <CharactersWithSpaces>113766</CharactersWithSpaces>
  <Paragraphs>3044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2026-09-30T16:54:49Z</dcterms:created>
  <dc:creator>Abdellah Elyamine DALI BRAHAM</dc:creator>
  <dc:description/>
  <dc:language>en-US</dc:language>
  <cp:lastModifiedBy/>
  <dcterms:modified xsi:type="dcterms:W3CDTF">2026-09-30T18:54:53Z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