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972_3650217843"/>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974_3650217843"/>
      <w:bookmarkStart w:id="5" w:name="résumé"/>
      <w:bookmarkEnd w:id="4"/>
      <w:bookmarkEnd w:id="5"/>
      <w:r>
        <w:rPr/>
        <w:t>Résumé</w:t>
      </w:r>
    </w:p>
    <w:p>
      <w:pPr>
        <w:pStyle w:val="FirstParagraph"/>
        <w:rPr/>
      </w:pPr>
      <w:r>
        <w:rPr/>
        <w:t>Les finances publiques françaises inquiètent les marchés, et l’État publie chaque mois, en données ouvertes, le détail de ses dépenses. Ce mémoire se demande si ces données permettent de prévoir les marchés financiers. Nous utilisons les situations mensuelles budgétaires de l’État (2013-2026), décalées de deux mois pour respecter leur délai de publication, afin de prévoir le mois suivant trois indicateurs : la variation du spread OAT-Bund à 10 ans, celle du taux OAT à 10 ans et le rendement du CAC 40. Nous comparons un modèle qui n’utilise que des variables de marché et de contexte macroéconomique à un modèle qui ajoute les dépenses, avec trois méthodes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une fois les tests multiples corrigés. Aucun modèle ne bat la moyenne historique, et pour les taux, ne rien changer au mois suivant fait mieux que tous les modèles, même si l’écart est rarement significatif. Des contrôles avec un signal fictif et du bruit montrent que notre dispositif aurait le plus souvent repéré un effet fort, mais pas forcément un effet faible. Enfin, un R² très élevé sur le niveau du spread, comme dans la littérature récente, ne prouve pas grand-chose : les modèles font moins bien que la simple reconduction du spread du mois précédent.</w:t>
      </w:r>
    </w:p>
    <w:p>
      <w:pPr>
        <w:pStyle w:val="BodyText"/>
        <w:rPr/>
      </w:pPr>
      <w:r>
        <w:rPr/>
        <w:t>Mots-clés : dépenses publiques, données ouvertes, spread souverain, prévision, machine learning, validation glissante, marchés efficients.</w:t>
      </w:r>
    </w:p>
    <w:p>
      <w:pPr>
        <w:pStyle w:val="Normal"/>
        <w:rPr/>
      </w:pPr>
      <w:r>
        <w:rPr/>
      </w:r>
      <w:bookmarkStart w:id="6" w:name="résumé"/>
      <w:bookmarkStart w:id="7" w:name="résumé"/>
      <w:bookmarkEnd w:id="7"/>
      <w:r>
        <w:br w:type="page"/>
      </w:r>
    </w:p>
    <w:p>
      <w:pPr>
        <w:pStyle w:val="Heading1"/>
        <w:spacing w:before="0" w:after="240"/>
        <w:rPr/>
      </w:pPr>
      <w:bookmarkStart w:id="8" w:name="__RefHeading___Toc19976_3650217843"/>
      <w:bookmarkStart w:id="9" w:name="sommaire"/>
      <w:bookmarkEnd w:id="8"/>
      <w:bookmarkEnd w:id="9"/>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972_3650217843">
            <w:r>
              <w:rPr>
                <w:webHidden/>
                <w:rStyle w:val="IndexLink"/>
              </w:rPr>
              <w:t>Remerciements</w:t>
              <w:tab/>
              <w:t>2</w:t>
            </w:r>
          </w:hyperlink>
        </w:p>
        <w:p>
          <w:pPr>
            <w:pStyle w:val="TOC1"/>
            <w:tabs>
              <w:tab w:val="clear" w:pos="9026"/>
              <w:tab w:val="right" w:pos="9025" w:leader="dot"/>
            </w:tabs>
            <w:rPr/>
          </w:pPr>
          <w:hyperlink w:anchor="__RefHeading___Toc19974_3650217843">
            <w:r>
              <w:rPr>
                <w:webHidden/>
                <w:rStyle w:val="IndexLink"/>
              </w:rPr>
              <w:t>Résumé</w:t>
              <w:tab/>
              <w:t>3</w:t>
            </w:r>
          </w:hyperlink>
        </w:p>
        <w:p>
          <w:pPr>
            <w:pStyle w:val="TOC1"/>
            <w:tabs>
              <w:tab w:val="clear" w:pos="9026"/>
              <w:tab w:val="right" w:pos="9025" w:leader="dot"/>
            </w:tabs>
            <w:rPr/>
          </w:pPr>
          <w:hyperlink w:anchor="__RefHeading___Toc19976_3650217843">
            <w:r>
              <w:rPr>
                <w:webHidden/>
                <w:rStyle w:val="IndexLink"/>
              </w:rPr>
              <w:t>Sommaire</w:t>
              <w:tab/>
              <w:t>4</w:t>
            </w:r>
          </w:hyperlink>
        </w:p>
        <w:p>
          <w:pPr>
            <w:pStyle w:val="TOC1"/>
            <w:tabs>
              <w:tab w:val="clear" w:pos="9026"/>
              <w:tab w:val="right" w:pos="9025" w:leader="dot"/>
            </w:tabs>
            <w:rPr/>
          </w:pPr>
          <w:hyperlink w:anchor="__RefHeading___Toc19978_3650217843">
            <w:r>
              <w:rPr>
                <w:webHidden/>
                <w:rStyle w:val="IndexLink"/>
              </w:rPr>
              <w:t>Liste des tableaux</w:t>
              <w:tab/>
              <w:t>7</w:t>
            </w:r>
          </w:hyperlink>
        </w:p>
        <w:p>
          <w:pPr>
            <w:pStyle w:val="TOC1"/>
            <w:tabs>
              <w:tab w:val="clear" w:pos="9026"/>
              <w:tab w:val="right" w:pos="9025" w:leader="dot"/>
            </w:tabs>
            <w:rPr/>
          </w:pPr>
          <w:hyperlink w:anchor="__RefHeading___Toc19980_3650217843">
            <w:r>
              <w:rPr>
                <w:webHidden/>
                <w:rStyle w:val="IndexLink"/>
              </w:rPr>
              <w:t>Liste des figures</w:t>
              <w:tab/>
              <w:t>8</w:t>
            </w:r>
          </w:hyperlink>
        </w:p>
        <w:p>
          <w:pPr>
            <w:pStyle w:val="TOC1"/>
            <w:tabs>
              <w:tab w:val="clear" w:pos="9026"/>
              <w:tab w:val="right" w:pos="9025" w:leader="dot"/>
            </w:tabs>
            <w:rPr/>
          </w:pPr>
          <w:hyperlink w:anchor="__RefHeading___Toc19982_3650217843">
            <w:r>
              <w:rPr>
                <w:webHidden/>
                <w:rStyle w:val="IndexLink"/>
              </w:rPr>
              <w:t>Liste des abréviations</w:t>
              <w:tab/>
              <w:t>9</w:t>
            </w:r>
          </w:hyperlink>
        </w:p>
        <w:p>
          <w:pPr>
            <w:pStyle w:val="TOC1"/>
            <w:tabs>
              <w:tab w:val="clear" w:pos="9026"/>
              <w:tab w:val="right" w:pos="9025" w:leader="dot"/>
            </w:tabs>
            <w:rPr/>
          </w:pPr>
          <w:hyperlink w:anchor="__RefHeading___Toc19984_3650217843">
            <w:r>
              <w:rPr>
                <w:webHidden/>
                <w:rStyle w:val="IndexLink"/>
              </w:rPr>
              <w:t>Glossaire</w:t>
              <w:tab/>
              <w:t>9</w:t>
            </w:r>
          </w:hyperlink>
        </w:p>
        <w:p>
          <w:pPr>
            <w:pStyle w:val="TOC1"/>
            <w:tabs>
              <w:tab w:val="clear" w:pos="9026"/>
              <w:tab w:val="right" w:pos="9025" w:leader="dot"/>
            </w:tabs>
            <w:rPr/>
          </w:pPr>
          <w:hyperlink w:anchor="__RefHeading___Toc19986_3650217843">
            <w:r>
              <w:rPr>
                <w:webHidden/>
                <w:rStyle w:val="IndexLink"/>
              </w:rPr>
              <w:t>Introduction générale</w:t>
              <w:tab/>
              <w:t>11</w:t>
            </w:r>
          </w:hyperlink>
        </w:p>
        <w:p>
          <w:pPr>
            <w:pStyle w:val="TOC2"/>
            <w:tabs>
              <w:tab w:val="clear" w:pos="8743"/>
              <w:tab w:val="right" w:pos="9025" w:leader="dot"/>
            </w:tabs>
            <w:rPr/>
          </w:pPr>
          <w:hyperlink w:anchor="__RefHeading___Toc19988_3650217843">
            <w:r>
              <w:rPr>
                <w:webHidden/>
                <w:rStyle w:val="IndexLink"/>
              </w:rPr>
              <w:t>Contexte</w:t>
              <w:tab/>
              <w:t>11</w:t>
            </w:r>
          </w:hyperlink>
        </w:p>
        <w:p>
          <w:pPr>
            <w:pStyle w:val="TOC2"/>
            <w:tabs>
              <w:tab w:val="clear" w:pos="8743"/>
              <w:tab w:val="right" w:pos="9025" w:leader="dot"/>
            </w:tabs>
            <w:rPr/>
          </w:pPr>
          <w:hyperlink w:anchor="__RefHeading___Toc19990_3650217843">
            <w:r>
              <w:rPr>
                <w:webHidden/>
                <w:rStyle w:val="IndexLink"/>
              </w:rPr>
              <w:t>Problématique</w:t>
              <w:tab/>
              <w:t>11</w:t>
            </w:r>
          </w:hyperlink>
        </w:p>
        <w:p>
          <w:pPr>
            <w:pStyle w:val="TOC2"/>
            <w:tabs>
              <w:tab w:val="clear" w:pos="8743"/>
              <w:tab w:val="right" w:pos="9025" w:leader="dot"/>
            </w:tabs>
            <w:rPr/>
          </w:pPr>
          <w:hyperlink w:anchor="__RefHeading___Toc19992_3650217843">
            <w:r>
              <w:rPr>
                <w:webHidden/>
                <w:rStyle w:val="IndexLink"/>
              </w:rPr>
              <w:t>Objectif et démarche</w:t>
              <w:tab/>
              <w:t>12</w:t>
            </w:r>
          </w:hyperlink>
        </w:p>
        <w:p>
          <w:pPr>
            <w:pStyle w:val="TOC2"/>
            <w:tabs>
              <w:tab w:val="clear" w:pos="8743"/>
              <w:tab w:val="right" w:pos="9025" w:leader="dot"/>
            </w:tabs>
            <w:rPr/>
          </w:pPr>
          <w:hyperlink w:anchor="__RefHeading___Toc19994_3650217843">
            <w:r>
              <w:rPr>
                <w:webHidden/>
                <w:rStyle w:val="IndexLink"/>
              </w:rPr>
              <w:t>Apports</w:t>
              <w:tab/>
              <w:t>12</w:t>
            </w:r>
          </w:hyperlink>
        </w:p>
        <w:p>
          <w:pPr>
            <w:pStyle w:val="TOC2"/>
            <w:tabs>
              <w:tab w:val="clear" w:pos="8743"/>
              <w:tab w:val="right" w:pos="9025" w:leader="dot"/>
            </w:tabs>
            <w:rPr/>
          </w:pPr>
          <w:hyperlink w:anchor="__RefHeading___Toc19996_3650217843">
            <w:r>
              <w:rPr>
                <w:webHidden/>
                <w:rStyle w:val="IndexLink"/>
              </w:rPr>
              <w:t>Plan du mémoire</w:t>
              <w:tab/>
              <w:t>13</w:t>
            </w:r>
          </w:hyperlink>
        </w:p>
        <w:p>
          <w:pPr>
            <w:pStyle w:val="TOC1"/>
            <w:tabs>
              <w:tab w:val="clear" w:pos="9026"/>
              <w:tab w:val="right" w:pos="9025" w:leader="dot"/>
            </w:tabs>
            <w:rPr/>
          </w:pPr>
          <w:hyperlink w:anchor="__RefHeading___Toc19998_3650217843">
            <w:r>
              <w:rPr>
                <w:webHidden/>
                <w:rStyle w:val="IndexLink"/>
              </w:rPr>
              <w:t>Chapitre 1 : État de l’art</w:t>
              <w:tab/>
              <w:t>14</w:t>
            </w:r>
          </w:hyperlink>
        </w:p>
        <w:p>
          <w:pPr>
            <w:pStyle w:val="TOC2"/>
            <w:tabs>
              <w:tab w:val="clear" w:pos="8743"/>
              <w:tab w:val="right" w:pos="9025" w:leader="dot"/>
            </w:tabs>
            <w:rPr/>
          </w:pPr>
          <w:hyperlink w:anchor="__RefHeading___Toc20000_3650217843">
            <w:r>
              <w:rPr>
                <w:webHidden/>
                <w:rStyle w:val="IndexLink"/>
              </w:rPr>
              <w:t>Introduction du chapitre</w:t>
              <w:tab/>
              <w:t>14</w:t>
            </w:r>
          </w:hyperlink>
        </w:p>
        <w:p>
          <w:pPr>
            <w:pStyle w:val="TOC2"/>
            <w:tabs>
              <w:tab w:val="clear" w:pos="8743"/>
              <w:tab w:val="right" w:pos="9025" w:leader="dot"/>
            </w:tabs>
            <w:rPr/>
          </w:pPr>
          <w:hyperlink w:anchor="__RefHeading___Toc20002_3650217843">
            <w:r>
              <w:rPr>
                <w:webHidden/>
                <w:rStyle w:val="IndexLink"/>
              </w:rPr>
              <w:t>1.1 Cadre théorique : ce que l’on peut attendre</w:t>
              <w:tab/>
              <w:t>15</w:t>
            </w:r>
          </w:hyperlink>
        </w:p>
        <w:p>
          <w:pPr>
            <w:pStyle w:val="TOC2"/>
            <w:tabs>
              <w:tab w:val="clear" w:pos="8743"/>
              <w:tab w:val="right" w:pos="9025" w:leader="dot"/>
            </w:tabs>
            <w:rPr/>
          </w:pPr>
          <w:hyperlink w:anchor="__RefHeading___Toc20004_3650217843">
            <w:r>
              <w:rPr>
                <w:webHidden/>
                <w:rStyle w:val="IndexLink"/>
              </w:rPr>
              <w:t>1.2 Finances publiques et spreads souverains en zone euro</w:t>
              <w:tab/>
              <w:t>16</w:t>
            </w:r>
          </w:hyperlink>
        </w:p>
        <w:p>
          <w:pPr>
            <w:pStyle w:val="TOC2"/>
            <w:tabs>
              <w:tab w:val="clear" w:pos="8743"/>
              <w:tab w:val="right" w:pos="9025" w:leader="dot"/>
            </w:tabs>
            <w:rPr/>
          </w:pPr>
          <w:hyperlink w:anchor="__RefHeading___Toc20006_3650217843">
            <w:r>
              <w:rPr>
                <w:webHidden/>
                <w:rStyle w:val="IndexLink"/>
              </w:rPr>
              <w:t>1.3 Machine learning et prévision des spreads</w:t>
              <w:tab/>
              <w:t>19</w:t>
            </w:r>
          </w:hyperlink>
        </w:p>
        <w:p>
          <w:pPr>
            <w:pStyle w:val="TOC2"/>
            <w:tabs>
              <w:tab w:val="clear" w:pos="8743"/>
              <w:tab w:val="right" w:pos="9025" w:leader="dot"/>
            </w:tabs>
            <w:rPr/>
          </w:pPr>
          <w:hyperlink w:anchor="__RefHeading___Toc20008_3650217843">
            <w:r>
              <w:rPr>
                <w:webHidden/>
                <w:rStyle w:val="IndexLink"/>
              </w:rPr>
              <w:t>1.4 Données ouvertes et précautions de méthode</w:t>
              <w:tab/>
              <w:t>21</w:t>
            </w:r>
          </w:hyperlink>
        </w:p>
        <w:p>
          <w:pPr>
            <w:pStyle w:val="TOC2"/>
            <w:tabs>
              <w:tab w:val="clear" w:pos="8743"/>
              <w:tab w:val="right" w:pos="9025" w:leader="dot"/>
            </w:tabs>
            <w:rPr/>
          </w:pPr>
          <w:hyperlink w:anchor="__RefHeading___Toc20010_3650217843">
            <w:r>
              <w:rPr>
                <w:webHidden/>
                <w:rStyle w:val="IndexLink"/>
              </w:rPr>
              <w:t>1.5 Synthèse et positionnement du mémoire</w:t>
              <w:tab/>
              <w:t>22</w:t>
            </w:r>
          </w:hyperlink>
        </w:p>
        <w:p>
          <w:pPr>
            <w:pStyle w:val="TOC1"/>
            <w:tabs>
              <w:tab w:val="clear" w:pos="9026"/>
              <w:tab w:val="right" w:pos="9025" w:leader="dot"/>
            </w:tabs>
            <w:rPr/>
          </w:pPr>
          <w:hyperlink w:anchor="__RefHeading___Toc20012_3650217843">
            <w:r>
              <w:rPr>
                <w:webHidden/>
                <w:rStyle w:val="IndexLink"/>
              </w:rPr>
              <w:t>Chapitre 2 : Données et méthodologie</w:t>
              <w:tab/>
              <w:t>27</w:t>
            </w:r>
          </w:hyperlink>
        </w:p>
        <w:p>
          <w:pPr>
            <w:pStyle w:val="TOC2"/>
            <w:tabs>
              <w:tab w:val="clear" w:pos="8743"/>
              <w:tab w:val="right" w:pos="9025" w:leader="dot"/>
            </w:tabs>
            <w:rPr/>
          </w:pPr>
          <w:hyperlink w:anchor="__RefHeading___Toc20014_3650217843">
            <w:r>
              <w:rPr>
                <w:webHidden/>
                <w:rStyle w:val="IndexLink"/>
              </w:rPr>
              <w:t>Introduction du chapitre</w:t>
              <w:tab/>
              <w:t>27</w:t>
            </w:r>
          </w:hyperlink>
        </w:p>
        <w:p>
          <w:pPr>
            <w:pStyle w:val="TOC2"/>
            <w:tabs>
              <w:tab w:val="clear" w:pos="8743"/>
              <w:tab w:val="right" w:pos="9025" w:leader="dot"/>
            </w:tabs>
            <w:rPr/>
          </w:pPr>
          <w:hyperlink w:anchor="__RefHeading___Toc20016_3650217843">
            <w:r>
              <w:rPr>
                <w:webHidden/>
                <w:rStyle w:val="IndexLink"/>
              </w:rPr>
              <w:t>2.1 Sources des données</w:t>
              <w:tab/>
              <w:t>27</w:t>
            </w:r>
          </w:hyperlink>
        </w:p>
        <w:p>
          <w:pPr>
            <w:pStyle w:val="TOC2"/>
            <w:tabs>
              <w:tab w:val="clear" w:pos="8743"/>
              <w:tab w:val="right" w:pos="9025" w:leader="dot"/>
            </w:tabs>
            <w:rPr/>
          </w:pPr>
          <w:hyperlink w:anchor="__RefHeading___Toc20018_3650217843">
            <w:r>
              <w:rPr>
                <w:webHidden/>
                <w:rStyle w:val="IndexLink"/>
              </w:rPr>
              <w:t>2.2 Construction du jeu de données</w:t>
              <w:tab/>
              <w:t>28</w:t>
            </w:r>
          </w:hyperlink>
        </w:p>
        <w:p>
          <w:pPr>
            <w:pStyle w:val="TOC2"/>
            <w:tabs>
              <w:tab w:val="clear" w:pos="8743"/>
              <w:tab w:val="right" w:pos="9025" w:leader="dot"/>
            </w:tabs>
            <w:rPr/>
          </w:pPr>
          <w:hyperlink w:anchor="__RefHeading___Toc20020_3650217843">
            <w:r>
              <w:rPr>
                <w:webHidden/>
                <w:rStyle w:val="IndexLink"/>
              </w:rPr>
              <w:t>2.3 Variables cibles et stationnarité</w:t>
              <w:tab/>
              <w:t>32</w:t>
            </w:r>
          </w:hyperlink>
        </w:p>
        <w:p>
          <w:pPr>
            <w:pStyle w:val="TOC2"/>
            <w:tabs>
              <w:tab w:val="clear" w:pos="8743"/>
              <w:tab w:val="right" w:pos="9025" w:leader="dot"/>
            </w:tabs>
            <w:rPr/>
          </w:pPr>
          <w:hyperlink w:anchor="__RefHeading___Toc20022_3650217843">
            <w:r>
              <w:rPr>
                <w:webHidden/>
                <w:rStyle w:val="IndexLink"/>
              </w:rPr>
              <w:t>2.4 Variables explicatives</w:t>
              <w:tab/>
              <w:t>33</w:t>
            </w:r>
          </w:hyperlink>
        </w:p>
        <w:p>
          <w:pPr>
            <w:pStyle w:val="TOC2"/>
            <w:tabs>
              <w:tab w:val="clear" w:pos="8743"/>
              <w:tab w:val="right" w:pos="9025" w:leader="dot"/>
            </w:tabs>
            <w:rPr/>
          </w:pPr>
          <w:hyperlink w:anchor="__RefHeading___Toc20024_3650217843">
            <w:r>
              <w:rPr>
                <w:webHidden/>
                <w:rStyle w:val="IndexLink"/>
              </w:rPr>
              <w:t>2.5 Modèles retenus</w:t>
              <w:tab/>
              <w:t>34</w:t>
            </w:r>
          </w:hyperlink>
        </w:p>
        <w:p>
          <w:pPr>
            <w:pStyle w:val="TOC2"/>
            <w:tabs>
              <w:tab w:val="clear" w:pos="8743"/>
              <w:tab w:val="right" w:pos="9025" w:leader="dot"/>
            </w:tabs>
            <w:rPr/>
          </w:pPr>
          <w:hyperlink w:anchor="__RefHeading___Toc20026_3650217843">
            <w:r>
              <w:rPr>
                <w:webHidden/>
                <w:rStyle w:val="IndexLink"/>
              </w:rPr>
              <w:t>2.6 Protocole d’évaluation</w:t>
              <w:tab/>
              <w:t>36</w:t>
            </w:r>
          </w:hyperlink>
        </w:p>
        <w:p>
          <w:pPr>
            <w:pStyle w:val="TOC2"/>
            <w:tabs>
              <w:tab w:val="clear" w:pos="8743"/>
              <w:tab w:val="right" w:pos="9025" w:leader="dot"/>
            </w:tabs>
            <w:rPr/>
          </w:pPr>
          <w:hyperlink w:anchor="__RefHeading___Toc20028_3650217843">
            <w:r>
              <w:rPr>
                <w:webHidden/>
                <w:rStyle w:val="IndexLink"/>
              </w:rPr>
              <w:t>2.7 Extensions datées avant exécution et correction des tests multiples</w:t>
              <w:tab/>
              <w:t>39</w:t>
            </w:r>
          </w:hyperlink>
        </w:p>
        <w:p>
          <w:pPr>
            <w:pStyle w:val="TOC2"/>
            <w:tabs>
              <w:tab w:val="clear" w:pos="8743"/>
              <w:tab w:val="right" w:pos="9025" w:leader="dot"/>
            </w:tabs>
            <w:rPr/>
          </w:pPr>
          <w:hyperlink w:anchor="__RefHeading___Toc20030_3650217843">
            <w:r>
              <w:rPr>
                <w:webHidden/>
                <w:rStyle w:val="IndexLink"/>
              </w:rPr>
              <w:t>2.8 Considérations éthiques</w:t>
              <w:tab/>
              <w:t>42</w:t>
            </w:r>
          </w:hyperlink>
        </w:p>
        <w:p>
          <w:pPr>
            <w:pStyle w:val="TOC1"/>
            <w:tabs>
              <w:tab w:val="clear" w:pos="9026"/>
              <w:tab w:val="right" w:pos="9025" w:leader="dot"/>
            </w:tabs>
            <w:rPr/>
          </w:pPr>
          <w:hyperlink w:anchor="__RefHeading___Toc20032_3650217843">
            <w:r>
              <w:rPr>
                <w:webHidden/>
                <w:rStyle w:val="IndexLink"/>
              </w:rPr>
              <w:t>Chapitre 3 : Résultats</w:t>
              <w:tab/>
              <w:t>44</w:t>
            </w:r>
          </w:hyperlink>
        </w:p>
        <w:p>
          <w:pPr>
            <w:pStyle w:val="TOC2"/>
            <w:tabs>
              <w:tab w:val="clear" w:pos="8743"/>
              <w:tab w:val="right" w:pos="9025" w:leader="dot"/>
            </w:tabs>
            <w:rPr/>
          </w:pPr>
          <w:hyperlink w:anchor="__RefHeading___Toc20034_3650217843">
            <w:r>
              <w:rPr>
                <w:webHidden/>
                <w:rStyle w:val="IndexLink"/>
              </w:rPr>
              <w:t>3.1 Statistiques descriptives</w:t>
              <w:tab/>
              <w:t>44</w:t>
            </w:r>
          </w:hyperlink>
        </w:p>
        <w:p>
          <w:pPr>
            <w:pStyle w:val="TOC2"/>
            <w:tabs>
              <w:tab w:val="clear" w:pos="8743"/>
              <w:tab w:val="right" w:pos="9025" w:leader="dot"/>
            </w:tabs>
            <w:rPr/>
          </w:pPr>
          <w:hyperlink w:anchor="__RefHeading___Toc20036_3650217843">
            <w:r>
              <w:rPr>
                <w:webHidden/>
                <w:rStyle w:val="IndexLink"/>
              </w:rPr>
              <w:t>3.2 Modèles principaux</w:t>
              <w:tab/>
              <w:t>45</w:t>
            </w:r>
          </w:hyperlink>
        </w:p>
        <w:p>
          <w:pPr>
            <w:pStyle w:val="TOC2"/>
            <w:tabs>
              <w:tab w:val="clear" w:pos="8743"/>
              <w:tab w:val="right" w:pos="9025" w:leader="dot"/>
            </w:tabs>
            <w:rPr/>
          </w:pPr>
          <w:hyperlink w:anchor="__RefHeading___Toc20038_3650217843">
            <w:r>
              <w:rPr>
                <w:webHidden/>
                <w:rStyle w:val="IndexLink"/>
              </w:rPr>
              <w:t>3.3 Solidité des résultats</w:t>
              <w:tab/>
              <w:t>47</w:t>
            </w:r>
          </w:hyperlink>
        </w:p>
        <w:p>
          <w:pPr>
            <w:pStyle w:val="TOC2"/>
            <w:tabs>
              <w:tab w:val="clear" w:pos="8743"/>
              <w:tab w:val="right" w:pos="9025" w:leader="dot"/>
            </w:tabs>
            <w:rPr/>
          </w:pPr>
          <w:hyperlink w:anchor="__RefHeading___Toc20040_3650217843">
            <w:r>
              <w:rPr>
                <w:webHidden/>
                <w:rStyle w:val="IndexLink"/>
              </w:rPr>
              <w:t>3.4 Importance des variables</w:t>
              <w:tab/>
              <w:t>48</w:t>
            </w:r>
          </w:hyperlink>
        </w:p>
        <w:p>
          <w:pPr>
            <w:pStyle w:val="TOC2"/>
            <w:tabs>
              <w:tab w:val="clear" w:pos="8743"/>
              <w:tab w:val="right" w:pos="9025" w:leader="dot"/>
            </w:tabs>
            <w:rPr/>
          </w:pPr>
          <w:hyperlink w:anchor="__RefHeading___Toc20042_3650217843">
            <w:r>
              <w:rPr>
                <w:webHidden/>
                <w:rStyle w:val="IndexLink"/>
              </w:rPr>
              <w:t>3.5 Extensions sur les données françaises</w:t>
              <w:tab/>
              <w:t>49</w:t>
            </w:r>
          </w:hyperlink>
        </w:p>
        <w:p>
          <w:pPr>
            <w:pStyle w:val="TOC2"/>
            <w:tabs>
              <w:tab w:val="clear" w:pos="8743"/>
              <w:tab w:val="right" w:pos="9025" w:leader="dot"/>
            </w:tabs>
            <w:rPr/>
          </w:pPr>
          <w:hyperlink w:anchor="__RefHeading___Toc20044_3650217843">
            <w:r>
              <w:rPr>
                <w:webHidden/>
                <w:rStyle w:val="IndexLink"/>
              </w:rPr>
              <w:t>3.6 Panel européen et marche aléatoire (E15 à E18)</w:t>
              <w:tab/>
              <w:t>52</w:t>
            </w:r>
          </w:hyperlink>
        </w:p>
        <w:p>
          <w:pPr>
            <w:pStyle w:val="TOC2"/>
            <w:tabs>
              <w:tab w:val="clear" w:pos="8743"/>
              <w:tab w:val="right" w:pos="9025" w:leader="dot"/>
            </w:tabs>
            <w:rPr/>
          </w:pPr>
          <w:hyperlink w:anchor="__RefHeading___Toc20046_3650217843">
            <w:r>
              <w:rPr>
                <w:webHidden/>
                <w:rStyle w:val="IndexLink"/>
              </w:rPr>
              <w:t>3.7 Synthèse : état des hypothèses</w:t>
              <w:tab/>
              <w:t>53</w:t>
            </w:r>
          </w:hyperlink>
        </w:p>
        <w:p>
          <w:pPr>
            <w:pStyle w:val="TOC1"/>
            <w:tabs>
              <w:tab w:val="clear" w:pos="9026"/>
              <w:tab w:val="right" w:pos="9025" w:leader="dot"/>
            </w:tabs>
            <w:rPr/>
          </w:pPr>
          <w:hyperlink w:anchor="__RefHeading___Toc20048_3650217843">
            <w:r>
              <w:rPr>
                <w:webHidden/>
                <w:rStyle w:val="IndexLink"/>
              </w:rPr>
              <w:t>Chapitre 4 : Discussion</w:t>
              <w:tab/>
              <w:t>55</w:t>
            </w:r>
          </w:hyperlink>
        </w:p>
        <w:p>
          <w:pPr>
            <w:pStyle w:val="TOC2"/>
            <w:tabs>
              <w:tab w:val="clear" w:pos="8743"/>
              <w:tab w:val="right" w:pos="9025" w:leader="dot"/>
            </w:tabs>
            <w:rPr/>
          </w:pPr>
          <w:hyperlink w:anchor="__RefHeading___Toc20050_3650217843">
            <w:r>
              <w:rPr>
                <w:webHidden/>
                <w:rStyle w:val="IndexLink"/>
              </w:rPr>
              <w:t>4.1 Réponse à la problématique</w:t>
              <w:tab/>
              <w:t>55</w:t>
            </w:r>
          </w:hyperlink>
        </w:p>
        <w:p>
          <w:pPr>
            <w:pStyle w:val="TOC2"/>
            <w:tabs>
              <w:tab w:val="clear" w:pos="8743"/>
              <w:tab w:val="right" w:pos="9025" w:leader="dot"/>
            </w:tabs>
            <w:rPr/>
          </w:pPr>
          <w:hyperlink w:anchor="__RefHeading___Toc20052_3650217843">
            <w:r>
              <w:rPr>
                <w:webHidden/>
                <w:rStyle w:val="IndexLink"/>
              </w:rPr>
              <w:t>4.2 Pourquoi les dépenses n’aident pas : des pistes</w:t>
              <w:tab/>
              <w:t>56</w:t>
            </w:r>
          </w:hyperlink>
        </w:p>
        <w:p>
          <w:pPr>
            <w:pStyle w:val="TOC2"/>
            <w:tabs>
              <w:tab w:val="clear" w:pos="8743"/>
              <w:tab w:val="right" w:pos="9025" w:leader="dot"/>
            </w:tabs>
            <w:rPr/>
          </w:pPr>
          <w:hyperlink w:anchor="__RefHeading___Toc20054_3650217843">
            <w:r>
              <w:rPr>
                <w:webHidden/>
                <w:rStyle w:val="IndexLink"/>
              </w:rPr>
              <w:t>4.3 Ce que le résultat négatif veut dire, et ce qu’il ne veut pas dire</w:t>
              <w:tab/>
              <w:t>58</w:t>
            </w:r>
          </w:hyperlink>
        </w:p>
        <w:p>
          <w:pPr>
            <w:pStyle w:val="TOC2"/>
            <w:tabs>
              <w:tab w:val="clear" w:pos="8743"/>
              <w:tab w:val="right" w:pos="9025" w:leader="dot"/>
            </w:tabs>
            <w:rPr/>
          </w:pPr>
          <w:hyperlink w:anchor="__RefHeading___Toc20056_3650217843">
            <w:r>
              <w:rPr>
                <w:webHidden/>
                <w:rStyle w:val="IndexLink"/>
              </w:rPr>
              <w:t>4.4 Retour sur les modèles</w:t>
              <w:tab/>
              <w:t>59</w:t>
            </w:r>
          </w:hyperlink>
        </w:p>
        <w:p>
          <w:pPr>
            <w:pStyle w:val="TOC2"/>
            <w:tabs>
              <w:tab w:val="clear" w:pos="8743"/>
              <w:tab w:val="right" w:pos="9025" w:leader="dot"/>
            </w:tabs>
            <w:rPr/>
          </w:pPr>
          <w:hyperlink w:anchor="__RefHeading___Toc20058_3650217843">
            <w:r>
              <w:rPr>
                <w:webHidden/>
                <w:rStyle w:val="IndexLink"/>
              </w:rPr>
              <w:t>4.5 Comparaison avec la littérature</w:t>
              <w:tab/>
              <w:t>61</w:t>
            </w:r>
          </w:hyperlink>
        </w:p>
        <w:p>
          <w:pPr>
            <w:pStyle w:val="TOC2"/>
            <w:tabs>
              <w:tab w:val="clear" w:pos="8743"/>
              <w:tab w:val="right" w:pos="9025" w:leader="dot"/>
            </w:tabs>
            <w:rPr/>
          </w:pPr>
          <w:hyperlink w:anchor="__RefHeading___Toc20060_3650217843">
            <w:r>
              <w:rPr>
                <w:webHidden/>
                <w:rStyle w:val="IndexLink"/>
              </w:rPr>
              <w:t>4.6 Implications</w:t>
              <w:tab/>
              <w:t>62</w:t>
            </w:r>
          </w:hyperlink>
        </w:p>
        <w:p>
          <w:pPr>
            <w:pStyle w:val="TOC2"/>
            <w:tabs>
              <w:tab w:val="clear" w:pos="8743"/>
              <w:tab w:val="right" w:pos="9025" w:leader="dot"/>
            </w:tabs>
            <w:rPr/>
          </w:pPr>
          <w:hyperlink w:anchor="__RefHeading___Toc20062_3650217843">
            <w:r>
              <w:rPr>
                <w:webHidden/>
                <w:rStyle w:val="IndexLink"/>
              </w:rPr>
              <w:t>4.7 Limites</w:t>
              <w:tab/>
              <w:t>63</w:t>
            </w:r>
          </w:hyperlink>
        </w:p>
        <w:p>
          <w:pPr>
            <w:pStyle w:val="TOC2"/>
            <w:tabs>
              <w:tab w:val="clear" w:pos="8743"/>
              <w:tab w:val="right" w:pos="9025" w:leader="dot"/>
            </w:tabs>
            <w:rPr/>
          </w:pPr>
          <w:hyperlink w:anchor="__RefHeading___Toc20064_3650217843">
            <w:r>
              <w:rPr>
                <w:webHidden/>
                <w:rStyle w:val="IndexLink"/>
              </w:rPr>
              <w:t>4.8 Recherches futures</w:t>
              <w:tab/>
              <w:t>64</w:t>
            </w:r>
          </w:hyperlink>
        </w:p>
        <w:p>
          <w:pPr>
            <w:pStyle w:val="TOC1"/>
            <w:tabs>
              <w:tab w:val="clear" w:pos="9026"/>
              <w:tab w:val="right" w:pos="9025" w:leader="dot"/>
            </w:tabs>
            <w:rPr/>
          </w:pPr>
          <w:hyperlink w:anchor="__RefHeading___Toc20066_3650217843">
            <w:r>
              <w:rPr>
                <w:webHidden/>
                <w:rStyle w:val="IndexLink"/>
              </w:rPr>
              <w:t>Conclusion générale</w:t>
              <w:tab/>
              <w:t>65</w:t>
            </w:r>
          </w:hyperlink>
        </w:p>
        <w:p>
          <w:pPr>
            <w:pStyle w:val="TOC2"/>
            <w:tabs>
              <w:tab w:val="clear" w:pos="8743"/>
              <w:tab w:val="right" w:pos="9025" w:leader="dot"/>
            </w:tabs>
            <w:rPr/>
          </w:pPr>
          <w:hyperlink w:anchor="__RefHeading___Toc20068_3650217843">
            <w:r>
              <w:rPr>
                <w:webHidden/>
                <w:rStyle w:val="IndexLink"/>
              </w:rPr>
              <w:t>Principaux résultats</w:t>
              <w:tab/>
              <w:t>65</w:t>
            </w:r>
          </w:hyperlink>
        </w:p>
        <w:p>
          <w:pPr>
            <w:pStyle w:val="TOC2"/>
            <w:tabs>
              <w:tab w:val="clear" w:pos="8743"/>
              <w:tab w:val="right" w:pos="9025" w:leader="dot"/>
            </w:tabs>
            <w:rPr/>
          </w:pPr>
          <w:hyperlink w:anchor="__RefHeading___Toc20070_3650217843">
            <w:r>
              <w:rPr>
                <w:webHidden/>
                <w:rStyle w:val="IndexLink"/>
              </w:rPr>
              <w:t>Apports</w:t>
              <w:tab/>
              <w:t>65</w:t>
            </w:r>
          </w:hyperlink>
        </w:p>
        <w:p>
          <w:pPr>
            <w:pStyle w:val="TOC2"/>
            <w:tabs>
              <w:tab w:val="clear" w:pos="8743"/>
              <w:tab w:val="right" w:pos="9025" w:leader="dot"/>
            </w:tabs>
            <w:rPr/>
          </w:pPr>
          <w:hyperlink w:anchor="__RefHeading___Toc20072_3650217843">
            <w:r>
              <w:rPr>
                <w:webHidden/>
                <w:rStyle w:val="IndexLink"/>
              </w:rPr>
              <w:t>Limites</w:t>
              <w:tab/>
              <w:t>66</w:t>
            </w:r>
          </w:hyperlink>
        </w:p>
        <w:p>
          <w:pPr>
            <w:pStyle w:val="TOC2"/>
            <w:tabs>
              <w:tab w:val="clear" w:pos="8743"/>
              <w:tab w:val="right" w:pos="9025" w:leader="dot"/>
            </w:tabs>
            <w:rPr/>
          </w:pPr>
          <w:hyperlink w:anchor="__RefHeading___Toc20074_3650217843">
            <w:r>
              <w:rPr>
                <w:webHidden/>
                <w:rStyle w:val="IndexLink"/>
              </w:rPr>
              <w:t>Perspectives</w:t>
              <w:tab/>
              <w:t>66</w:t>
            </w:r>
          </w:hyperlink>
        </w:p>
        <w:p>
          <w:pPr>
            <w:pStyle w:val="TOC1"/>
            <w:tabs>
              <w:tab w:val="clear" w:pos="9026"/>
              <w:tab w:val="right" w:pos="9025" w:leader="dot"/>
            </w:tabs>
            <w:rPr/>
          </w:pPr>
          <w:hyperlink w:anchor="__RefHeading___Toc20076_3650217843">
            <w:r>
              <w:rPr>
                <w:webHidden/>
                <w:rStyle w:val="IndexLink"/>
              </w:rPr>
              <w:t>Références</w:t>
              <w:tab/>
              <w:t>67</w:t>
            </w:r>
          </w:hyperlink>
        </w:p>
        <w:p>
          <w:pPr>
            <w:pStyle w:val="TOC2"/>
            <w:tabs>
              <w:tab w:val="clear" w:pos="8743"/>
              <w:tab w:val="right" w:pos="9025" w:leader="dot"/>
            </w:tabs>
            <w:rPr/>
          </w:pPr>
          <w:hyperlink w:anchor="__RefHeading___Toc20078_3650217843">
            <w:r>
              <w:rPr>
                <w:webHidden/>
                <w:rStyle w:val="IndexLink"/>
              </w:rPr>
              <w:t>Sources en ligne</w:t>
              <w:tab/>
              <w:t>70</w:t>
            </w:r>
          </w:hyperlink>
        </w:p>
        <w:p>
          <w:pPr>
            <w:pStyle w:val="TOC1"/>
            <w:tabs>
              <w:tab w:val="clear" w:pos="9026"/>
              <w:tab w:val="right" w:pos="9025" w:leader="dot"/>
            </w:tabs>
            <w:rPr/>
          </w:pPr>
          <w:hyperlink w:anchor="__RefHeading___Toc20080_3650217843">
            <w:r>
              <w:rPr>
                <w:webHidden/>
                <w:rStyle w:val="IndexLink"/>
              </w:rPr>
              <w:t>Annexes</w:t>
              <w:tab/>
              <w:t>71</w:t>
            </w:r>
          </w:hyperlink>
        </w:p>
        <w:p>
          <w:pPr>
            <w:pStyle w:val="TOC2"/>
            <w:tabs>
              <w:tab w:val="clear" w:pos="8743"/>
              <w:tab w:val="right" w:pos="9025" w:leader="dot"/>
            </w:tabs>
            <w:rPr/>
          </w:pPr>
          <w:hyperlink w:anchor="__RefHeading___Toc20082_3650217843">
            <w:r>
              <w:rPr>
                <w:webHidden/>
                <w:rStyle w:val="IndexLink"/>
              </w:rPr>
              <w:t>Annexe A : Variables des modèles principaux</w:t>
              <w:tab/>
              <w:t>71</w:t>
            </w:r>
          </w:hyperlink>
        </w:p>
        <w:p>
          <w:pPr>
            <w:pStyle w:val="TOC2"/>
            <w:tabs>
              <w:tab w:val="clear" w:pos="8743"/>
              <w:tab w:val="right" w:pos="9025" w:leader="dot"/>
            </w:tabs>
            <w:rPr/>
          </w:pPr>
          <w:hyperlink w:anchor="__RefHeading___Toc20084_3650217843">
            <w:r>
              <w:rPr>
                <w:webHidden/>
                <w:rStyle w:val="IndexLink"/>
              </w:rPr>
              <w:t>Annexe B : Détail des extensions E1 à E20</w:t>
              <w:tab/>
              <w:t>71</w:t>
            </w:r>
          </w:hyperlink>
        </w:p>
        <w:p>
          <w:pPr>
            <w:pStyle w:val="TOC2"/>
            <w:tabs>
              <w:tab w:val="clear" w:pos="8743"/>
              <w:tab w:val="right" w:pos="9025" w:leader="dot"/>
            </w:tabs>
            <w:rPr/>
          </w:pPr>
          <w:hyperlink w:anchor="__RefHeading___Toc20086_3650217843">
            <w:r>
              <w:rPr>
                <w:webHidden/>
                <w:rStyle w:val="IndexLink"/>
              </w:rPr>
              <w:t>Annexe C : Sensibilité à la graine aléatoire</w:t>
              <w:tab/>
              <w:t>85</w:t>
            </w:r>
          </w:hyperlink>
        </w:p>
        <w:p>
          <w:pPr>
            <w:pStyle w:val="TOC2"/>
            <w:tabs>
              <w:tab w:val="clear" w:pos="8743"/>
              <w:tab w:val="right" w:pos="9025" w:leader="dot"/>
            </w:tabs>
            <w:rPr/>
          </w:pPr>
          <w:hyperlink w:anchor="__RefHeading___Toc20088_3650217843">
            <w:r>
              <w:rPr>
                <w:webHidden/>
                <w:rStyle w:val="IndexLink"/>
              </w:rPr>
              <w:t>Annexe D : Contrôle négatif : dépenses contre variables de bruit</w:t>
              <w:tab/>
              <w:t>85</w:t>
            </w:r>
          </w:hyperlink>
        </w:p>
        <w:p>
          <w:pPr>
            <w:pStyle w:val="TOC2"/>
            <w:tabs>
              <w:tab w:val="clear" w:pos="8743"/>
              <w:tab w:val="right" w:pos="9025" w:leader="dot"/>
            </w:tabs>
            <w:rPr/>
          </w:pPr>
          <w:hyperlink w:anchor="__RefHeading___Toc20090_3650217843">
            <w:r>
              <w:rPr>
                <w:webHidden/>
                <w:rStyle w:val="IndexLink"/>
              </w:rPr>
              <w:t>Annexe E : Robustesse au décalage de publication</w:t>
              <w:tab/>
              <w:t>86</w:t>
            </w:r>
          </w:hyperlink>
        </w:p>
        <w:p>
          <w:pPr>
            <w:pStyle w:val="TOC2"/>
            <w:tabs>
              <w:tab w:val="clear" w:pos="8743"/>
              <w:tab w:val="right" w:pos="9025" w:leader="dot"/>
            </w:tabs>
            <w:rPr/>
          </w:pPr>
          <w:hyperlink w:anchor="__RefHeading___Toc20092_3650217843">
            <w:r>
              <w:rPr>
                <w:webHidden/>
                <w:rStyle w:val="IndexLink"/>
              </w:rPr>
              <w:t>Annexe F : Étude d’événement préliminaire sur le CAC 40</w:t>
              <w:tab/>
              <w:t>86</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0" w:name="sommaire"/>
      <w:bookmarkStart w:id="11" w:name="sommaire"/>
      <w:bookmarkEnd w:id="11"/>
      <w:r>
        <w:br w:type="page"/>
      </w:r>
    </w:p>
    <w:p>
      <w:pPr>
        <w:pStyle w:val="Heading1"/>
        <w:spacing w:before="0" w:after="240"/>
        <w:rPr/>
      </w:pPr>
      <w:bookmarkStart w:id="12" w:name="__RefHeading___Toc19978_3650217843"/>
      <w:bookmarkStart w:id="13" w:name="liste-des-tableaux"/>
      <w:bookmarkEnd w:id="12"/>
      <w:bookmarkEnd w:id="13"/>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20094_3650217843">
            <w:bookmarkStart w:id="14" w:name="liste-des-tableaux"/>
            <w:bookmarkEnd w:id="14"/>
            <w:r>
              <w:rPr>
                <w:webHidden/>
                <w:rStyle w:val="IndexLink"/>
              </w:rPr>
              <w:t>Tableau 1.1 : Principaux travaux recensés</w:t>
              <w:tab/>
              <w:t>22</w:t>
            </w:r>
          </w:hyperlink>
        </w:p>
        <w:p>
          <w:pPr>
            <w:pStyle w:val="TOC1"/>
            <w:tabs>
              <w:tab w:val="clear" w:pos="9026"/>
              <w:tab w:val="right" w:pos="9025" w:leader="dot"/>
            </w:tabs>
            <w:rPr/>
          </w:pPr>
          <w:hyperlink w:anchor="__RefHeading___Toc20138_3650217843">
            <w:r>
              <w:rPr>
                <w:webHidden/>
                <w:rStyle w:val="IndexLink"/>
              </w:rPr>
              <w:t>Tableau 2.1 : Sources des données</w:t>
              <w:tab/>
              <w:t>27</w:t>
            </w:r>
          </w:hyperlink>
        </w:p>
        <w:p>
          <w:pPr>
            <w:pStyle w:val="TOC1"/>
            <w:tabs>
              <w:tab w:val="clear" w:pos="9026"/>
              <w:tab w:val="right" w:pos="9025" w:leader="dot"/>
            </w:tabs>
            <w:rPr/>
          </w:pPr>
          <w:hyperlink w:anchor="__RefHeading___Toc20136_3650217843">
            <w:r>
              <w:rPr>
                <w:webHidden/>
                <w:rStyle w:val="IndexLink"/>
              </w:rPr>
              <w:t>Tableau 2.2 : Soldes annuels reconstitués</w:t>
              <w:tab/>
              <w:t>31</w:t>
            </w:r>
          </w:hyperlink>
        </w:p>
        <w:p>
          <w:pPr>
            <w:pStyle w:val="TOC1"/>
            <w:tabs>
              <w:tab w:val="clear" w:pos="9026"/>
              <w:tab w:val="right" w:pos="9025" w:leader="dot"/>
            </w:tabs>
            <w:rPr/>
          </w:pPr>
          <w:hyperlink w:anchor="__RefHeading___Toc20134_3650217843">
            <w:r>
              <w:rPr>
                <w:webHidden/>
                <w:rStyle w:val="IndexLink"/>
              </w:rPr>
              <w:t>Tableau 2.3 : Variables cibles</w:t>
              <w:tab/>
              <w:t>32</w:t>
            </w:r>
          </w:hyperlink>
        </w:p>
        <w:p>
          <w:pPr>
            <w:pStyle w:val="TOC1"/>
            <w:tabs>
              <w:tab w:val="clear" w:pos="9026"/>
              <w:tab w:val="right" w:pos="9025" w:leader="dot"/>
            </w:tabs>
            <w:rPr/>
          </w:pPr>
          <w:hyperlink w:anchor="__RefHeading___Toc20132_3650217843">
            <w:r>
              <w:rPr>
                <w:webHidden/>
                <w:rStyle w:val="IndexLink"/>
              </w:rPr>
              <w:t>Tableau 2.4 : Test de stationnarité (Dickey-Fuller augmenté)</w:t>
              <w:tab/>
              <w:t>32</w:t>
            </w:r>
          </w:hyperlink>
        </w:p>
        <w:p>
          <w:pPr>
            <w:pStyle w:val="TOC1"/>
            <w:tabs>
              <w:tab w:val="clear" w:pos="9026"/>
              <w:tab w:val="right" w:pos="9025" w:leader="dot"/>
            </w:tabs>
            <w:rPr/>
          </w:pPr>
          <w:hyperlink w:anchor="__RefHeading___Toc20130_3650217843">
            <w:r>
              <w:rPr>
                <w:webHidden/>
                <w:rStyle w:val="IndexLink"/>
              </w:rPr>
              <w:t>Tableau 2.5 : Jeux de variables emboîtés</w:t>
              <w:tab/>
              <w:t>33</w:t>
            </w:r>
          </w:hyperlink>
        </w:p>
        <w:p>
          <w:pPr>
            <w:pStyle w:val="TOC1"/>
            <w:tabs>
              <w:tab w:val="clear" w:pos="9026"/>
              <w:tab w:val="right" w:pos="9025" w:leader="dot"/>
            </w:tabs>
            <w:rPr/>
          </w:pPr>
          <w:hyperlink w:anchor="__RefHeading___Toc20128_3650217843">
            <w:r>
              <w:rPr>
                <w:webHidden/>
                <w:rStyle w:val="IndexLink"/>
              </w:rPr>
              <w:t>Tableau 2.6 : Modèles comparés</w:t>
              <w:tab/>
              <w:t>34</w:t>
            </w:r>
          </w:hyperlink>
        </w:p>
        <w:p>
          <w:pPr>
            <w:pStyle w:val="TOC1"/>
            <w:tabs>
              <w:tab w:val="clear" w:pos="9026"/>
              <w:tab w:val="right" w:pos="9025" w:leader="dot"/>
            </w:tabs>
            <w:rPr/>
          </w:pPr>
          <w:hyperlink w:anchor="__RefHeading___Toc20126_3650217843">
            <w:r>
              <w:rPr>
                <w:webHidden/>
                <w:rStyle w:val="IndexLink"/>
              </w:rPr>
              <w:t>Tableau 2.7 : Mesures de performance</w:t>
              <w:tab/>
              <w:t>37</w:t>
            </w:r>
          </w:hyperlink>
        </w:p>
        <w:p>
          <w:pPr>
            <w:pStyle w:val="TOC1"/>
            <w:tabs>
              <w:tab w:val="clear" w:pos="9026"/>
              <w:tab w:val="right" w:pos="9025" w:leader="dot"/>
            </w:tabs>
            <w:rPr/>
          </w:pPr>
          <w:hyperlink w:anchor="__RefHeading___Toc20124_3650217843">
            <w:r>
              <w:rPr>
                <w:webHidden/>
                <w:rStyle w:val="IndexLink"/>
              </w:rPr>
              <w:t>Tableau 2.8 : Extensions testées</w:t>
              <w:tab/>
              <w:t>40</w:t>
            </w:r>
          </w:hyperlink>
        </w:p>
        <w:p>
          <w:pPr>
            <w:pStyle w:val="TOC1"/>
            <w:tabs>
              <w:tab w:val="clear" w:pos="9026"/>
              <w:tab w:val="right" w:pos="9025" w:leader="dot"/>
            </w:tabs>
            <w:rPr/>
          </w:pPr>
          <w:hyperlink w:anchor="__RefHeading___Toc20122_3650217843">
            <w:r>
              <w:rPr>
                <w:webHidden/>
                <w:rStyle w:val="IndexLink"/>
              </w:rPr>
              <w:t>Tableau 3.1 : Statistiques des variables cibles (149 mois ; prévisions faites de mars 2014 à juillet 2026)</w:t>
              <w:tab/>
              <w:t>44</w:t>
            </w:r>
          </w:hyperlink>
        </w:p>
        <w:p>
          <w:pPr>
            <w:pStyle w:val="TOC1"/>
            <w:tabs>
              <w:tab w:val="clear" w:pos="9026"/>
              <w:tab w:val="right" w:pos="9025" w:leader="dot"/>
            </w:tabs>
            <w:rPr/>
          </w:pPr>
          <w:hyperlink w:anchor="__RefHeading___Toc20120_3650217843">
            <w:r>
              <w:rPr>
                <w:webHidden/>
                <w:rStyle w:val="IndexLink"/>
              </w:rPr>
              <w:t>Tableau 3.2 : R² hors échantillon par rapport à la moyenne historique (%), janvier 2020 à juillet 2026</w:t>
              <w:tab/>
              <w:t>45</w:t>
            </w:r>
          </w:hyperlink>
        </w:p>
        <w:p>
          <w:pPr>
            <w:pStyle w:val="TOC1"/>
            <w:tabs>
              <w:tab w:val="clear" w:pos="9026"/>
              <w:tab w:val="right" w:pos="9025" w:leader="dot"/>
            </w:tabs>
            <w:rPr/>
          </w:pPr>
          <w:hyperlink w:anchor="__RefHeading___Toc20118_3650217843">
            <w:r>
              <w:rPr>
                <w:webHidden/>
                <w:rStyle w:val="IndexLink"/>
              </w:rPr>
              <w:t>Tableau 3.3 : Tests de Diebold-Mariano (p-values bilatérales)</w:t>
              <w:tab/>
              <w:t>46</w:t>
            </w:r>
          </w:hyperlink>
        </w:p>
        <w:p>
          <w:pPr>
            <w:pStyle w:val="TOC1"/>
            <w:tabs>
              <w:tab w:val="clear" w:pos="9026"/>
              <w:tab w:val="right" w:pos="9025" w:leader="dot"/>
            </w:tabs>
            <w:rPr/>
          </w:pPr>
          <w:hyperlink w:anchor="__RefHeading___Toc20116_3650217843">
            <w:r>
              <w:rPr>
                <w:webHidden/>
                <w:rStyle w:val="IndexLink"/>
              </w:rPr>
              <w:t>Tableau 3.4 : Contrôle positif : part des tirages où le signal est retrouvé (Ridge, 10 tirages par valeur de ρ, 1 pour ρ = 1)</w:t>
              <w:tab/>
              <w:t>47</w:t>
            </w:r>
          </w:hyperlink>
        </w:p>
        <w:p>
          <w:pPr>
            <w:pStyle w:val="TOC1"/>
            <w:tabs>
              <w:tab w:val="clear" w:pos="9026"/>
              <w:tab w:val="right" w:pos="9025" w:leader="dot"/>
            </w:tabs>
            <w:rPr/>
          </w:pPr>
          <w:hyperlink w:anchor="__RefHeading___Toc20114_3650217843">
            <w:r>
              <w:rPr>
                <w:webHidden/>
                <w:rStyle w:val="IndexLink"/>
              </w:rPr>
              <w:t>Tableau 3.5 : Part de l’importance SHAP des sept variables ajoutées à M0 (%)</w:t>
              <w:tab/>
              <w:t>48</w:t>
            </w:r>
          </w:hyperlink>
        </w:p>
        <w:p>
          <w:pPr>
            <w:pStyle w:val="TOC1"/>
            <w:tabs>
              <w:tab w:val="clear" w:pos="9026"/>
              <w:tab w:val="right" w:pos="9025" w:leader="dot"/>
            </w:tabs>
            <w:rPr/>
          </w:pPr>
          <w:hyperlink w:anchor="__RefHeading___Toc20112_3650217843">
            <w:r>
              <w:rPr>
                <w:webHidden/>
                <w:rStyle w:val="IndexLink"/>
              </w:rPr>
              <w:t>Tableau 3.6 : Meilleur R² hors échantillon sans dépenses ; avec dépenses, par extension (%)</w:t>
              <w:tab/>
              <w:t>50</w:t>
            </w:r>
          </w:hyperlink>
        </w:p>
        <w:p>
          <w:pPr>
            <w:pStyle w:val="TOC1"/>
            <w:tabs>
              <w:tab w:val="clear" w:pos="9026"/>
              <w:tab w:val="right" w:pos="9025" w:leader="dot"/>
            </w:tabs>
            <w:rPr/>
          </w:pPr>
          <w:hyperlink w:anchor="__RefHeading___Toc20110_3650217843">
            <w:r>
              <w:rPr>
                <w:webHidden/>
                <w:rStyle w:val="IndexLink"/>
              </w:rPr>
              <w:t>Tableau 3.7 : E16 : niveau du spread, comparaison à la marche aléatoire (avec finances publiques)</w:t>
              <w:tab/>
              <w:t>53</w:t>
            </w:r>
          </w:hyperlink>
        </w:p>
        <w:p>
          <w:pPr>
            <w:pStyle w:val="TOC1"/>
            <w:tabs>
              <w:tab w:val="clear" w:pos="9026"/>
              <w:tab w:val="right" w:pos="9025" w:leader="dot"/>
            </w:tabs>
            <w:rPr/>
          </w:pPr>
          <w:hyperlink w:anchor="__RefHeading___Toc20108_3650217843">
            <w:r>
              <w:rPr>
                <w:webHidden/>
                <w:rStyle w:val="IndexLink"/>
              </w:rPr>
              <w:t>Tableau 3.8 : État des hypothèses</w:t>
              <w:tab/>
              <w:t>53</w:t>
            </w:r>
          </w:hyperlink>
        </w:p>
        <w:p>
          <w:pPr>
            <w:pStyle w:val="TOC1"/>
            <w:tabs>
              <w:tab w:val="clear" w:pos="9026"/>
              <w:tab w:val="right" w:pos="9025" w:leader="dot"/>
            </w:tabs>
            <w:rPr/>
          </w:pPr>
          <w:hyperlink w:anchor="__RefHeading___Toc20106_3650217843">
            <w:r>
              <w:rPr>
                <w:webHidden/>
                <w:rStyle w:val="IndexLink"/>
              </w:rPr>
              <w:t>Tableau A.1 : Variables des jeux emboîtés M0, M1 et M2</w:t>
              <w:tab/>
              <w:t>71</w:t>
            </w:r>
          </w:hyperlink>
        </w:p>
        <w:p>
          <w:pPr>
            <w:pStyle w:val="TOC1"/>
            <w:tabs>
              <w:tab w:val="clear" w:pos="9026"/>
              <w:tab w:val="right" w:pos="9025" w:leader="dot"/>
            </w:tabs>
            <w:rPr/>
          </w:pPr>
          <w:hyperlink w:anchor="__RefHeading___Toc20104_3650217843">
            <w:r>
              <w:rPr>
                <w:webHidden/>
                <w:rStyle w:val="IndexLink"/>
              </w:rPr>
              <w:t>Tableau B.1 : Résultats des 210 comparaisons</w:t>
              <w:tab/>
              <w:t>71</w:t>
            </w:r>
          </w:hyperlink>
        </w:p>
        <w:p>
          <w:pPr>
            <w:pStyle w:val="TOC1"/>
            <w:tabs>
              <w:tab w:val="clear" w:pos="9026"/>
              <w:tab w:val="right" w:pos="9025" w:leader="dot"/>
            </w:tabs>
            <w:rPr/>
          </w:pPr>
          <w:hyperlink w:anchor="__RefHeading___Toc20102_3650217843">
            <w:r>
              <w:rPr>
                <w:webHidden/>
                <w:rStyle w:val="IndexLink"/>
              </w:rPr>
              <w:t>Tableau C.1 : R² hors échantillon (%) selon la graine</w:t>
              <w:tab/>
              <w:t>85</w:t>
            </w:r>
          </w:hyperlink>
        </w:p>
        <w:p>
          <w:pPr>
            <w:pStyle w:val="TOC1"/>
            <w:tabs>
              <w:tab w:val="clear" w:pos="9026"/>
              <w:tab w:val="right" w:pos="9025" w:leader="dot"/>
            </w:tabs>
            <w:rPr/>
          </w:pPr>
          <w:hyperlink w:anchor="__RefHeading___Toc20100_3650217843">
            <w:r>
              <w:rPr>
                <w:webHidden/>
                <w:rStyle w:val="IndexLink"/>
              </w:rPr>
              <w:t>Tableau D.1 : Gain de R² par rapport à M0 (points) : vraies dépenses et sept variables de bruit</w:t>
              <w:tab/>
              <w:t>85</w:t>
            </w:r>
          </w:hyperlink>
        </w:p>
        <w:p>
          <w:pPr>
            <w:pStyle w:val="TOC1"/>
            <w:tabs>
              <w:tab w:val="clear" w:pos="9026"/>
              <w:tab w:val="right" w:pos="9025" w:leader="dot"/>
            </w:tabs>
            <w:rPr/>
          </w:pPr>
          <w:hyperlink w:anchor="__RefHeading___Toc20098_3650217843">
            <w:r>
              <w:rPr>
                <w:webHidden/>
                <w:rStyle w:val="IndexLink"/>
              </w:rPr>
              <w:t>Tableau E.1 : Modèles principaux avec un décalage budgétaire de 1, 2 et 3 mois</w:t>
              <w:tab/>
              <w:t>86</w:t>
            </w:r>
          </w:hyperlink>
        </w:p>
        <w:p>
          <w:pPr>
            <w:pStyle w:val="TOC1"/>
            <w:tabs>
              <w:tab w:val="clear" w:pos="9026"/>
              <w:tab w:val="right" w:pos="9025" w:leader="dot"/>
            </w:tabs>
            <w:rPr/>
          </w:pPr>
          <w:hyperlink w:anchor="__RefHeading___Toc20096_3650217843">
            <w:r>
              <w:rPr>
                <w:webHidden/>
                <w:rStyle w:val="IndexLink"/>
              </w:rPr>
              <w:t>Tableau F.1 : Réaction du CAC 40 aux publications de la situation mensuelle budgétaire</w:t>
              <w:tab/>
              <w:t>87</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i w:val="false"/>
          <w:i w:val="false"/>
          <w:color w:val="000000"/>
          <w:sz w:val="28"/>
          <w:szCs w:val="40"/>
        </w:rPr>
      </w:pPr>
      <w:bookmarkStart w:id="15" w:name="__RefHeading___Toc19980_3650217843"/>
      <w:bookmarkStart w:id="16" w:name="liste-des-figures"/>
      <w:bookmarkEnd w:id="15"/>
      <w:bookmarkEnd w:id="16"/>
      <w:r>
        <w:rPr>
          <w:rFonts w:eastAsia="Times New Roman" w:cs="Times New Roman"/>
          <w:b/>
          <w:i w:val="false"/>
          <w:color w:val="000000"/>
          <w:sz w:val="28"/>
          <w:szCs w:val="40"/>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20140_3650217843">
            <w:r>
              <w:rPr>
                <w:webHidden/>
                <w:rStyle w:val="IndexLink"/>
              </w:rPr>
              <w:t>Figure 3.1 : Distribution des trois cibles</w:t>
              <w:tab/>
              <w:t>45</w:t>
            </w:r>
          </w:hyperlink>
        </w:p>
        <w:p>
          <w:pPr>
            <w:pStyle w:val="TOC1"/>
            <w:tabs>
              <w:tab w:val="clear" w:pos="9026"/>
              <w:tab w:val="right" w:pos="9025" w:leader="dot"/>
            </w:tabs>
            <w:rPr/>
          </w:pPr>
          <w:hyperlink w:anchor="__RefHeading___Toc20146_3650217843">
            <w:r>
              <w:rPr>
                <w:webHidden/>
                <w:rStyle w:val="IndexLink"/>
              </w:rPr>
              <w:t>Figure 3.2 : RMSE relatif à la moyenne historique</w:t>
              <w:tab/>
              <w:t>47</w:t>
            </w:r>
          </w:hyperlink>
        </w:p>
        <w:p>
          <w:pPr>
            <w:pStyle w:val="TOC1"/>
            <w:tabs>
              <w:tab w:val="clear" w:pos="9026"/>
              <w:tab w:val="right" w:pos="9025" w:leader="dot"/>
            </w:tabs>
            <w:rPr/>
          </w:pPr>
          <w:hyperlink w:anchor="__RefHeading___Toc20144_3650217843">
            <w:r>
              <w:rPr>
                <w:webHidden/>
                <w:rStyle w:val="IndexLink"/>
              </w:rPr>
              <w:t>Figure 3.3 : Importance SHAP des variables</w:t>
              <w:tab/>
              <w:t>49</w:t>
            </w:r>
          </w:hyperlink>
        </w:p>
        <w:p>
          <w:pPr>
            <w:pStyle w:val="TOC1"/>
            <w:tabs>
              <w:tab w:val="clear" w:pos="9026"/>
              <w:tab w:val="right" w:pos="9025" w:leader="dot"/>
            </w:tabs>
            <w:rPr/>
          </w:pPr>
          <w:hyperlink w:anchor="__RefHeading___Toc20142_3650217843">
            <w:r>
              <w:rPr>
                <w:webHidden/>
                <w:rStyle w:val="IndexLink"/>
              </w:rPr>
              <w:t>Figure 3.4 : Synthèse des extensions</w:t>
              <w:tab/>
              <w:t>52</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7" w:name="liste-des-figures"/>
      <w:bookmarkStart w:id="18" w:name="liste-des-figures"/>
      <w:bookmarkEnd w:id="18"/>
      <w:r>
        <w:br w:type="page"/>
      </w:r>
    </w:p>
    <w:p>
      <w:pPr>
        <w:pStyle w:val="Heading1"/>
        <w:spacing w:before="0" w:after="240"/>
        <w:rPr/>
      </w:pPr>
      <w:bookmarkStart w:id="19" w:name="__RefHeading___Toc19982_3650217843"/>
      <w:bookmarkEnd w:id="19"/>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(gradient boosting)</w:t>
            </w:r>
            <w:bookmarkStart w:id="20" w:name="liste-des-abréviations"/>
            <w:bookmarkEnd w:id="20"/>
          </w:p>
        </w:tc>
      </w:tr>
    </w:tbl>
    <w:p>
      <w:pPr>
        <w:pStyle w:val="Heading1"/>
        <w:rPr/>
      </w:pPr>
      <w:bookmarkStart w:id="21" w:name="__RefHeading___Toc19984_3650217843"/>
      <w:bookmarkEnd w:id="21"/>
      <w:r>
        <w:rPr/>
        <w:t>Glossaire</w:t>
      </w:r>
    </w:p>
    <w:p>
      <w:pPr>
        <w:pStyle w:val="FirstParagraph"/>
        <w:rPr/>
      </w:pPr>
      <w:r>
        <w:rPr/>
        <w:t>Spread OAT-Bund.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t>R² hors échantillon. Part de l’erreur de la moyenne historique que le modèle évite, sur des données qu’il n’a pas vues. Positif : le modèle fait mieux que la moyenne ; négatif : il fait moins bien.</w:t>
      </w:r>
    </w:p>
    <w:p>
      <w:pPr>
        <w:pStyle w:val="BodyText"/>
        <w:rPr/>
      </w:pPr>
      <w:r>
        <w:rPr/>
        <w:t>Marche aléatoire (variation nulle). Prévision naïve selon laquelle la valeur du mois prochain sera égale à celle du mois en cours.</w:t>
      </w:r>
    </w:p>
    <w:p>
      <w:pPr>
        <w:pStyle w:val="BodyText"/>
        <w:rPr/>
      </w:pPr>
      <w:r>
        <w:rPr/>
        <w:t>Validation glissante. Méthode d’évaluation où le modèle est réestimé chaque mois avec les seules données passées, puis prévoit le mois suivant.</w:t>
      </w:r>
    </w:p>
    <w:p>
      <w:pPr>
        <w:pStyle w:val="BodyText"/>
        <w:rPr/>
      </w:pPr>
      <w:r>
        <w:rPr/>
        <w:t>Biais d’anticipation (look-ahead bias). Erreur qui consiste à utiliser une information qui n’était pas encore publiée à la date de la prévision.</w:t>
      </w:r>
    </w:p>
    <w:p>
      <w:pPr>
        <w:pStyle w:val="BodyText"/>
        <w:rPr/>
      </w:pPr>
      <w:r>
        <w:rPr/>
        <w:t>Contrôle positif et contrôle négatif. Test du dispositif avec une variable fictive construite pour contenir un signal (positif), ou avec des variables de pur bruit (négatif).</w:t>
      </w:r>
    </w:p>
    <w:p>
      <w:pPr>
        <w:pStyle w:val="BodyText"/>
        <w:rPr/>
      </w:pPr>
      <w:r>
        <w:rPr/>
        <w:t>Puissance d’un test. Probabilité qu’un test détecte un effet qui existe réellement.</w:t>
      </w:r>
    </w:p>
    <w:p>
      <w:pPr>
        <w:pStyle w:val="Normal"/>
        <w:rPr/>
      </w:pPr>
      <w:r>
        <w:rPr/>
      </w:r>
      <w:r>
        <w:br w:type="page"/>
      </w:r>
    </w:p>
    <w:p>
      <w:pPr>
        <w:pStyle w:val="Heading1"/>
        <w:spacing w:before="0" w:after="240"/>
        <w:rPr/>
      </w:pPr>
      <w:bookmarkStart w:id="22" w:name="__RefHeading___Toc19986_3650217843"/>
      <w:bookmarkStart w:id="23" w:name="introduction-générale"/>
      <w:bookmarkEnd w:id="22"/>
      <w:bookmarkEnd w:id="23"/>
      <w:r>
        <w:rPr/>
        <w:t>Introduction générale</w:t>
      </w:r>
    </w:p>
    <w:p>
      <w:pPr>
        <w:pStyle w:val="Heading2"/>
        <w:rPr/>
      </w:pPr>
      <w:bookmarkStart w:id="24" w:name="__RefHeading___Toc19988_3650217843"/>
      <w:bookmarkStart w:id="25" w:name="contexte"/>
      <w:bookmarkEnd w:id="24"/>
      <w:r>
        <w:rPr/>
        <w:t>Contexte</w:t>
      </w:r>
    </w:p>
    <w:p>
      <w:pPr>
        <w:pStyle w:val="FirstParagraph"/>
        <w:rPr/>
      </w:pPr>
      <w:r>
        <w:rPr/>
        <w:t>Les finances publiques françaises sont redevenues un sujet central pour les marchés. Le déficit du budget de l’État a atteint 173 milliards d’euros en 2023 et 156 milliards en 2024 (DGFiP, situations mensuelles budgétaires de l’État). Entre 2023 et 2025, les agences de notation (Fitch, Moody’s, S&amp;P) ont abaissé cinq fois la note de la France. Le spread OAT-Bund, c’est-à-dire l’écart entre le taux français et le taux allemand à 10 ans, mesure le supplément de rendement exigé pour prêter à la France : il est passé d’environ 26 points de base en 2016 à plus de 80 début 2025. En juin 2024, l’annonce de la dissolution de l’Assemblée nationale l’a fait monter de près de 16 points de base en un mois.</w:t>
      </w:r>
    </w:p>
    <w:p>
      <w:pPr>
        <w:pStyle w:val="BodyText"/>
        <w:rPr/>
      </w:pPr>
      <w:r>
        <w:rPr/>
        <w:t>Les données publiques, de leur côté, sont de plus en plus ouvertes. Chaque mois, le ministère de l’Économie publie la situation budgétaire de l’État, en séries longues disponibles depuis 2013 : dépenses de personnel, de fonctionnement, d’investissement, d’intervention, charge de la dette, recettes. Ces séries sont gratuites, détaillées, et publiées environ deux mois après la fin de chaque mois.</w:t>
      </w:r>
    </w:p>
    <w:p>
      <w:pPr>
        <w:pStyle w:val="BodyText"/>
        <w:rPr/>
      </w:pPr>
      <w:r>
        <w:rPr/>
        <w:t>Le machine learning, enfin, est de plus en plus utilisé pour prévoir les variables financières, et des travaux récents annoncent de très bonnes performances pour les spreads souverains européens [</w:t>
      </w:r>
      <w:hyperlink w:anchor="ref14">
        <w:r>
          <w:rPr>
            <w:rStyle w:val="Hyperlink"/>
          </w:rPr>
          <w:t>14</w:t>
        </w:r>
      </w:hyperlink>
      <w:r>
        <w:rPr/>
        <w:t>].</w:t>
      </w:r>
      <w:bookmarkEnd w:id="25"/>
    </w:p>
    <w:p>
      <w:pPr>
        <w:pStyle w:val="Heading2"/>
        <w:rPr/>
      </w:pPr>
      <w:bookmarkStart w:id="26" w:name="__RefHeading___Toc19990_3650217843"/>
      <w:bookmarkStart w:id="27" w:name="problématique"/>
      <w:bookmarkEnd w:id="26"/>
      <w:r>
        <w:rPr/>
        <w:t>Problématique</w:t>
      </w:r>
    </w:p>
    <w:p>
      <w:pPr>
        <w:pStyle w:val="FirstParagraph"/>
        <w:rPr/>
      </w:pPr>
      <w:r>
        <w:rPr/>
        <w:t>Ces trois éléments conduisent à une question simple : peut-on prédire des indicateurs des marchés financiers à partir des données de dépenses publiques ouvertes, en utilisant des techniques de machine learning ?</w:t>
      </w:r>
    </w:p>
    <w:p>
      <w:pPr>
        <w:pStyle w:val="BodyText"/>
        <w:rPr/>
      </w:pPr>
      <w:r>
        <w:rPr/>
        <w:t>La réponse n’a rien d’évident. D’un côté, les études européennes montrent que les finances publiques expliquent une partie du niveau des spreads, surtout en période de crise [</w:t>
      </w:r>
      <w:hyperlink w:anchor="ref1">
        <w:r>
          <w:rPr>
            <w:rStyle w:val="Hyperlink"/>
          </w:rPr>
          <w:t>1</w:t>
        </w:r>
      </w:hyperlink>
      <w:r>
        <w:rPr/>
        <w:t>]. De l’autre, la théorie des marchés efficients [</w:t>
      </w:r>
      <w:hyperlink w:anchor="ref23">
        <w:r>
          <w:rPr>
            <w:rStyle w:val="Hyperlink"/>
          </w:rPr>
          <w:t>23</w:t>
        </w:r>
      </w:hyperlink>
      <w:r>
        <w:rPr/>
        <w:t>] et les travaux sur l’anticipation des dépenses [</w:t>
      </w:r>
      <w:hyperlink w:anchor="ref40">
        <w:r>
          <w:rPr>
            <w:rStyle w:val="Hyperlink"/>
          </w:rPr>
          <w:t>40</w:t>
        </w:r>
      </w:hyperlink>
      <w:r>
        <w:rPr/>
        <w:t>] suggèrent qu’une information connue, ou prévisible, est déjà dans les prix. Un résultat négatif est donc aussi plausible qu’un résultat positif, et les deux seraient instructifs.</w:t>
      </w:r>
      <w:bookmarkEnd w:id="27"/>
    </w:p>
    <w:p>
      <w:pPr>
        <w:pStyle w:val="Heading2"/>
        <w:rPr/>
      </w:pPr>
      <w:bookmarkStart w:id="28" w:name="__RefHeading___Toc19992_3650217843"/>
      <w:bookmarkStart w:id="29" w:name="objectif-et-démarche"/>
      <w:bookmarkEnd w:id="28"/>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L’idée est de comparer deux modèles. Le premier n’utilise que des variables de marché et macroéconomiques, le second ajoute les dépenses de l’État. Si les dépenses contiennent une information utile, le second doit mieux prévoir. Nous testons trois méthodes (Ridge, forêt aléatoire, XGBoost), toujours sur des mois qu’elles n’ont pas vus, et nous jugeons les écarts avec des tests statistiques.</w:t>
      </w:r>
    </w:p>
    <w:p>
      <w:pPr>
        <w:pStyle w:val="BodyText"/>
        <w:rPr/>
      </w:pPr>
      <w:bookmarkStart w:id="30" w:name="objectif-et-démarche"/>
      <w:r>
        <w:rPr/>
        <w:t>Nous avons fait attention au calendrier : les données budgétaires sont décalées de leur délai réel de publication, pour ne jamais utiliser une information qui n’était pas encore connue. Dix-neuf extensions testent d’autres horizons, d’autres cibles et un panel de cinq pays européens. Des contrôles avec un signal fictif et avec des variables de bruit permettent enfin de savoir ce que notre dispositif est capable de détecter.</w:t>
      </w:r>
      <w:bookmarkEnd w:id="30"/>
    </w:p>
    <w:p>
      <w:pPr>
        <w:pStyle w:val="Heading2"/>
        <w:rPr/>
      </w:pPr>
      <w:bookmarkStart w:id="31" w:name="__RefHeading___Toc19994_3650217843"/>
      <w:bookmarkStart w:id="32" w:name="apports"/>
      <w:bookmarkEnd w:id="31"/>
      <w:r>
        <w:rPr/>
        <w:t>Apports</w:t>
      </w:r>
    </w:p>
    <w:p>
      <w:pPr>
        <w:pStyle w:val="FirstParagraph"/>
        <w:rPr/>
      </w:pPr>
      <w:bookmarkStart w:id="33" w:name="apports"/>
      <w:r>
        <w:rPr/>
        <w:t>Ce travail apporte trois choses. Il isole l’apport des dépenses publiques, que les études de prévision mélangent d’habitude à des centaines, voire des milliers, d’autres variables. Il utilise les données détaillées d’exécution du budget français, alors que la France est peu étudiée dans cette littérature. Et il montre, chiffres à l’appui, qu’une très bonne performance apparente peut cacher une prévision moins bonne que la plus simple des références.</w:t>
      </w:r>
      <w:bookmarkEnd w:id="33"/>
    </w:p>
    <w:p>
      <w:pPr>
        <w:pStyle w:val="Heading2"/>
        <w:rPr/>
      </w:pPr>
      <w:bookmarkStart w:id="34" w:name="__RefHeading___Toc19996_3650217843"/>
      <w:bookmarkStart w:id="35" w:name="plan-du-mémoire"/>
      <w:bookmarkEnd w:id="34"/>
      <w:bookmarkEnd w:id="35"/>
      <w:r>
        <w:rPr/>
        <w:t>Plan du mémoire</w:t>
      </w:r>
    </w:p>
    <w:p>
      <w:pPr>
        <w:pStyle w:val="FirstParagraph"/>
        <w:rPr/>
      </w:pPr>
      <w:r>
        <w:rPr/>
        <w:t>Le chapitre 1 fait le point sur la littérature : le cadre théorique, les travaux européens sur les finances publiques et les spreads, et l’usage du machine learning pour les prévoir. Le chapitre 2 décrit les données et la méthode. Le chapitre 3 présente les résultats sans les interpréter, et le chapitre 4 les discute : réponse à la question, explications possibles, comparaison avec la littérature, implications, limites et pistes de recherche. La conclusion résume ce que nous retenons.</w:t>
      </w:r>
    </w:p>
    <w:p>
      <w:pPr>
        <w:pStyle w:val="Normal"/>
        <w:rPr/>
      </w:pPr>
      <w:r>
        <w:rPr/>
      </w:r>
      <w:bookmarkStart w:id="36" w:name="introduction-générale"/>
      <w:bookmarkStart w:id="37" w:name="plan-du-mémoire"/>
      <w:bookmarkStart w:id="38" w:name="introduction-générale"/>
      <w:bookmarkStart w:id="39" w:name="plan-du-mémoire"/>
      <w:bookmarkEnd w:id="38"/>
      <w:bookmarkEnd w:id="39"/>
      <w:r>
        <w:br w:type="page"/>
      </w:r>
    </w:p>
    <w:p>
      <w:pPr>
        <w:pStyle w:val="Heading1"/>
        <w:spacing w:before="0" w:after="240"/>
        <w:rPr/>
      </w:pPr>
      <w:bookmarkStart w:id="40" w:name="__RefHeading___Toc19998_3650217843"/>
      <w:bookmarkStart w:id="41" w:name="chapitre-1-état-de-lart"/>
      <w:bookmarkEnd w:id="40"/>
      <w:bookmarkEnd w:id="41"/>
      <w:r>
        <w:rPr/>
        <w:t>Chapitre 1 : État de l’art</w:t>
      </w:r>
    </w:p>
    <w:p>
      <w:pPr>
        <w:pStyle w:val="Heading2"/>
        <w:rPr/>
      </w:pPr>
      <w:bookmarkStart w:id="42" w:name="__RefHeading___Toc20000_3650217843"/>
      <w:bookmarkStart w:id="43" w:name="introduction-du-chapitre"/>
      <w:bookmarkEnd w:id="42"/>
      <w:r>
        <w:rPr/>
        <w:t>Introduction du chapitre</w:t>
      </w:r>
    </w:p>
    <w:p>
      <w:pPr>
        <w:pStyle w:val="FirstParagraph"/>
        <w:rPr/>
      </w:pPr>
      <w:r>
        <w:rPr/>
        <w:t>Ce chapitre fait le point sur ce que l’on sait déjà. Il part d’une question simple : quelqu’un a-t-il déjà utilisé les données ouvertes de dépenses de l’État français, avec du machine learning, pour prévoir les marchés financiers ? À notre connaissance, non. Les sections qui suivent expliquent pourquoi ce vide existe et pourquoi il vaut la peine d’être exploré.</w:t>
      </w:r>
    </w:p>
    <w:p>
      <w:pPr>
        <w:pStyle w:val="BodyText"/>
        <w:rPr/>
      </w:pPr>
      <w:r>
        <w:rPr/>
        <w:t>Nous étudions trois indicateurs, plus ou moins liés aux finances publiques :</w:t>
      </w:r>
    </w:p>
    <w:p>
      <w:pPr>
        <w:pStyle w:val="Compact"/>
        <w:numPr>
          <w:ilvl w:val="0"/>
          <w:numId w:val="1"/>
        </w:numPr>
        <w:rPr/>
      </w:pPr>
      <w:r>
        <w:rPr/>
        <w:t>Le spread OAT-Bund à 10 ans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t>Le taux OAT à 10 ans : le coût d’emprunt de l’État français. Il dépend à la fois des finances publiques et de la politique de la BCE.</w:t>
      </w:r>
    </w:p>
    <w:p>
      <w:pPr>
        <w:pStyle w:val="Compact"/>
        <w:numPr>
          <w:ilvl w:val="0"/>
          <w:numId w:val="1"/>
        </w:numPr>
        <w:rPr/>
      </w:pPr>
      <w:r>
        <w:rPr/>
        <w:t>Le rendement mensuel du CAC 40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Notre terrain est la France, dans la zone euro. Nous donnons donc la priorité aux études européennes. Les grands travaux américains restent utiles, mais surtout comme cadre théorique ou comme référence de méthode : nous les présentons plus brièvement.</w:t>
      </w:r>
    </w:p>
    <w:p>
      <w:pPr>
        <w:pStyle w:val="BodyText"/>
        <w:rPr/>
      </w:pPr>
      <w:bookmarkStart w:id="44"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44"/>
    </w:p>
    <w:p>
      <w:pPr>
        <w:pStyle w:val="Heading2"/>
        <w:rPr/>
      </w:pPr>
      <w:bookmarkStart w:id="45" w:name="__RefHeading___Toc20002_3650217843"/>
      <w:bookmarkStart w:id="46" w:name="cadre-théorique-ce-que-lon-peut-attendre"/>
      <w:bookmarkEnd w:id="45"/>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47" w:name="dépenses-publiques-et-taux-deux-visions"/>
      <w:r>
        <w:rPr/>
        <w:t>1.1.1 Dépenses publiques et taux : deux visions.</w:t>
      </w:r>
    </w:p>
    <w:p>
      <w:pPr>
        <w:pStyle w:val="FirstParagraph"/>
        <w:rPr/>
      </w:pPr>
      <w:r>
        <w:rPr/>
        <w:t>Dans la vision keynésienne, une hausse des dépenses financée par l’emprunt augmente la demande de fonds et fait monter les taux d’intérêt. Elle peut alors évincer une partie de l’investissement privé. À l’inverse, l’équivalence ricardienne de Barro [</w:t>
      </w:r>
      <w:hyperlink w:anchor="ref8">
        <w:r>
          <w:rPr>
            <w:rStyle w:val="Hyperlink"/>
          </w:rPr>
          <w:t>8</w:t>
        </w:r>
      </w:hyperlink>
      <w:r>
        <w:rPr/>
        <w:t>] suppose que les ménages anticipent les impôts futurs et épargnent davantage, ce qui annule l’effet sur les taux. La théorie ne tranche donc pas : la question est empirique.</w:t>
      </w:r>
      <w:bookmarkEnd w:id="47"/>
    </w:p>
    <w:p>
      <w:pPr>
        <w:pStyle w:val="Heading3"/>
        <w:rPr/>
      </w:pPr>
      <w:bookmarkStart w:id="48" w:name="lefficience-des-marchés"/>
      <w:r>
        <w:rPr/>
        <w:t>1.1.2 L’efficience des marchés.</w:t>
      </w:r>
    </w:p>
    <w:p>
      <w:pPr>
        <w:pStyle w:val="FirstParagraph"/>
        <w:rPr/>
      </w:pPr>
      <w:r>
        <w:rPr/>
        <w:t>Selon l’hypothèse d’efficience, dans sa forme semi-forte, les prix reflètent déjà toute l’information publique [</w:t>
      </w:r>
      <w:hyperlink w:anchor="ref23">
        <w:r>
          <w:rPr>
            <w:rStyle w:val="Hyperlink"/>
          </w:rPr>
          <w:t>23</w:t>
        </w:r>
      </w:hyperlink>
      <w:r>
        <w:rPr/>
        <w:t>]. Aucune donnée publique ne devrait alors permettre de prévoir de façon régulière les variations des prix.</w:t>
      </w:r>
    </w:p>
    <w:p>
      <w:pPr>
        <w:pStyle w:val="BodyText"/>
        <w:rPr/>
      </w:pPr>
      <w:bookmarkStart w:id="49" w:name="lefficience-des-marchés"/>
      <w:r>
        <w:rPr/>
        <w:t>Cela nous concerne directement. Les situations budgétaires de l’État sont publiques. Si le marché obligataire est efficient, elles sont intégrées dans le spread dès leur publication, et elles ne servent plus à prévoir le mois suivant.</w:t>
      </w:r>
      <w:bookmarkEnd w:id="49"/>
    </w:p>
    <w:p>
      <w:pPr>
        <w:pStyle w:val="Heading3"/>
        <w:rPr/>
      </w:pPr>
      <w:bookmarkStart w:id="50" w:name="les-dépenses-sont-anticipées"/>
      <w:r>
        <w:rPr/>
        <w:t>1.1.3 Les dépenses sont anticipées.</w:t>
      </w:r>
    </w:p>
    <w:p>
      <w:pPr>
        <w:pStyle w:val="FirstParagraph"/>
        <w:rPr/>
      </w:pPr>
      <w:r>
        <w:rPr/>
        <w:t>Ramey [</w:t>
      </w:r>
      <w:hyperlink w:anchor="ref40">
        <w:r>
          <w:rPr>
            <w:rStyle w:val="Hyperlink"/>
          </w:rPr>
          <w:t>40</w:t>
        </w:r>
      </w:hyperlink>
      <w:r>
        <w:rPr/>
        <w:t>]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1" w:name="les-dépenses-sont-anticipées"/>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1"/>
    </w:p>
    <w:p>
      <w:pPr>
        <w:pStyle w:val="Heading3"/>
        <w:rPr/>
      </w:pPr>
      <w:bookmarkStart w:id="52" w:name="Xa829b3858bf9de044b44868631a2668f02af79d"/>
      <w:r>
        <w:rPr/>
        <w:t>1.1.4 Peu de prédicteurs résistent hors échantillon.</w:t>
      </w:r>
    </w:p>
    <w:p>
      <w:pPr>
        <w:pStyle w:val="FirstParagraph"/>
        <w:rPr/>
      </w:pPr>
      <w:r>
        <w:rPr/>
        <w:t>Welch et Goyal [</w:t>
      </w:r>
      <w:hyperlink w:anchor="ref43">
        <w:r>
          <w:rPr>
            <w:rStyle w:val="Hyperlink"/>
          </w:rPr>
          <w:t>43</w:t>
        </w:r>
      </w:hyperlink>
      <w:r>
        <w:rPr/>
        <w:t>] testent les variables les plus connues pour prévoir le rendement des actions. La plupart semblent fonctionner sur les données qui ont servi à les estimer. Mais sur des données nouvelles, elles font rarement mieux qu’une simple moyenne historique. Campbell et Thompson [</w:t>
      </w:r>
      <w:hyperlink w:anchor="ref17">
        <w:r>
          <w:rPr>
            <w:rStyle w:val="Hyperlink"/>
          </w:rPr>
          <w:t>17</w:t>
        </w:r>
      </w:hyperlink>
      <w:r>
        <w:rPr/>
        <w:t>] nuancent ce constat : avec quelques contraintes de bon sens, certains prédicteurs battent légèrement la moyenne, et même un petit gain peut avoir de la valeur.</w:t>
      </w:r>
      <w:bookmarkEnd w:id="52"/>
    </w:p>
    <w:p>
      <w:pPr>
        <w:pStyle w:val="Heading3"/>
        <w:rPr/>
      </w:pPr>
      <w:bookmarkStart w:id="53" w:name="ce-que-nous-en-retenons"/>
      <w:r>
        <w:rPr/>
        <w:t>1.1.5 Ce que nous en retenons.</w:t>
      </w:r>
    </w:p>
    <w:p>
      <w:pPr>
        <w:pStyle w:val="FirstParagraph"/>
        <w:rPr/>
      </w:pPr>
      <w:bookmarkStart w:id="54" w:name="cadre-théorique-ce-que-lon-peut-attendre"/>
      <w:bookmarkStart w:id="55" w:name="ce-que-nous-en-retenons"/>
      <w:r>
        <w:rPr/>
        <w:t>Un pouvoir prédictif faible, voire nul, est donc plausible dès le départ, et un résultat négatif serait cohérent avec Fama et Ramey. Il faudra évaluer les modèles hors échantillon, sur des mois qu’ils n’ont jamais vus, et les comparer à une référence simple : la moyenne historique et, pour les taux, la variation nulle. Un modèle qui ne la bat pas n’a pas de pouvoir prédictif utile.</w:t>
      </w:r>
      <w:bookmarkEnd w:id="54"/>
      <w:bookmarkEnd w:id="55"/>
    </w:p>
    <w:p>
      <w:pPr>
        <w:pStyle w:val="Heading2"/>
        <w:rPr/>
      </w:pPr>
      <w:bookmarkStart w:id="56" w:name="__RefHeading___Toc20004_3650217843"/>
      <w:bookmarkStart w:id="57" w:name="Xfb34faa81f8d303ea1b5fa46b3b15873b7555c9"/>
      <w:bookmarkEnd w:id="56"/>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58" w:name="pourquoi-le-spread"/>
      <w:r>
        <w:rPr/>
        <w:t>1.2.1 Pourquoi le spread.</w:t>
      </w:r>
    </w:p>
    <w:p>
      <w:pPr>
        <w:pStyle w:val="FirstParagraph"/>
        <w:rPr/>
      </w:pPr>
      <w:bookmarkStart w:id="59"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59"/>
    </w:p>
    <w:p>
      <w:pPr>
        <w:pStyle w:val="Heading3"/>
        <w:rPr/>
      </w:pPr>
      <w:bookmarkStart w:id="60" w:name="ce-que-montrent-les-travaux-européens"/>
      <w:r>
        <w:rPr/>
        <w:t>1.2.2 Ce que montrent les travaux européens.</w:t>
      </w:r>
    </w:p>
    <w:p>
      <w:pPr>
        <w:pStyle w:val="FirstParagraph"/>
        <w:rPr/>
      </w:pPr>
      <w:r>
        <w:rPr/>
        <w:t>Bernoth, von Hagen et Schuknecht [</w:t>
      </w:r>
      <w:hyperlink w:anchor="ref11">
        <w:r>
          <w:rPr>
            <w:rStyle w:val="Hyperlink"/>
          </w:rPr>
          <w:t>11</w:t>
        </w:r>
      </w:hyperlink>
      <w:r>
        <w:rPr/>
        <w:t>]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w:t>
      </w:r>
      <w:hyperlink w:anchor="ref4">
        <w:r>
          <w:rPr>
            <w:rStyle w:val="Hyperlink"/>
          </w:rPr>
          <w:t>4</w:t>
        </w:r>
      </w:hyperlink>
      <w:r>
        <w:rPr/>
        <w:t>]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Pour nous, ce qui compte, c’est que l’annonce elle-même qui a compté, et non le montant engagé, dont l’effet n’est pas significatif.</w:t>
      </w:r>
    </w:p>
    <w:p>
      <w:pPr>
        <w:pStyle w:val="BodyText"/>
        <w:rPr/>
      </w:pPr>
      <w:r>
        <w:rPr/>
        <w:t>Afonso, Arghyrou et Kontonikas [</w:t>
      </w:r>
      <w:hyperlink w:anchor="ref1">
        <w:r>
          <w:rPr>
            <w:rStyle w:val="Hyperlink"/>
          </w:rPr>
          <w:t>1</w:t>
        </w:r>
      </w:hyperlink>
      <w:r>
        <w:rPr/>
        <w:t>] couvrent la zone euro de 1999 à 2010. Les marchés tiennent compte des déficits attendus sur toute la période, mais les sanctionnent beaucoup plus fort après mars 2009. La dette, elle, ne compte vraiment qu’à partir de la crise des dettes souveraines. L’effet des finances publiques sur les spreads n’est donc pas stable dans le temps : il apparaît surtout en période de tension.</w:t>
      </w:r>
    </w:p>
    <w:p>
      <w:pPr>
        <w:pStyle w:val="BodyText"/>
        <w:rPr/>
      </w:pPr>
      <w:r>
        <w:rPr/>
        <w:t>Favero [</w:t>
      </w:r>
      <w:hyperlink w:anchor="ref24">
        <w:r>
          <w:rPr>
            <w:rStyle w:val="Hyperlink"/>
          </w:rPr>
          <w:t>24</w:t>
        </w:r>
      </w:hyperlink>
      <w:r>
        <w:rPr/>
        <w:t>] est l’un des rares à prévoir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0"/>
    </w:p>
    <w:p>
      <w:pPr>
        <w:pStyle w:val="Heading3"/>
        <w:rPr/>
      </w:pPr>
      <w:bookmarkStart w:id="61" w:name="le-cas-français"/>
      <w:r>
        <w:rPr/>
        <w:t>1.2.3 Le cas français.</w:t>
      </w:r>
    </w:p>
    <w:p>
      <w:pPr>
        <w:pStyle w:val="FirstParagraph"/>
        <w:rPr/>
      </w:pPr>
      <w:r>
        <w:rPr/>
        <w:t>Les études consacrées à la France sont rares. Garlanda-Longueville [</w:t>
      </w:r>
      <w:hyperlink w:anchor="ref26">
        <w:r>
          <w:rPr>
            <w:rStyle w:val="Hyperlink"/>
          </w:rPr>
          <w:t>26</w:t>
        </w:r>
      </w:hyperlink>
      <w:r>
        <w:rPr/>
        <w:t>]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Les communiqués annonçant à l’avance une allocution ont un effet plus significatif que l’allocution elle-même. Ce résultat va dans le sens de Ramey [</w:t>
      </w:r>
      <w:hyperlink w:anchor="ref40">
        <w:r>
          <w:rPr>
            <w:rStyle w:val="Hyperlink"/>
          </w:rPr>
          <w:t>40</w:t>
        </w:r>
      </w:hyperlink>
      <w:r>
        <w:rPr/>
        <w:t>] : le marché réagit aux annonces.</w:t>
      </w:r>
    </w:p>
    <w:p>
      <w:pPr>
        <w:pStyle w:val="BodyText"/>
        <w:rPr/>
      </w:pPr>
      <w:bookmarkStart w:id="62"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62"/>
    </w:p>
    <w:p>
      <w:pPr>
        <w:pStyle w:val="Heading3"/>
        <w:rPr/>
      </w:pPr>
      <w:bookmarkStart w:id="63" w:name="X631363f92121cb0fbc005b65d04ad7aed35c764"/>
      <w:r>
        <w:rPr/>
        <w:t>1.2.4 Les travaux fondateurs, surtout américains.</w:t>
      </w:r>
    </w:p>
    <w:p>
      <w:pPr>
        <w:pStyle w:val="FirstParagraph"/>
        <w:rPr/>
      </w:pPr>
      <w:r>
        <w:rPr/>
        <w:t>Ces travaux européens s’appuient sur une littérature plus ancienne, surtout américaine, que nous résumons brièvement. Blanchard et Perotti [</w:t>
      </w:r>
      <w:hyperlink w:anchor="ref13">
        <w:r>
          <w:rPr>
            <w:rStyle w:val="Hyperlink"/>
          </w:rPr>
          <w:t>13</w:t>
        </w:r>
      </w:hyperlink>
      <w:r>
        <w:rPr/>
        <w:t>] proposent une méthode de référence pour isoler les chocs budgétaires, et trouvent qu’une hausse des dépenses réduit l’investissement privé. Laubach [</w:t>
      </w:r>
      <w:hyperlink w:anchor="ref33">
        <w:r>
          <w:rPr>
            <w:rStyle w:val="Hyperlink"/>
          </w:rPr>
          <w:t>33</w:t>
        </w:r>
      </w:hyperlink>
      <w:r>
        <w:rPr/>
        <w:t>] estime qu’un point de PIB de déficit prévu en plus fait monter les taux longs américains d’environ 25 points de base. Afonso et Sousa [</w:t>
      </w:r>
      <w:hyperlink w:anchor="ref2">
        <w:r>
          <w:rPr>
            <w:rStyle w:val="Hyperlink"/>
          </w:rPr>
          <w:t>2</w:t>
        </w:r>
      </w:hyperlink>
      <w:r>
        <w:rPr/>
        <w:t>] montrent que les chocs de dépenses pèsent sur le prix des actions, et Ardagna [</w:t>
      </w:r>
      <w:hyperlink w:anchor="ref3">
        <w:r>
          <w:rPr>
            <w:rStyle w:val="Hyperlink"/>
          </w:rPr>
          <w:t>3</w:t>
        </w:r>
      </w:hyperlink>
      <w:r>
        <w:rPr/>
        <w:t>] que les fortes consolidations budgétaires dans l’OCDE s’accompagnent d’une baisse des taux et d’une hausse des actions.</w:t>
      </w:r>
      <w:bookmarkEnd w:id="63"/>
    </w:p>
    <w:p>
      <w:pPr>
        <w:pStyle w:val="Heading3"/>
        <w:rPr/>
      </w:pPr>
      <w:bookmarkStart w:id="64" w:name="ce-que-nous-en-retenons-1"/>
      <w:r>
        <w:rPr/>
        <w:t>1.2.5 Ce que nous en retenons.</w:t>
      </w:r>
    </w:p>
    <w:p>
      <w:pPr>
        <w:pStyle w:val="FirstParagraph"/>
        <w:rPr/>
      </w:pPr>
      <w:bookmarkStart w:id="65" w:name="Xfb34faa81f8d303ea1b5fa46b3b15873b7555c9"/>
      <w:bookmarkStart w:id="66" w:name="ce-que-nous-en-retenons-1"/>
      <w:r>
        <w:rPr/>
        <w:t>Le spread OAT-Bund est la cible la plus directement liée aux finances publiques françaises. L’aversion au risque et la liquidité comptent beaucoup, et doivent donc figurer dans le modèle comme variables de contrôle. Comme l’effet des finances publiques dépend de la période, il faudra regarder séparément les périodes calmes et les périodes agitées. Enfin, presque tous ces travaux utilisent des modèles linéaires et des données annuelles ou trimestrielles, et cherchent à expliquer plutôt qu’à prévoir. Aucun ne teste le machine learning sur des données budgétaires mensuelles.</w:t>
      </w:r>
      <w:bookmarkEnd w:id="65"/>
      <w:bookmarkEnd w:id="66"/>
    </w:p>
    <w:p>
      <w:pPr>
        <w:pStyle w:val="Heading2"/>
        <w:rPr/>
      </w:pPr>
      <w:bookmarkStart w:id="67" w:name="__RefHeading___Toc20006_3650217843"/>
      <w:bookmarkStart w:id="68" w:name="X27f0006f940c23a763f89cc3f723417490f25ae"/>
      <w:bookmarkEnd w:id="67"/>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69" w:name="les-travaux-européens"/>
      <w:r>
        <w:rPr/>
        <w:t>1.3.1 Les travaux européens.</w:t>
      </w:r>
    </w:p>
    <w:p>
      <w:pPr>
        <w:pStyle w:val="FirstParagraph"/>
        <w:rPr/>
      </w:pPr>
      <w:r>
        <w:rPr/>
        <w:t>Belly et al. [</w:t>
      </w:r>
      <w:hyperlink w:anchor="ref9">
        <w:r>
          <w:rPr>
            <w:rStyle w:val="Hyperlink"/>
          </w:rPr>
          <w:t>9</w:t>
        </w:r>
      </w:hyperlink>
      <w:r>
        <w:rPr/>
        <w:t>]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w:t>
      </w:r>
      <w:hyperlink w:anchor="ref14">
        <w:r>
          <w:rPr>
            <w:rStyle w:val="Hyperlink"/>
          </w:rPr>
          <w:t>14</w:t>
        </w:r>
      </w:hyperlink>
      <w:r>
        <w:rPr/>
        <w:t>]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Dans la version du document de travail que nous avons consultée, les modèles sont comparés entre eux, à la moyenne et à des régressions linéaires, mais pas à la prévision naïve « spread du mois précédent ». Le résumé d’une version plus récente indique que l’AR(1) et la marche aléatoire ont des erreurs plus faibles que les modèles de machine learning dans chaque pays, quand les modèles sont réestimés à chaque date.</w:t>
      </w:r>
    </w:p>
    <w:p>
      <w:pPr>
        <w:pStyle w:val="BodyText"/>
        <w:rPr/>
      </w:pPr>
      <w:r>
        <w:rPr/>
        <w:t>Deux de leurs résultats comptent pour nous. D’abord, c’est le spread passé qui domine les prévisions,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r>
        <w:rPr/>
        <w:t>Enfin, Barbier-Gauchard et Sofianos [</w:t>
      </w:r>
      <w:hyperlink w:anchor="ref7">
        <w:r>
          <w:rPr>
            <w:rStyle w:val="Hyperlink"/>
          </w:rPr>
          <w:t>7</w:t>
        </w:r>
      </w:hyperlink>
      <w:r>
        <w:rPr/>
        <w:t>] appliquent le machine learning aux finances publiques elles-mêmes. Ils prévoient la dette publique de 17 pays de la zone euro, et XGBoost y fait mieux que les projections de la Commission européenne et du FMI.</w:t>
      </w:r>
      <w:bookmarkEnd w:id="69"/>
    </w:p>
    <w:p>
      <w:pPr>
        <w:pStyle w:val="Heading3"/>
        <w:rPr/>
      </w:pPr>
      <w:bookmarkStart w:id="70" w:name="le-contexte-américain-en-bref"/>
      <w:r>
        <w:rPr/>
        <w:t>1.3.2 Le contexte américain, en bref.</w:t>
      </w:r>
    </w:p>
    <w:p>
      <w:pPr>
        <w:pStyle w:val="FirstParagraph"/>
        <w:rPr/>
      </w:pPr>
      <w:r>
        <w:rPr/>
        <w:t>Ces travaux européens suivent une littérature américaine plus large. Gu, Kelly et Xiu [</w:t>
      </w:r>
      <w:hyperlink w:anchor="ref29">
        <w:r>
          <w:rPr>
            <w:rStyle w:val="Hyperlink"/>
          </w:rPr>
          <w:t>29</w:t>
        </w:r>
      </w:hyperlink>
      <w:r>
        <w:rPr/>
        <w:t>] montrent que les arbres de décision et les réseaux de neurones prévoient mieux les rendements des actions que les modèles linéaires, grâce aux effets non linéaires. Bianchi, Büchner et Tamoni [</w:t>
      </w:r>
      <w:hyperlink w:anchor="ref12">
        <w:r>
          <w:rPr>
            <w:rStyle w:val="Hyperlink"/>
          </w:rPr>
          <w:t>12</w:t>
        </w:r>
      </w:hyperlink>
      <w:r>
        <w:rPr/>
        <w:t>] trouvent le même type de gain pour les obligations d’État. En macroéconomie, Medeiros et al. [</w:t>
      </w:r>
      <w:hyperlink w:anchor="ref37">
        <w:r>
          <w:rPr>
            <w:rStyle w:val="Hyperlink"/>
          </w:rPr>
          <w:t>37</w:t>
        </w:r>
      </w:hyperlink>
      <w:r>
        <w:rPr/>
        <w:t>] trouvent que la forêt aléatoire domine les autres modèles pour prévoir l’inflation américaine, et Goulet Coulombe et al. [</w:t>
      </w:r>
      <w:hyperlink w:anchor="ref28">
        <w:r>
          <w:rPr>
            <w:rStyle w:val="Hyperlink"/>
          </w:rPr>
          <w:t>28</w:t>
        </w:r>
      </w:hyperlink>
      <w:r>
        <w:rPr/>
        <w:t>] que les gains du machine learning sur les variables macroéconomiques viennent surtout de la non-linéarité, plus utile en période d’incertitude ou de tension financière.</w:t>
      </w:r>
      <w:bookmarkEnd w:id="70"/>
    </w:p>
    <w:p>
      <w:pPr>
        <w:pStyle w:val="Heading3"/>
        <w:rPr/>
      </w:pPr>
      <w:bookmarkStart w:id="71" w:name="quels-modèles-avec-peu-de-données"/>
      <w:r>
        <w:rPr/>
        <w:t>1.3.3 Quels modèles avec peu de données.</w:t>
      </w:r>
    </w:p>
    <w:p>
      <w:pPr>
        <w:pStyle w:val="FirstParagraph"/>
        <w:rPr/>
      </w:pPr>
      <w:r>
        <w:rPr/>
        <w:t>Les modèles à base d’arbres, comme les forêts aléatoires [</w:t>
      </w:r>
      <w:hyperlink w:anchor="ref15">
        <w:r>
          <w:rPr>
            <w:rStyle w:val="Hyperlink"/>
          </w:rPr>
          <w:t>15</w:t>
        </w:r>
      </w:hyperlink>
      <w:r>
        <w:rPr/>
        <w:t>] et XGBoost [</w:t>
      </w:r>
      <w:hyperlink w:anchor="ref18">
        <w:r>
          <w:rPr>
            <w:rStyle w:val="Hyperlink"/>
          </w:rPr>
          <w:t>18</w:t>
        </w:r>
      </w:hyperlink>
      <w:r>
        <w:rPr/>
        <w:t>], fonctionnent bien sur des tableaux de données de taille moyenne. Le deep learning demande beaucoup plus d’observations : Fischer et Krauss [</w:t>
      </w:r>
      <w:hyperlink w:anchor="ref25">
        <w:r>
          <w:rPr>
            <w:rStyle w:val="Hyperlink"/>
          </w:rPr>
          <w:t>25</w:t>
        </w:r>
      </w:hyperlink>
      <w:r>
        <w:rPr/>
        <w:t>] obtiennent de bons résultats avec des réseaux LSTM, mais sur des données quotidiennes de centaines d’actions pendant plus de vingt ans. Avec environ 150 mois, un tel modèle apprendrait surtout le bruit.</w:t>
      </w:r>
      <w:bookmarkEnd w:id="71"/>
    </w:p>
    <w:p>
      <w:pPr>
        <w:pStyle w:val="Heading3"/>
        <w:rPr/>
      </w:pPr>
      <w:bookmarkStart w:id="72" w:name="ce-que-nous-en-retenons-2"/>
      <w:r>
        <w:rPr/>
        <w:t>1.3.4 Ce que nous en retenons.</w:t>
      </w:r>
    </w:p>
    <w:p>
      <w:pPr>
        <w:pStyle w:val="FirstParagraph"/>
        <w:rPr/>
      </w:pPr>
      <w:bookmarkStart w:id="73" w:name="X27f0006f940c23a763f89cc3f723417490f25ae"/>
      <w:bookmarkStart w:id="74" w:name="ce-que-nous-en-retenons-2"/>
      <w:r>
        <w:rPr/>
        <w:t>Le machine learning doit être comparé à des références simples : la moyenne historique, la variation nulle et un modèle linéaire. Le spread passé, qui est le principal prédicteur chez Bouillot et al., doit figurer dans tous les modèles, sinon on attribuerait aux dépenses ce qui vient en réalité du spread lui-même. La forêt aléatoire et XGBoost conviennent à notre volume de données, pas le deep learning. Enfin, aucun de ces travaux ne mesure séparément ce qu’apportent les dépenses publiques, et c’est la question précise de ce mémoire.</w:t>
      </w:r>
      <w:bookmarkEnd w:id="73"/>
      <w:bookmarkEnd w:id="74"/>
    </w:p>
    <w:p>
      <w:pPr>
        <w:pStyle w:val="Heading2"/>
        <w:rPr/>
      </w:pPr>
      <w:bookmarkStart w:id="75" w:name="__RefHeading___Toc20008_3650217843"/>
      <w:bookmarkStart w:id="76" w:name="X9ae88ff3dd35a976078ba2fe427ef8b5284b26c"/>
      <w:bookmarkEnd w:id="75"/>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77" w:name="les-données-budgétaires-ouvertes"/>
      <w:r>
        <w:rPr/>
        <w:t>1.4.1 Les données budgétaires ouvertes.</w:t>
      </w:r>
    </w:p>
    <w:p>
      <w:pPr>
        <w:pStyle w:val="FirstParagraph"/>
        <w:rPr/>
      </w:pPr>
      <w:r>
        <w:rPr/>
        <w:t>Janssen, Charalabidis et Zuiderwijk [</w:t>
      </w:r>
      <w:hyperlink w:anchor="ref32">
        <w:r>
          <w:rPr>
            <w:rStyle w:val="Hyperlink"/>
          </w:rPr>
          <w:t>32</w:t>
        </w:r>
      </w:hyperlink>
      <w:r>
        <w:rPr/>
        <w:t>]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78"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78"/>
    </w:p>
    <w:p>
      <w:pPr>
        <w:pStyle w:val="Heading3"/>
        <w:rPr/>
      </w:pPr>
      <w:bookmarkStart w:id="79" w:name="calendrier-de-publication-et-révisions"/>
      <w:r>
        <w:rPr/>
        <w:t>1.4.2 Calendrier de publication et révisions.</w:t>
      </w:r>
    </w:p>
    <w:p>
      <w:pPr>
        <w:pStyle w:val="FirstParagraph"/>
        <w:rPr/>
      </w:pPr>
      <w:r>
        <w:rPr/>
        <w:t>Giannone, Reichlin et Small [</w:t>
      </w:r>
      <w:hyperlink w:anchor="ref27">
        <w:r>
          <w:rPr>
            <w:rStyle w:val="Hyperlink"/>
          </w:rPr>
          <w:t>27</w:t>
        </w:r>
      </w:hyperlink>
      <w:r>
        <w:rPr/>
        <w:t>] montrent qu’une donnée n’apporte de l’information qu’à partir du moment où elle est publiée : son calendrier compte autant que son contenu. Croushore [</w:t>
      </w:r>
      <w:hyperlink w:anchor="ref19">
        <w:r>
          <w:rPr>
            <w:rStyle w:val="Hyperlink"/>
          </w:rPr>
          <w:t>19</w:t>
        </w:r>
      </w:hyperlink>
      <w:r>
        <w:rPr/>
        <w:t>]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r>
        <w:rPr/>
        <w:t>Aux États-Unis, McCracken et Ng [</w:t>
      </w:r>
      <w:hyperlink w:anchor="ref36">
        <w:r>
          <w:rPr>
            <w:rStyle w:val="Hyperlink"/>
          </w:rPr>
          <w:t>36</w:t>
        </w:r>
      </w:hyperlink>
      <w:r>
        <w:rPr/>
        <w:t>] ont construit FRED-MD, une base mensuelle de plus d’une centaine d’indicateurs macroéconomiques. Il n’existe pas d’équivalent français qui intègre l’exécution budgétaire.</w:t>
      </w:r>
      <w:bookmarkEnd w:id="79"/>
    </w:p>
    <w:p>
      <w:pPr>
        <w:pStyle w:val="Heading3"/>
        <w:rPr/>
      </w:pPr>
      <w:bookmarkStart w:id="80" w:name="éviter-de-se-tromper-soi-même"/>
      <w:r>
        <w:rPr/>
        <w:t>1.4.3 Éviter de se tromper soi-même.</w:t>
      </w:r>
    </w:p>
    <w:p>
      <w:pPr>
        <w:pStyle w:val="FirstParagraph"/>
        <w:rPr/>
      </w:pPr>
      <w:r>
        <w:rPr/>
        <w:t>Bailey et al. [</w:t>
      </w:r>
      <w:hyperlink w:anchor="ref5">
        <w:r>
          <w:rPr>
            <w:rStyle w:val="Hyperlink"/>
          </w:rPr>
          <w:t>5</w:t>
        </w:r>
      </w:hyperlink>
      <w:r>
        <w:rPr/>
        <w:t>]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w:t>
      </w:r>
      <w:hyperlink w:anchor="ref21">
        <w:r>
          <w:rPr>
            <w:rStyle w:val="Hyperlink"/>
          </w:rPr>
          <w:t>21</w:t>
        </w:r>
      </w:hyperlink>
      <w:r>
        <w:rPr/>
        <w:t>] permet de le vérifier.</w:t>
      </w:r>
      <w:bookmarkEnd w:id="80"/>
    </w:p>
    <w:p>
      <w:pPr>
        <w:pStyle w:val="Heading3"/>
        <w:rPr/>
      </w:pPr>
      <w:bookmarkStart w:id="81" w:name="ce-que-nous-en-retenons-3"/>
      <w:r>
        <w:rPr/>
        <w:t>1.4.4 Ce que nous en retenons.</w:t>
      </w:r>
    </w:p>
    <w:p>
      <w:pPr>
        <w:pStyle w:val="FirstParagraph"/>
        <w:rPr/>
      </w:pPr>
      <w:bookmarkStart w:id="82" w:name="X9ae88ff3dd35a976078ba2fe427ef8b5284b26c"/>
      <w:bookmarkStart w:id="83" w:name="ce-que-nous-en-retenons-3"/>
      <w:r>
        <w:rPr/>
        <w:t>Les données budgétaires d’un mois ne peuvent servir qu’après leur publication, nous les décalons donc de deux mois. Les montants cumulés doivent être transformés pour enlever la saisonnalité, et les révisions seront discutées comme une limite. Construire un jeu de données mensuel français qui croise budget et marchés est déjà, en soi, une contribution.</w:t>
      </w:r>
      <w:bookmarkEnd w:id="82"/>
      <w:bookmarkEnd w:id="83"/>
    </w:p>
    <w:p>
      <w:pPr>
        <w:pStyle w:val="Heading2"/>
        <w:rPr/>
      </w:pPr>
      <w:bookmarkStart w:id="84" w:name="__RefHeading___Toc20010_3650217843"/>
      <w:bookmarkStart w:id="85" w:name="synthèse-et-positionnement-du-mémoire"/>
      <w:bookmarkEnd w:id="84"/>
      <w:bookmarkEnd w:id="85"/>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86" w:name="__RefHeading___Toc20094_3650217843"/>
      <w:bookmarkEnd w:id="86"/>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Bouillot, Candelon et Kool [</w:t>
            </w:r>
            <w:hyperlink w:anchor="ref14">
              <w:r>
                <w:rPr>
                  <w:rStyle w:val="Hyperlink"/>
                  <w:kern w:val="0"/>
                  <w:szCs w:val="24"/>
                  <w:lang w:val="en-US" w:eastAsia="zh-CN" w:bidi="ar-SA"/>
                </w:rPr>
                <w:t>14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Apport des finances publiques non isolé (1 des 50 variables principales) ; cible en niveau, sans comparaison à la marche aléatoire dans la version consultée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Belly et al. [</w:t>
            </w:r>
            <w:hyperlink w:anchor="ref9">
              <w:r>
                <w:rPr>
                  <w:rStyle w:val="Hyperlink"/>
                  <w:kern w:val="0"/>
                  <w:szCs w:val="24"/>
                  <w:lang w:val="en-US" w:eastAsia="zh-CN" w:bidi="ar-SA"/>
                </w:rPr>
                <w:t>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Favero [</w:t>
            </w:r>
            <w:hyperlink w:anchor="ref24">
              <w:r>
                <w:rPr>
                  <w:rStyle w:val="Hyperlink"/>
                  <w:kern w:val="0"/>
                  <w:szCs w:val="24"/>
                  <w:lang w:val="en-US" w:eastAsia="zh-CN" w:bidi="ar-SA"/>
                </w:rPr>
                <w:t>24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Afonso, Arghyrou et Kontonikas [</w:t>
            </w:r>
            <w:hyperlink w:anchor="ref1">
              <w:r>
                <w:rPr>
                  <w:rStyle w:val="Hyperlink"/>
                  <w:kern w:val="0"/>
                  <w:szCs w:val="24"/>
                  <w:lang w:val="en-US" w:eastAsia="zh-CN" w:bidi="ar-SA"/>
                </w:rPr>
                <w:t>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Bernoth, von Hagen et Schuknecht [</w:t>
            </w:r>
            <w:hyperlink w:anchor="ref11">
              <w:r>
                <w:rPr>
                  <w:rStyle w:val="Hyperlink"/>
                  <w:kern w:val="0"/>
                  <w:szCs w:val="24"/>
                  <w:lang w:val="en-US" w:eastAsia="zh-CN" w:bidi="ar-SA"/>
                </w:rPr>
                <w:t>11</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Attinasi, Checherita et Nickel [</w:t>
            </w:r>
            <w:hyperlink w:anchor="ref4">
              <w:r>
                <w:rPr>
                  <w:rStyle w:val="Hyperlink"/>
                  <w:kern w:val="0"/>
                  <w:szCs w:val="24"/>
                  <w:lang w:val="en-US" w:eastAsia="zh-CN" w:bidi="ar-SA"/>
                </w:rPr>
                <w:t>4</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Garlanda-Longueville [</w:t>
            </w:r>
            <w:hyperlink w:anchor="ref26">
              <w:r>
                <w:rPr>
                  <w:rStyle w:val="Hyperlink"/>
                  <w:kern w:val="0"/>
                  <w:szCs w:val="24"/>
                  <w:lang w:val="en-US" w:eastAsia="zh-CN" w:bidi="ar-SA"/>
                </w:rPr>
                <w:t>26</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France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Barbier-Gauchard et Sofianos [</w:t>
            </w:r>
            <w:hyperlink w:anchor="ref7">
              <w:r>
                <w:rPr>
                  <w:rStyle w:val="Hyperlink"/>
                  <w:kern w:val="0"/>
                  <w:szCs w:val="24"/>
                  <w:lang w:val="en-US" w:eastAsia="zh-CN" w:bidi="ar-SA"/>
                </w:rPr>
                <w:t>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Fama [</w:t>
            </w:r>
            <w:hyperlink w:anchor="ref23">
              <w:r>
                <w:rPr>
                  <w:rStyle w:val="Hyperlink"/>
                  <w:kern w:val="0"/>
                  <w:szCs w:val="24"/>
                  <w:lang w:val="en-US" w:eastAsia="zh-CN" w:bidi="ar-SA"/>
                </w:rPr>
                <w:t>23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Ramey [</w:t>
            </w:r>
            <w:hyperlink w:anchor="ref40">
              <w:r>
                <w:rPr>
                  <w:rStyle w:val="Hyperlink"/>
                  <w:kern w:val="0"/>
                  <w:szCs w:val="24"/>
                  <w:lang w:val="en-US" w:eastAsia="zh-CN" w:bidi="ar-SA"/>
                </w:rPr>
                <w:t>40</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Welch et Goyal [</w:t>
            </w:r>
            <w:hyperlink w:anchor="ref43">
              <w:r>
                <w:rPr>
                  <w:rStyle w:val="Hyperlink"/>
                  <w:kern w:val="0"/>
                  <w:szCs w:val="24"/>
                  <w:lang w:val="en-US" w:eastAsia="zh-CN" w:bidi="ar-SA"/>
                </w:rPr>
                <w:t>43</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Gu, Kelly et Xiu [</w:t>
            </w:r>
            <w:hyperlink w:anchor="ref29">
              <w:r>
                <w:rPr>
                  <w:rStyle w:val="Hyperlink"/>
                  <w:kern w:val="0"/>
                  <w:szCs w:val="24"/>
                  <w:lang w:val="en-US" w:eastAsia="zh-CN" w:bidi="ar-SA"/>
                </w:rPr>
                <w:t>29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Bianchi, Büchner et Tamoni [</w:t>
            </w:r>
            <w:hyperlink w:anchor="ref12">
              <w:r>
                <w:rPr>
                  <w:rStyle w:val="Hyperlink"/>
                  <w:kern w:val="0"/>
                  <w:szCs w:val="24"/>
                  <w:lang w:val="en-US" w:eastAsia="zh-CN" w:bidi="ar-SA"/>
                </w:rPr>
                <w:t>12</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Giannone, Reichlin et Small [</w:t>
            </w:r>
            <w:hyperlink w:anchor="ref27">
              <w:r>
                <w:rPr>
                  <w:rStyle w:val="Hyperlink"/>
                  <w:kern w:val="0"/>
                  <w:szCs w:val="24"/>
                  <w:lang w:val="en-US" w:eastAsia="zh-CN" w:bidi="ar-SA"/>
                </w:rPr>
                <w:t>27</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Croushore [</w:t>
            </w:r>
            <w:hyperlink w:anchor="ref19">
              <w:r>
                <w:rPr>
                  <w:rStyle w:val="Hyperlink"/>
                  <w:kern w:val="0"/>
                  <w:szCs w:val="24"/>
                  <w:lang w:val="en-US" w:eastAsia="zh-CN" w:bidi="ar-SA"/>
                </w:rPr>
                <w:t>19</w:t>
              </w:r>
            </w:hyperlink>
            <w:r>
              <w:rPr>
                <w:kern w:val="0"/>
                <w:sz w:val="18"/>
                <w:szCs w:val="24"/>
                <w:lang w:val="en-US" w:eastAsia="zh-CN" w:bidi="ar-SA"/>
              </w:rPr>
              <w: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87" w:name="le-vide-identifié"/>
      <w:r>
        <w:rPr/>
        <w:t>1.5.1 Le vide identifié.</w:t>
      </w:r>
    </w:p>
    <w:p>
      <w:pPr>
        <w:pStyle w:val="FirstParagraph"/>
        <w:rPr/>
      </w:pPr>
      <w:r>
        <w:rPr/>
        <w:t>La littérature se partage en deux blocs qui se croisent peu :</w:t>
      </w:r>
    </w:p>
    <w:p>
      <w:pPr>
        <w:pStyle w:val="Compact"/>
        <w:numPr>
          <w:ilvl w:val="0"/>
          <w:numId w:val="12"/>
        </w:numPr>
        <w:rPr/>
      </w:pPr>
      <w:r>
        <w:rPr/>
        <w:t>Le bloc macro-budgétaire relie finances publiques et taux souverains. Il utilise des modèles linéaires et des données annuelles ou trimestrielles, et il cherche à expliquer plutôt qu’à prévoir.</w:t>
      </w:r>
    </w:p>
    <w:p>
      <w:pPr>
        <w:pStyle w:val="Compact"/>
        <w:numPr>
          <w:ilvl w:val="0"/>
          <w:numId w:val="13"/>
        </w:numPr>
        <w:rPr/>
      </w:pPr>
      <w:r>
        <w:rPr/>
        <w:t>Le bloc machine learning montre des gains de prévision sur les marchés financiers. Mais il n’utilise pas les données d’exécution budgétaire.</w:t>
      </w:r>
    </w:p>
    <w:p>
      <w:pPr>
        <w:pStyle w:val="FirstParagraph"/>
        <w:rPr/>
      </w:pPr>
      <w:r>
        <w:rPr/>
        <w:t>Un troisième constat s’ajoute : la France est peu étudiée. Six des quinze travaux du tableau portent uniquement sur les États-Unis. Un seul, Garlanda-Longueville [</w:t>
      </w:r>
      <w:hyperlink w:anchor="ref26">
        <w:r>
          <w:rPr>
            <w:rStyle w:val="Hyperlink"/>
          </w:rPr>
          <w:t>26</w:t>
        </w:r>
      </w:hyperlink>
      <w:r>
        <w:rPr/>
        <w:t>], se concentre sur la France, et il porte sur les annonces, pas sur les dépenses exécutées. Même Bouillot et al. [</w:t>
      </w:r>
      <w:hyperlink w:anchor="ref14">
        <w:r>
          <w:rPr>
            <w:rStyle w:val="Hyperlink"/>
          </w:rPr>
          <w:t>14</w:t>
        </w:r>
      </w:hyperlink>
      <w:r>
        <w:rPr/>
        <w:t>]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w:t>
      </w:r>
      <w:hyperlink w:anchor="ref14">
        <w:r>
          <w:rPr>
            <w:rStyle w:val="Hyperlink"/>
          </w:rPr>
          <w:t>14</w:t>
        </w:r>
      </w:hyperlink>
      <w:r>
        <w:rPr/>
        <w:t>] commencent à rapprocher les deux blocs. Notre travail s’en distingue sur trois points :</w:t>
      </w:r>
    </w:p>
    <w:p>
      <w:pPr>
        <w:pStyle w:val="Compact"/>
        <w:numPr>
          <w:ilvl w:val="0"/>
          <w:numId w:val="14"/>
        </w:numPr>
        <w:rPr/>
      </w:pPr>
      <w:r>
        <w:rPr/>
        <w:t>Nous isolons l’apport des dépenses publiques. Chez eux, les finances publiques sont mêlées à près de 5 000 variables. Ici, nous comparons explicitement le même modèle avec et sans dépenses.</w:t>
      </w:r>
    </w:p>
    <w:p>
      <w:pPr>
        <w:pStyle w:val="Compact"/>
        <w:numPr>
          <w:ilvl w:val="0"/>
          <w:numId w:val="15"/>
        </w:numPr>
        <w:rPr/>
      </w:pPr>
      <w:r>
        <w:rPr/>
        <w:t>Nous utilisons les données détaillées d’exécution du budget français, par catégorie de dépense, en données ouvertes.</w:t>
      </w:r>
    </w:p>
    <w:p>
      <w:pPr>
        <w:pStyle w:val="Compact"/>
        <w:numPr>
          <w:ilvl w:val="0"/>
          <w:numId w:val="16"/>
        </w:numPr>
        <w:rPr/>
      </w:pPr>
      <w:bookmarkStart w:id="88" w:name="le-vide-identifié"/>
      <w:r>
        <w:rPr/>
        <w:t>Nous comparons trois indicateurs plus ou moins exposés au risque souverain : le spread, le taux OAT et le CAC 40.</w:t>
      </w:r>
      <w:bookmarkEnd w:id="88"/>
    </w:p>
    <w:p>
      <w:pPr>
        <w:pStyle w:val="Heading3"/>
        <w:rPr/>
      </w:pPr>
      <w:bookmarkStart w:id="89" w:name="problématique-et-hypothèses"/>
      <w:bookmarkEnd w:id="89"/>
      <w:r>
        <w:rPr/>
        <w:t>1.5.2 Problématique et hypothèses.</w:t>
      </w:r>
    </w:p>
    <w:p>
      <w:pPr>
        <w:pStyle w:val="FirstParagraph"/>
        <w:rPr/>
      </w:pPr>
      <w:r>
        <w:rPr/>
        <w:t>Notre problématique est la suivante : 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17"/>
        </w:numPr>
        <w:rPr/>
      </w:pPr>
      <w:r>
        <w:rPr/>
        <w:t>H1. Pour au moins un des trois indicateurs, un modèle qui intègre les dépenses publiques prévoit mieux qu’un modèle qui n’utilise que les variables de contrôle.</w:t>
      </w:r>
    </w:p>
    <w:p>
      <w:pPr>
        <w:pStyle w:val="Compact"/>
        <w:numPr>
          <w:ilvl w:val="0"/>
          <w:numId w:val="18"/>
        </w:numPr>
        <w:rPr/>
      </w:pPr>
      <w:r>
        <w:rPr/>
        <w:t>H2. L’apport des dépenses diminue du spread au taux OAT, puis au CAC 40, à mesure que l’indicateur est moins exposé au risque souverain.</w:t>
      </w:r>
    </w:p>
    <w:p>
      <w:pPr>
        <w:pStyle w:val="Compact"/>
        <w:numPr>
          <w:ilvl w:val="0"/>
          <w:numId w:val="19"/>
        </w:numPr>
        <w:rPr/>
      </w:pPr>
      <w:r>
        <w:rPr/>
        <w:t>H3. Les modèles de machine learning (forêt aléatoire, XGBoost) prévoient mieux que les modèles linéaires.</w:t>
      </w:r>
    </w:p>
    <w:p>
      <w:pPr>
        <w:pStyle w:val="Compact"/>
        <w:numPr>
          <w:ilvl w:val="0"/>
          <w:numId w:val="20"/>
        </w:numPr>
        <w:rPr/>
      </w:pPr>
      <w:r>
        <w:rPr/>
        <w:t>H4. Parmi les dépenses, la charge de la dette et les dépenses d’intervention sont les plus prédictives.</w:t>
      </w:r>
    </w:p>
    <w:p>
      <w:pPr>
        <w:pStyle w:val="FirstParagraph"/>
        <w:rPr/>
      </w:pPr>
      <w:r>
        <w:rPr/>
        <w:t>En suivant Fama [</w:t>
      </w:r>
      <w:hyperlink w:anchor="ref23">
        <w:r>
          <w:rPr>
            <w:rStyle w:val="Hyperlink"/>
          </w:rPr>
          <w:t>23</w:t>
        </w:r>
      </w:hyperlink>
      <w:r>
        <w:rPr/>
        <w:t>] et Ramey [</w:t>
      </w:r>
      <w:hyperlink w:anchor="ref40">
        <w:r>
          <w:rPr>
            <w:rStyle w:val="Hyperlink"/>
          </w:rPr>
          <w:t>40</w:t>
        </w:r>
      </w:hyperlink>
      <w:r>
        <w:rPr/>
        <w:t>], un rejet de H1 reste un résultat plausible, et il nous apprendrait quelque chose.</w:t>
      </w:r>
    </w:p>
    <w:p>
      <w:pPr>
        <w:pStyle w:val="Normal"/>
        <w:rPr/>
      </w:pPr>
      <w:r>
        <w:rPr/>
      </w:r>
      <w:bookmarkStart w:id="90" w:name="chapitre-1-état-de-lart"/>
      <w:bookmarkStart w:id="91" w:name="synthèse-et-positionnement-du-mémoire"/>
      <w:bookmarkStart w:id="92" w:name="problématique-et-hypothèses"/>
      <w:bookmarkStart w:id="93" w:name="chapitre-1-état-de-lart"/>
      <w:bookmarkStart w:id="94" w:name="synthèse-et-positionnement-du-mémoire"/>
      <w:bookmarkStart w:id="95" w:name="problématique-et-hypothèses"/>
      <w:bookmarkEnd w:id="93"/>
      <w:bookmarkEnd w:id="94"/>
      <w:bookmarkEnd w:id="95"/>
      <w:r>
        <w:br w:type="page"/>
      </w:r>
    </w:p>
    <w:p>
      <w:pPr>
        <w:pStyle w:val="Heading1"/>
        <w:spacing w:before="0" w:after="240"/>
        <w:rPr/>
      </w:pPr>
      <w:bookmarkStart w:id="96" w:name="__RefHeading___Toc20012_3650217843"/>
      <w:bookmarkStart w:id="97" w:name="chapitre-2-données-et-méthodologie"/>
      <w:bookmarkEnd w:id="96"/>
      <w:bookmarkEnd w:id="97"/>
      <w:r>
        <w:rPr/>
        <w:t>Chapitre 2 : Données et méthodologie</w:t>
      </w:r>
    </w:p>
    <w:p>
      <w:pPr>
        <w:pStyle w:val="Heading2"/>
        <w:rPr/>
      </w:pPr>
      <w:bookmarkStart w:id="98" w:name="__RefHeading___Toc20014_3650217843"/>
      <w:bookmarkStart w:id="99" w:name="introduction-du-chapitre-1"/>
      <w:bookmarkEnd w:id="98"/>
      <w:r>
        <w:rPr/>
        <w:t>Introduction du chapitre</w:t>
      </w:r>
    </w:p>
    <w:p>
      <w:pPr>
        <w:pStyle w:val="FirstParagraph"/>
        <w:rPr/>
      </w:pPr>
      <w:r>
        <w:rPr/>
        <w:t>Ce chapitre décrit d’où viennent nos données, comment nous les avons transformées et comment nous avons évalué les modèles. Une seule règle guide tout le protocole : ne jamais donner au modèle une information qu’un investisseur n’aurait pas eue au moment de décider.</w:t>
      </w:r>
    </w:p>
    <w:p>
      <w:pPr>
        <w:pStyle w:val="BodyText"/>
        <w:rPr/>
      </w:pPr>
      <w:r>
        <w:rPr/>
        <w:t>Nous commençons par les sources (2.1) et la construction du jeu de données mensuel (2.2), puis nous présentons les variables à prédire (2.3) et les variables explicatives (2.4). La section 2.5 justifie le choix des modèles, la 2.6 explique comment nous les évaluons, la 2.7 décrit les variantes testées pour vérifier la solidité des résultats, et la 2.8 les considérations éthiques.</w:t>
      </w:r>
    </w:p>
    <w:p>
      <w:pPr>
        <w:pStyle w:val="BodyText"/>
        <w:rPr/>
      </w:pPr>
      <w:bookmarkStart w:id="100" w:name="introduction-du-chapitre-1"/>
      <w:r>
        <w:rPr/>
        <w:t>Chaque tableau et chaque figure de ce mémoire peut être recalculé à partir des fichiers bruts, avec le code que nous avons écrit pour ce travail.</w:t>
      </w:r>
      <w:bookmarkEnd w:id="100"/>
    </w:p>
    <w:p>
      <w:pPr>
        <w:pStyle w:val="Heading2"/>
        <w:rPr/>
      </w:pPr>
      <w:bookmarkStart w:id="101" w:name="__RefHeading___Toc20016_3650217843"/>
      <w:bookmarkStart w:id="102" w:name="sources-des-données"/>
      <w:bookmarkEnd w:id="101"/>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03" w:name="__RefHeading___Toc20138_3650217843"/>
      <w:bookmarkEnd w:id="103"/>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particularités de ces données comptent pour la suite :</w:t>
      </w:r>
    </w:p>
    <w:p>
      <w:pPr>
        <w:pStyle w:val="Compact"/>
        <w:numPr>
          <w:ilvl w:val="0"/>
          <w:numId w:val="21"/>
        </w:numPr>
        <w:rPr/>
      </w:pPr>
      <w:r>
        <w:rPr/>
        <w:t>Les taux de l’OCDE sont des moyennes mensuelles, pas des valeurs de fin de mois. Or la variation d’une moyenne à la suivante est un peu corrélée d’un mois sur l’autre, par simple construction. Le CAC 40, lui, est pris au dernier jour du mois.</w:t>
      </w:r>
    </w:p>
    <w:p>
      <w:pPr>
        <w:pStyle w:val="Compact"/>
        <w:numPr>
          <w:ilvl w:val="0"/>
          <w:numId w:val="22"/>
        </w:numPr>
        <w:rPr/>
      </w:pPr>
      <w:r>
        <w:rPr/>
        <w:t>Le CAC 40 est un indice de prix, qui ne compte pas les dividendes.</w:t>
      </w:r>
    </w:p>
    <w:p>
      <w:pPr>
        <w:pStyle w:val="Compact"/>
        <w:numPr>
          <w:ilvl w:val="0"/>
          <w:numId w:val="23"/>
        </w:numPr>
        <w:rPr/>
      </w:pPr>
      <w:r>
        <w:rPr/>
        <w:t>Les séries budgétaires sont la dernière version publiée. Les chiffres de décembre, par exemple, sont d’abord provisoires puis révisés. Nous utilisons donc des valeurs un peu différentes de celles que le marché voyait en temps réel.</w:t>
      </w:r>
    </w:p>
    <w:p>
      <w:pPr>
        <w:pStyle w:val="Compact"/>
        <w:numPr>
          <w:ilvl w:val="0"/>
          <w:numId w:val="24"/>
        </w:numPr>
        <w:rPr/>
      </w:pPr>
      <w:bookmarkStart w:id="104" w:name="sources-des-données"/>
      <w:r>
        <w:rPr/>
        <w:t>Le budget voté pour 2026 n’est pas dans les fichiers ouverts. L’extension qui l’utilise (E4) s’arrête donc en février 2026.</w:t>
      </w:r>
      <w:bookmarkEnd w:id="104"/>
    </w:p>
    <w:p>
      <w:pPr>
        <w:pStyle w:val="Heading2"/>
        <w:rPr/>
      </w:pPr>
      <w:bookmarkStart w:id="105" w:name="__RefHeading___Toc20018_3650217843"/>
      <w:bookmarkStart w:id="106" w:name="construction-du-jeu-de-données"/>
      <w:bookmarkEnd w:id="105"/>
      <w:r>
        <w:rPr/>
        <w:t>2.2 Construction du jeu de données</w:t>
      </w:r>
    </w:p>
    <w:p>
      <w:pPr>
        <w:pStyle w:val="FirstParagraph"/>
        <w:rPr/>
      </w:pPr>
      <w:r>
        <w:rPr/>
        <w:t>Le jeu de données final compte 150 mois, de mars 2014 à août 2026, dont 149 avec une cible (le dernier mois n’a pas encore de « mois suivant »). Une ligne correspond à la fin d’un mois t. Elle ne contient que ce qui était connu à cette date : c’est la règle qui guide toutes les étapes ci-dessous.</w:t>
      </w:r>
    </w:p>
    <w:p>
      <w:pPr>
        <w:pStyle w:val="BodyText"/>
        <w:rPr/>
      </w:pPr>
      <w:r>
        <w:rPr/>
        <w:t>Formellement, pour chaque cible y, nous cherchons à prévoir la valeur du mois suivant à partir de l’information disponible à la fin du mois t :</w:t>
      </w:r>
    </w:p>
    <w:p>
      <w:pPr>
        <w:pStyle w:val="BodyText"/>
        <w:rPr/>
      </w:pPr>
      <w:r>
        <w:rPr/>
        <w:drawing>
          <wp:inline distT="0" distB="0" distL="0" distR="0">
            <wp:extent cx="1800225" cy="23622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1800225" cy="236220"/>
                    </a:xfrm>
                    <a:prstGeom prst="rect">
                      <a:avLst/>
                    </a:prstGeom>
                  </pic:spPr>
                </pic:pic>
              </a:graphicData>
            </a:graphic>
          </wp:inline>
        </w:drawing>
      </w:r>
    </w:p>
    <w:p>
      <w:pPr>
        <w:pStyle w:val="BodyText"/>
        <w:rPr/>
      </w:pPr>
      <w:r>
        <w:rPr/>
        <w:t xml:space="preserve">où </w:t>
      </w:r>
      <w:r>
        <w:rPr>
          <w:i/>
          <w:iCs/>
        </w:rPr>
        <w:t>M</w:t>
      </w:r>
      <w:r>
        <w:rPr/>
        <w:t xml:space="preserve"> regroupe les variables de marché et de contrôle connues à la fin du mois </w:t>
      </w:r>
      <w:r>
        <w:rPr>
          <w:i/>
          <w:iCs/>
        </w:rPr>
        <w:t>t</w:t>
      </w:r>
      <w:r>
        <w:rPr/>
        <w:t xml:space="preserve"> (l’inflation étant celle du mois précédent), </w:t>
      </w:r>
      <w:r>
        <w:rPr>
          <w:i/>
          <w:iCs/>
        </w:rPr>
        <w:t>B</w:t>
      </w:r>
      <w:r>
        <w:rPr/>
        <w:t xml:space="preserve"> les variables budgétaires du mois </w:t>
      </w:r>
      <w:r>
        <w:rPr>
          <w:i/>
          <w:iCs/>
        </w:rPr>
        <w:t>t</w:t>
      </w:r>
      <w:r>
        <w:rPr/>
        <w:t xml:space="preserve"> − 2, </w:t>
      </w:r>
      <w:r>
        <w:rPr>
          <w:i/>
          <w:iCs/>
        </w:rPr>
        <w:t>f</w:t>
      </w:r>
      <w:r>
        <w:rPr/>
        <w:t xml:space="preserve"> le modèle estimé et ε l’erreur de prévision.</w:t>
      </w:r>
    </w:p>
    <w:p>
      <w:pPr>
        <w:pStyle w:val="Heading3"/>
        <w:rPr/>
      </w:pPr>
      <w:bookmarkStart w:id="107" w:name="des-cumuls-aux-flux-mensuels"/>
      <w:r>
        <w:rPr/>
        <w:t>2.2.1 Des cumuls aux flux mensuels.</w:t>
      </w:r>
    </w:p>
    <w:p>
      <w:pPr>
        <w:pStyle w:val="FirstParagraph"/>
        <w:rPr/>
      </w:pPr>
      <w:bookmarkStart w:id="108" w:name="des-cumuls-aux-flux-mensuels"/>
      <w:r>
        <w:rPr/>
        <w:t>La DGFiP publie des montants cumulés depuis le 1er janvier : le chiffre de mars additionne janvier, février et mars. Pour retrouver ce qui a été dépensé dans le mois, nous soustrayons le cumul du mois précédent. En janvier, le flux est simplement le cumul, puisque le compteur repart de zéro.</w:t>
      </w:r>
      <w:bookmarkEnd w:id="108"/>
    </w:p>
    <w:p>
      <w:pPr>
        <w:pStyle w:val="Heading3"/>
        <w:rPr/>
      </w:pPr>
      <w:bookmarkStart w:id="109"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25"/>
        </w:numPr>
        <w:rPr/>
      </w:pPr>
      <w:r>
        <w:rPr/>
        <w:t>La somme des 12 derniers mois (en milliards d’euros). Elle donne le niveau annuel, sans effet de saison.</w:t>
      </w:r>
    </w:p>
    <w:p>
      <w:pPr>
        <w:pStyle w:val="Compact"/>
        <w:numPr>
          <w:ilvl w:val="0"/>
          <w:numId w:val="26"/>
        </w:numPr>
        <w:rPr/>
      </w:pPr>
      <w:r>
        <w:rPr/>
        <w:t>L’écart du cumul depuis janvier par rapport au même mois de l’année précédente, rapporté au montant des douze derniers mois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début d’année, le cumul est presque nul, et le taux prend des valeurs absurdes : pour l’impôt sur les sociétés, il va de -449 % à +470 % en janvier et de -902 % à +1 789 % en février. Diviser par le montant des douze derniers mois règle ce problème.</w:t>
      </w:r>
    </w:p>
    <w:p>
      <w:pPr>
        <w:pStyle w:val="BodyText"/>
        <w:rPr/>
      </w:pPr>
      <w:r>
        <w:rPr/>
        <w:t>Pour une ligne budgétaire i et un mois t, la variable utilisée dans les modèles s’écrit :</w:t>
      </w:r>
    </w:p>
    <w:p>
      <w:pPr>
        <w:pStyle w:val="BodyText"/>
        <w:rPr/>
      </w:pPr>
      <w:r>
        <w:rPr/>
        <w:drawing>
          <wp:inline distT="0" distB="0" distL="0" distR="0">
            <wp:extent cx="3780155" cy="4794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80155" cy="479425"/>
                    </a:xfrm>
                    <a:prstGeom prst="rect">
                      <a:avLst/>
                    </a:prstGeom>
                  </pic:spPr>
                </pic:pic>
              </a:graphicData>
            </a:graphic>
          </wp:inline>
        </w:drawing>
      </w:r>
    </w:p>
    <w:p>
      <w:pPr>
        <w:pStyle w:val="BodyText"/>
        <w:rPr/>
      </w:pPr>
      <w:r>
        <w:rPr/>
        <w:t xml:space="preserve">où </w:t>
      </w:r>
      <w:r>
        <w:rPr>
          <w:i/>
          <w:iCs/>
        </w:rPr>
        <w:t>C</w:t>
      </w:r>
      <w:r>
        <w:rPr/>
        <w:t xml:space="preserve"> est le cumul depuis janvier, </w:t>
      </w:r>
      <w:r>
        <w:rPr>
          <w:i/>
          <w:iCs/>
        </w:rPr>
        <w:t>F</w:t>
      </w:r>
      <w:r>
        <w:rPr/>
        <w:t xml:space="preserve"> le flux mensuel et </w:t>
      </w:r>
      <w:r>
        <w:rPr>
          <w:i/>
          <w:iCs/>
        </w:rPr>
        <w:t>S</w:t>
      </w:r>
      <w:r>
        <w:rPr/>
        <w:t xml:space="preserve"> la somme des douze derniers flux. Le numérateur compare le cumul au même mois de l’année précédente, ce qui retire la saisonnalité ; le dénominateur ne s’approche jamais de zéro, contrairement au cumul de début d’année.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10" w:name="neutraliser-la-saisonnalité"/>
      <w:r>
        <w:rPr/>
        <w:t>Nous avons exclu les opérations financières. Ce sont des prises de participation ou des soutiens exceptionnels, très irréguliers, et non une dépense économique courante. Leur écart annuel atteignait -462 %.</w:t>
      </w:r>
      <w:bookmarkEnd w:id="110"/>
    </w:p>
    <w:p>
      <w:pPr>
        <w:pStyle w:val="Heading3"/>
        <w:rPr/>
      </w:pPr>
      <w:bookmarkStart w:id="111" w:name="respecter-le-calendrier-de-publication"/>
      <w:r>
        <w:rPr/>
        <w:t>2.2.3 Respecter le calendrier de publication.</w:t>
      </w:r>
    </w:p>
    <w:p>
      <w:pPr>
        <w:pStyle w:val="FirstParagraph"/>
        <w:rPr/>
      </w:pPr>
      <w:r>
        <w:rPr/>
        <w:t>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Toutes les variables budgétaires sont décalées de deux mois. Pour les années 2014 à 2022, nous n’avons pas retrouvé les dates exactes, car les archives ne sont plus en ligne : nous supposons le même calendrier.</w:t>
      </w:r>
    </w:p>
    <w:p>
      <w:pPr>
        <w:pStyle w:val="BodyText"/>
        <w:rPr/>
      </w:pPr>
      <w:r>
        <w:rPr/>
        <w:t>Le même raisonnement vaut pour l’inflation. L’INSEE publie une estimation provisoire à la fin du mois, puis l’indice définitif vers le milieu du mois suivant (pour août 2026 : le 28 août, puis le 15 septembre). Nos données sont les valeurs définitives. L’inflation est donc décalée d’un mois.</w:t>
      </w:r>
    </w:p>
    <w:p>
      <w:pPr>
        <w:pStyle w:val="BodyText"/>
        <w:rPr/>
      </w:pPr>
      <w:r>
        <w:rPr/>
        <w:t>Sans ces décalages, le modèle utiliserait des chiffres que personne ne connaissait encore au moment de la prévision. Ses performances seraient alors gonflées artificiellement. C’est le biais d’anticipation, bien connu pour les données macroéconomiques [</w:t>
      </w:r>
      <w:hyperlink w:anchor="ref19">
        <w:r>
          <w:rPr>
            <w:rStyle w:val="Hyperlink"/>
          </w:rPr>
          <w:t>19</w:t>
        </w:r>
      </w:hyperlink>
      <w:r>
        <w:rPr/>
        <w:t>].</w:t>
      </w:r>
      <w:bookmarkEnd w:id="111"/>
    </w:p>
    <w:p>
      <w:pPr>
        <w:pStyle w:val="Heading3"/>
        <w:rPr/>
      </w:pPr>
      <w:bookmarkStart w:id="112"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13" w:name="__RefHeading___Toc20136_3650217843"/>
      <w:bookmarkEnd w:id="113"/>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bookmarkStart w:id="114" w:name="construction-du-jeu-de-données"/>
      <w:bookmarkStart w:id="115" w:name="vérification-de-la-qualité-des-données"/>
      <w:r>
        <w:rPr/>
        <w:t>Second contrôle : un script de vérification (63 contrôles) s’assure automatiquement que chaque cible correspond bien au mois suivant, que chaque variable budgétaire vient du mois t-2, que l’inflation vient du mois t-1, et qu’aucun mois ne manque. Pour vérifier que ce script détecte bien les erreurs, nous l’avons relancé après avoir modifié volontairement le décalage budgétaire (0 puis 1 mois au lieu de 2) : il signale chaque fois un échec. Le jeu de données n’a aucune valeur manquante, sauf la cible du dernier mois.</w:t>
      </w:r>
      <w:bookmarkEnd w:id="114"/>
      <w:bookmarkEnd w:id="115"/>
    </w:p>
    <w:p>
      <w:pPr>
        <w:pStyle w:val="Heading2"/>
        <w:rPr/>
      </w:pPr>
      <w:bookmarkStart w:id="116" w:name="__RefHeading___Toc20020_3650217843"/>
      <w:bookmarkStart w:id="117" w:name="variables-cibles-et-stationnarité"/>
      <w:bookmarkEnd w:id="116"/>
      <w:r>
        <w:rPr/>
        <w:t>2.3 Variables cibles et stationnarité</w:t>
      </w:r>
    </w:p>
    <w:p>
      <w:pPr>
        <w:pStyle w:val="FirstParagraph"/>
        <w:rPr/>
      </w:pPr>
      <w:r>
        <w:rPr/>
        <w:t>Nous cherchons à prévoir trois indicateurs pour le mois suivant (t+1).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18" w:name="__RefHeading___Toc20134_3650217843"/>
      <w:bookmarkEnd w:id="118"/>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r>
    </w:tbl>
    <w:p>
      <w:pPr>
        <w:pStyle w:val="BodyText"/>
        <w:keepNext w:val="false"/>
        <w:spacing w:lineRule="auto" w:line="240" w:before="40" w:after="240"/>
        <w:jc w:val="left"/>
        <w:rPr/>
      </w:pPr>
      <w:r>
        <w:rPr>
          <w:i/>
          <w:iCs/>
          <w:sz w:val="20"/>
        </w:rPr>
        <w:t>Source : calculs de l’auteur (OCDE via FRED, Yahoo Finance), mars 2014 à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19" w:name="X1f226371d223a388ad860388f2edd529dc4d91f"/>
      <w:r>
        <w:rPr/>
        <w:t>Pourquoi prédire des variations plutôt que des niveaux.</w:t>
      </w:r>
    </w:p>
    <w:p>
      <w:pPr>
        <w:pStyle w:val="FirstParagraph"/>
        <w:rPr/>
      </w:pPr>
      <w:r>
        <w:rPr/>
        <w:t>Le test de Dickey-Fuller augmenté (ADF ; [</w:t>
      </w:r>
      <w:hyperlink w:anchor="ref20">
        <w:r>
          <w:rPr>
            <w:rStyle w:val="Hyperlink"/>
          </w:rPr>
          <w:t>20</w:t>
        </w:r>
      </w:hyperlink>
      <w:r>
        <w:rPr/>
        <w:t>]) confirme que les trois cibles, en variations, sont stationnaires, alors que les niveaux ne le sont pas :</w:t>
      </w:r>
    </w:p>
    <w:p>
      <w:pPr>
        <w:pStyle w:val="CaptionTable"/>
        <w:keepNext w:val="true"/>
        <w:spacing w:lineRule="auto" w:line="240" w:before="120" w:after="80"/>
        <w:jc w:val="left"/>
        <w:rPr/>
      </w:pPr>
      <w:bookmarkStart w:id="120" w:name="__RefHeading___Toc20132_3650217843"/>
      <w:bookmarkEnd w:id="120"/>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 un modèle qui recopie la dernière valeur obtient un R² très élevé sans rien avoir appris. En prédisant la variation, on le force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21" w:name="variables-cibles-et-stationnarité"/>
      <w:bookmarkStart w:id="122" w:name="X1f226371d223a388ad860388f2edd529dc4d91f"/>
      <w:r>
        <w:rPr/>
        <w:t>Nous testons aussi une version plus simple dans les extensions : deviner seulement si le spread va monter ou baisser. Sur notre échantillon, il a monté dans 52 % des mois.</w:t>
      </w:r>
      <w:bookmarkEnd w:id="121"/>
      <w:bookmarkEnd w:id="122"/>
    </w:p>
    <w:p>
      <w:pPr>
        <w:pStyle w:val="Heading2"/>
        <w:rPr/>
      </w:pPr>
      <w:bookmarkStart w:id="123" w:name="__RefHeading___Toc20022_3650217843"/>
      <w:bookmarkStart w:id="124" w:name="variables-explicatives"/>
      <w:bookmarkEnd w:id="123"/>
      <w:r>
        <w:rPr/>
        <w:t>2.4 Variables explicatives</w:t>
      </w:r>
    </w:p>
    <w:p>
      <w:pPr>
        <w:pStyle w:val="FirstParagraph"/>
        <w:rPr/>
      </w:pPr>
      <w:r>
        <w:rPr/>
        <w:t>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en plus de ce que les marchés savent déjà.</w:t>
      </w:r>
    </w:p>
    <w:p>
      <w:pPr>
        <w:pStyle w:val="CaptionTable"/>
        <w:keepNext w:val="true"/>
        <w:spacing w:lineRule="auto" w:line="240" w:before="120" w:after="80"/>
        <w:jc w:val="left"/>
        <w:rPr/>
      </w:pPr>
      <w:bookmarkStart w:id="125" w:name="__RefHeading___Toc20130_3650217843"/>
      <w:bookmarkEnd w:id="125"/>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Les recettes et le solde sont à part, dans M2. Le titre du mémoire parle des dépenses : M1 répond à cette question précise, et M2 vérifie simplement si le reste du budget change la conclusion.</w:t>
      </w:r>
    </w:p>
    <w:p>
      <w:pPr>
        <w:pStyle w:val="Heading3"/>
        <w:rPr/>
      </w:pPr>
      <w:bookmarkStart w:id="126" w:name="Xb5a0d5c40b39e96c1362bbbf57c87622419a65d"/>
      <w:r>
        <w:rPr/>
        <w:t>Deux pièges mis en évidence par l’analyse exploratoire.</w:t>
      </w:r>
    </w:p>
    <w:p>
      <w:pPr>
        <w:pStyle w:val="FirstParagraph"/>
        <w:rPr/>
      </w:pPr>
      <w:r>
        <w:rPr/>
        <w:t>Premier piège : les variables en niveau.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Nos modèles utilisent donc les écarts annuels, pas les niveaux. Ces écarts sont stationnaires ou presque (p-values ADF de 0,000 à 0,057).</w:t>
      </w:r>
    </w:p>
    <w:p>
      <w:pPr>
        <w:pStyle w:val="BodyText"/>
        <w:rPr/>
      </w:pPr>
      <w:bookmarkStart w:id="127" w:name="variables-explicatives"/>
      <w:bookmarkStart w:id="128" w:name="Xb5a0d5c40b39e96c1362bbbf57c87622419a65d"/>
      <w:r>
        <w:rPr/>
        <w:t>Second piège : l’inflation.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Nous avons donc mis l’inflation dans M0, pour ne pas attribuer aux dépenses un effet qui vient en réalité de l’inflation.</w:t>
      </w:r>
      <w:bookmarkEnd w:id="127"/>
      <w:bookmarkEnd w:id="128"/>
    </w:p>
    <w:p>
      <w:pPr>
        <w:pStyle w:val="Heading2"/>
        <w:rPr/>
      </w:pPr>
      <w:bookmarkStart w:id="129" w:name="__RefHeading___Toc20024_3650217843"/>
      <w:bookmarkStart w:id="130" w:name="modèles-retenus"/>
      <w:bookmarkEnd w:id="129"/>
      <w:r>
        <w:rPr/>
        <w:t>2.5 Modèles retenus</w:t>
      </w:r>
    </w:p>
    <w:p>
      <w:pPr>
        <w:pStyle w:val="FirstParagraph"/>
        <w:rPr/>
      </w:pPr>
      <w:r>
        <w:rPr/>
        <w:t>Nous traitons le problème comme une régression : le modèle prédit un nombre, qui donne à la fois le sens et l’ampleur du mouvement. C’est aussi le choix des travaux de référence [</w:t>
      </w:r>
      <w:hyperlink w:anchor="ref29">
        <w:r>
          <w:rPr>
            <w:rStyle w:val="Hyperlink"/>
          </w:rPr>
          <w:t>29</w:t>
        </w:r>
      </w:hyperlink>
      <w:r>
        <w:rPr/>
        <w:t xml:space="preserve">, </w:t>
      </w:r>
      <w:hyperlink w:anchor="ref14">
        <w:r>
          <w:rPr>
            <w:rStyle w:val="Hyperlink"/>
          </w:rPr>
          <w:t>14</w:t>
        </w:r>
      </w:hyperlink>
      <w:r>
        <w:rPr/>
        <w:t>]. Nous comparons cinq approches, des plus simples aux plus flexibles :</w:t>
      </w:r>
    </w:p>
    <w:p>
      <w:pPr>
        <w:pStyle w:val="CaptionTable"/>
        <w:keepNext w:val="true"/>
        <w:spacing w:lineRule="auto" w:line="240" w:before="120" w:after="80"/>
        <w:jc w:val="left"/>
        <w:rPr/>
      </w:pPr>
      <w:bookmarkStart w:id="131" w:name="__RefHeading___Toc20128_3650217843"/>
      <w:bookmarkEnd w:id="131"/>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modèle qui ne la bat pas n’a pas de pouvoir prédictif utile [</w:t>
            </w:r>
            <w:hyperlink w:anchor="ref43">
              <w:r>
                <w:rPr>
                  <w:rStyle w:val="Hyperlink"/>
                  <w:kern w:val="0"/>
                  <w:szCs w:val="24"/>
                  <w:lang w:val="en-US" w:eastAsia="zh-CN" w:bidi="ar-SA"/>
                </w:rPr>
                <w:t>43</w:t>
              </w:r>
            </w:hyperlink>
            <w:r>
              <w:rPr>
                <w:kern w:val="0"/>
                <w:sz w:val="20"/>
                <w:szCs w:val="24"/>
                <w:lang w:val="en-US" w:eastAsia="zh-CN" w:bidi="ar-SA"/>
              </w:rPr>
              <w:t xml:space="preserve">,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Représente la tradition linéaire ; la régularisation limite le surapprentissage avec 18 variables [</w:t>
            </w:r>
            <w:hyperlink w:anchor="ref31">
              <w:r>
                <w:rPr>
                  <w:rStyle w:val="Hyperlink"/>
                  <w:kern w:val="0"/>
                  <w:szCs w:val="24"/>
                  <w:lang w:val="en-US" w:eastAsia="zh-CN" w:bidi="ar-SA"/>
                </w:rPr>
                <w:t>31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Capte les effets non linéaires, stable sur de petits échantillons [</w:t>
            </w:r>
            <w:hyperlink w:anchor="ref15">
              <w:r>
                <w:rPr>
                  <w:rStyle w:val="Hyperlink"/>
                  <w:kern w:val="0"/>
                  <w:szCs w:val="24"/>
                  <w:lang w:val="en-US" w:eastAsia="zh-CN" w:bidi="ar-SA"/>
                </w:rPr>
                <w:t>15</w:t>
              </w:r>
            </w:hyperlink>
            <w:r>
              <w:rPr>
                <w:kern w:val="0"/>
                <w:sz w:val="20"/>
                <w:szCs w:val="24"/>
                <w:lang w:val="en-US" w:eastAsia="zh-CN" w:bidi="ar-SA"/>
              </w:rPr>
              <w:t xml:space="preserve">, </w:t>
            </w:r>
            <w:hyperlink w:anchor="ref37">
              <w:r>
                <w:rPr>
                  <w:rStyle w:val="Hyperlink"/>
                  <w:kern w:val="0"/>
                  <w:szCs w:val="24"/>
                  <w:lang w:val="en-US" w:eastAsia="zh-CN" w:bidi="ar-SA"/>
                </w:rPr>
                <w:t>37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Meilleur modèle chez Bouillot et al. [</w:t>
            </w:r>
            <w:hyperlink w:anchor="ref14">
              <w:r>
                <w:rPr>
                  <w:rStyle w:val="Hyperlink"/>
                  <w:kern w:val="0"/>
                  <w:szCs w:val="24"/>
                  <w:lang w:val="en-US" w:eastAsia="zh-CN" w:bidi="ar-SA"/>
                </w:rPr>
                <w:t>14</w:t>
              </w:r>
            </w:hyperlink>
            <w:r>
              <w:rPr>
                <w:kern w:val="0"/>
                <w:sz w:val="20"/>
                <w:szCs w:val="24"/>
                <w:lang w:val="en-US" w:eastAsia="zh-CN" w:bidi="ar-SA"/>
              </w:rPr>
              <w:t>] pour les spreads européens [</w:t>
            </w:r>
            <w:hyperlink w:anchor="ref18">
              <w:r>
                <w:rPr>
                  <w:rStyle w:val="Hyperlink"/>
                  <w:kern w:val="0"/>
                  <w:szCs w:val="24"/>
                  <w:lang w:val="en-US" w:eastAsia="zh-CN" w:bidi="ar-SA"/>
                </w:rPr>
                <w:t>18</w:t>
              </w:r>
            </w:hyperlink>
            <w:r>
              <w:rPr>
                <w:kern w:val="0"/>
                <w:sz w:val="20"/>
                <w:szCs w:val="24"/>
                <w:lang w:val="en-US" w:eastAsia="zh-CN" w:bidi="ar-SA"/>
              </w:rPr>
              <w:t>]</w:t>
            </w:r>
          </w:p>
        </w:tc>
      </w:tr>
    </w:tbl>
    <w:p>
      <w:pPr>
        <w:pStyle w:val="BodyText"/>
        <w:keepNext w:val="false"/>
        <w:spacing w:lineRule="auto" w:line="240" w:before="40" w:after="240"/>
        <w:jc w:val="left"/>
        <w:rPr/>
      </w:pPr>
      <w:r>
        <w:rPr>
          <w:i/>
          <w:iCs/>
          <w:sz w:val="20"/>
        </w:rPr>
        <w:t>Source : élaboration de l’auteur.</w:t>
      </w:r>
    </w:p>
    <w:p>
      <w:pPr>
        <w:pStyle w:val="BodyText"/>
        <w:rPr/>
      </w:pPr>
      <w:r>
        <w:rPr/>
        <w:t>Nous n’utilisons pas de deep learning. Avec environ 150 mois de données, un réseau de neurones apprendrait surtout le bruit. Les études qui l’emploient avec succès, comme Fischer et Krauss [</w:t>
      </w:r>
      <w:hyperlink w:anchor="ref25">
        <w:r>
          <w:rPr>
            <w:rStyle w:val="Hyperlink"/>
          </w:rPr>
          <w:t>25</w:t>
        </w:r>
      </w:hyperlink>
      <w:r>
        <w:rPr/>
        <w:t>], travaillent sur des données quotidiennes de centaines d’actions, soit des centaines de milliers d’observations.</w:t>
      </w:r>
    </w:p>
    <w:p>
      <w:pPr>
        <w:pStyle w:val="Heading3"/>
        <w:rPr/>
      </w:pPr>
      <w:bookmarkStart w:id="132"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27"/>
        </w:numPr>
        <w:rPr/>
      </w:pPr>
      <w:r>
        <w:rPr/>
        <w:t>Ridge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28"/>
        </w:numPr>
        <w:rPr/>
      </w:pPr>
      <w:r>
        <w:rPr/>
        <w:t>Forêt aléatoire : 300 arbres, profondeur maximale 4, au moins 5 observations par feuille, 50 % des variables tirées à chaque division.</w:t>
      </w:r>
    </w:p>
    <w:p>
      <w:pPr>
        <w:pStyle w:val="Compact"/>
        <w:numPr>
          <w:ilvl w:val="0"/>
          <w:numId w:val="29"/>
        </w:numPr>
        <w:rPr/>
      </w:pPr>
      <w:r>
        <w:rPr/>
        <w:t>XGBoost : 200 arbres, profondeur maximale 2, taux d’apprentissage 0,05, sous-échantillonnage de 80 % des observations et des variables, au moins 5 observations par feuille (min_child_weight = 5), pénalité L2 égale à 1.</w:t>
      </w:r>
    </w:p>
    <w:p>
      <w:pPr>
        <w:pStyle w:val="FirstParagraph"/>
        <w:rPr/>
      </w:pPr>
      <w:r>
        <w:rPr/>
        <w:t>La régression Ridge [</w:t>
      </w:r>
      <w:hyperlink w:anchor="ref31">
        <w:r>
          <w:rPr>
            <w:rStyle w:val="Hyperlink"/>
          </w:rPr>
          <w:t>31</w:t>
        </w:r>
      </w:hyperlink>
      <w:r>
        <w:rPr/>
        <w:t>] estime les coefficients en pénalisant leur taille, sur des variables centrées réduites :</w:t>
      </w:r>
    </w:p>
    <w:p>
      <w:pPr>
        <w:pStyle w:val="BodyText"/>
        <w:rPr/>
      </w:pPr>
      <w:r>
        <w:rPr/>
        <w:drawing>
          <wp:inline distT="0" distB="0" distL="0" distR="0">
            <wp:extent cx="3168015" cy="4267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168015" cy="426720"/>
                    </a:xfrm>
                    <a:prstGeom prst="rect">
                      <a:avLst/>
                    </a:prstGeom>
                  </pic:spPr>
                </pic:pic>
              </a:graphicData>
            </a:graphic>
          </wp:inline>
        </w:drawing>
      </w:r>
    </w:p>
    <w:p>
      <w:pPr>
        <w:pStyle w:val="BodyText"/>
        <w:rPr/>
      </w:pPr>
      <w:r>
        <w:rPr/>
        <w:t>Plus α est grand, plus les coefficients sont ramenés vers zéro. Quand α tend vers l’infini, la prévision se réduit à la constante, c’est-à-dire à la moyenne d’entraînement : choisir un α très élevé revient à dire que les variables n’apportent pas de signal.</w:t>
      </w:r>
    </w:p>
    <w:p>
      <w:pPr>
        <w:pStyle w:val="BodyText"/>
        <w:rPr/>
      </w:pPr>
      <w:bookmarkStart w:id="133" w:name="modèles-retenus"/>
      <w:bookmarkStart w:id="134" w:name="hyperparamètres"/>
      <w:r>
        <w:rPr/>
        <w:t>Ces valeurs sont prudentes : des arbres peu profonds apprennent moins le bruit d’un petit échantillon. Nous devons toutefois être transparents sur un point. Contrairement aux extensions (section 2.7), ces réglages n’ont pas été datés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33"/>
      <w:bookmarkEnd w:id="134"/>
    </w:p>
    <w:p>
      <w:pPr>
        <w:pStyle w:val="Heading2"/>
        <w:rPr/>
      </w:pPr>
      <w:bookmarkStart w:id="135" w:name="__RefHeading___Toc20026_3650217843"/>
      <w:bookmarkStart w:id="136" w:name="protocole-dévaluation"/>
      <w:bookmarkEnd w:id="135"/>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37" w:name="validation-glissante"/>
      <w:r>
        <w:rPr/>
        <w:t>2.6.1 Validation glissante.</w:t>
      </w:r>
    </w:p>
    <w:p>
      <w:pPr>
        <w:pStyle w:val="FirstParagraph"/>
        <w:rPr/>
      </w:pPr>
      <w:r>
        <w:rPr/>
        <w:t>Une validation croisée classique tire les mois au hasard. Le modèle pourrait alors apprendre sur 2024 pour prévoir 2021, ce qui n’a aucun sens pour une prévision. Nous utilisons donc une validation glissante à fenêtre croissante :</w:t>
      </w:r>
    </w:p>
    <w:p>
      <w:pPr>
        <w:pStyle w:val="Compact"/>
        <w:numPr>
          <w:ilvl w:val="0"/>
          <w:numId w:val="30"/>
        </w:numPr>
        <w:rPr/>
      </w:pPr>
      <w:r>
        <w:rPr/>
        <w:t>Fin janvier 2020, le modèle est entraîné sur les 70 mois précédents et prévoit la variation de février 2020.</w:t>
      </w:r>
    </w:p>
    <w:p>
      <w:pPr>
        <w:pStyle w:val="Compact"/>
        <w:numPr>
          <w:ilvl w:val="0"/>
          <w:numId w:val="8"/>
        </w:numPr>
        <w:rPr/>
      </w:pPr>
      <w:r>
        <w:rPr/>
        <w:t>Fin février 2020, il est réentraîné en ajoutant un mois, puis prévoit mars 2020.</w:t>
      </w:r>
    </w:p>
    <w:p>
      <w:pPr>
        <w:pStyle w:val="Compact"/>
        <w:numPr>
          <w:ilvl w:val="0"/>
          <w:numId w:val="8"/>
        </w:numPr>
        <w:rPr/>
      </w:pPr>
      <w:r>
        <w:rPr/>
        <w:t>L’opération est répétée chaque mois jusqu’à fin juillet 2026 (prévision d’août 2026).</w:t>
      </w:r>
    </w:p>
    <w:p>
      <w:pPr>
        <w:pStyle w:val="FirstParagraph"/>
        <w:rPr/>
      </w:pPr>
      <w:bookmarkStart w:id="138" w:name="validation-glissante"/>
      <w:r>
        <w:rPr/>
        <w:t>La période de test compte 79 mois.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38"/>
    </w:p>
    <w:p>
      <w:pPr>
        <w:pStyle w:val="Heading3"/>
        <w:rPr/>
      </w:pPr>
      <w:bookmarkStart w:id="139" w:name="mesures-de-performance"/>
      <w:r>
        <w:rPr/>
        <w:t>2.6.2 Mesures de performance.</w:t>
      </w:r>
    </w:p>
    <w:p>
      <w:pPr>
        <w:pStyle w:val="CaptionTable"/>
        <w:keepNext w:val="true"/>
        <w:spacing w:lineRule="auto" w:line="240" w:before="120" w:after="80"/>
        <w:jc w:val="left"/>
        <w:rPr/>
      </w:pPr>
      <w:bookmarkStart w:id="140" w:name="__RefHeading___Toc20126_3650217843"/>
      <w:bookmarkEnd w:id="140"/>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gain par rapport à la moyenne historique : positif si le modèle fait mieux, négatif sinon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1583690" cy="71183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1583690" cy="71183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39"/>
    </w:p>
    <w:p>
      <w:pPr>
        <w:pStyle w:val="Heading3"/>
        <w:rPr/>
      </w:pPr>
      <w:bookmarkStart w:id="141" w:name="tests-statistiques"/>
      <w:r>
        <w:rPr/>
        <w:t>2.6.3 Tests statistiques.</w:t>
      </w:r>
    </w:p>
    <w:p>
      <w:pPr>
        <w:pStyle w:val="FirstParagraph"/>
        <w:rPr/>
      </w:pPr>
      <w:r>
        <w:rPr/>
        <w:t>Un modèle peut faire un peu mieux qu’un autre par pur hasard. Pour le savoir, nous utilisons le test de Diebold et Mariano [</w:t>
      </w:r>
      <w:hyperlink w:anchor="ref21">
        <w:r>
          <w:rPr>
            <w:rStyle w:val="Hyperlink"/>
          </w:rPr>
          <w:t>21</w:t>
        </w:r>
      </w:hyperlink>
      <w:r>
        <w:rPr/>
        <w:t>], avec la correction de Harvey, Leybourne et Newbold [</w:t>
      </w:r>
      <w:hyperlink w:anchor="ref30">
        <w:r>
          <w:rPr>
            <w:rStyle w:val="Hyperlink"/>
          </w:rPr>
          <w:t>30</w:t>
        </w:r>
      </w:hyperlink>
      <w:r>
        <w:rPr/>
        <w:t>] pour les petits échantillons. Il nous dit si l’écart d’erreurs entre deux modèles est assez grand pour ne pas être dû au hasard. Nous l’appliquons à trois comparaisons :</w:t>
      </w:r>
    </w:p>
    <w:p>
      <w:pPr>
        <w:pStyle w:val="Compact"/>
        <w:numPr>
          <w:ilvl w:val="0"/>
          <w:numId w:val="31"/>
        </w:numPr>
        <w:rPr/>
      </w:pPr>
      <w:r>
        <w:rPr/>
        <w:t>M1 contre M0 pour chaque modèle (test de l’hypothèse H1) ;</w:t>
      </w:r>
    </w:p>
    <w:p>
      <w:pPr>
        <w:pStyle w:val="Compact"/>
        <w:numPr>
          <w:ilvl w:val="0"/>
          <w:numId w:val="32"/>
        </w:numPr>
        <w:rPr/>
      </w:pPr>
      <w:r>
        <w:rPr/>
        <w:t>chaque modèle contre la prévision « variation nulle » ;</w:t>
      </w:r>
    </w:p>
    <w:p>
      <w:pPr>
        <w:pStyle w:val="Compact"/>
        <w:numPr>
          <w:ilvl w:val="0"/>
          <w:numId w:val="33"/>
        </w:numPr>
        <w:rPr/>
      </w:pPr>
      <w:r>
        <w:rPr/>
        <w:t>forêt aléatoire et XGBoost contre Ridge (hypothèse H3).</w:t>
      </w:r>
    </w:p>
    <w:p>
      <w:pPr>
        <w:pStyle w:val="FirstParagraph"/>
        <w:rPr/>
      </w:pPr>
      <w:r>
        <w:rPr/>
        <w:t xml:space="preserve">Pour deux prévisions concurrentes, dont les erreurs sur les </w:t>
      </w:r>
      <w:r>
        <w:rPr>
          <w:i/>
          <w:iCs/>
        </w:rPr>
        <w:t>T</w:t>
      </w:r>
      <w:r>
        <w:rPr/>
        <w:t xml:space="preserve"> mois de test sont notées </w:t>
      </w:r>
      <w:r>
        <w:rPr>
          <w:i/>
          <w:iCs/>
        </w:rPr>
        <w:t>e</w:t>
      </w:r>
      <w:r>
        <w:rPr/>
        <w:t xml:space="preserve">1 et </w:t>
      </w:r>
      <w:r>
        <w:rPr>
          <w:i/>
          <w:iCs/>
        </w:rPr>
        <w:t>e</w:t>
      </w:r>
      <w:r>
        <w:rPr/>
        <w:t>2, le test porte sur l’écart des erreurs au carré :</w:t>
      </w:r>
    </w:p>
    <w:p>
      <w:pPr>
        <w:pStyle w:val="BodyText"/>
        <w:rPr/>
      </w:pPr>
      <w:r>
        <w:rPr/>
        <w:drawing>
          <wp:inline distT="0" distB="0" distL="0" distR="0">
            <wp:extent cx="4283710" cy="58229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283710" cy="582295"/>
                    </a:xfrm>
                    <a:prstGeom prst="rect">
                      <a:avLst/>
                    </a:prstGeom>
                  </pic:spPr>
                </pic:pic>
              </a:graphicData>
            </a:graphic>
          </wp:inline>
        </w:drawing>
      </w:r>
    </w:p>
    <w:p>
      <w:pPr>
        <w:pStyle w:val="BodyText"/>
        <w:rPr/>
      </w:pPr>
      <w:r>
        <w:rPr/>
        <w:t xml:space="preserve">où le numérateur est la moyenne des écarts </w:t>
      </w:r>
      <w:r>
        <w:rPr>
          <w:i/>
          <w:iCs/>
        </w:rPr>
        <w:t>d</w:t>
      </w:r>
      <w:r>
        <w:rPr/>
        <w:t xml:space="preserve"> et γ̂ leur variance. </w:t>
      </w:r>
      <w:r>
        <w:rPr>
          <w:i/>
          <w:iCs/>
        </w:rPr>
        <w:t>DM</w:t>
      </w:r>
      <w:r>
        <w:rPr/>
        <w:t>* est la statistique corrigée de Harvey, Leybourne et Newbold [</w:t>
      </w:r>
      <w:hyperlink w:anchor="ref30">
        <w:r>
          <w:rPr>
            <w:rStyle w:val="Hyperlink"/>
          </w:rPr>
          <w:t>30</w:t>
        </w:r>
      </w:hyperlink>
      <w:r>
        <w:rPr/>
        <w:t xml:space="preserve">] pour un horizon d’un mois ; elle est comparée à une loi de Student à </w:t>
      </w:r>
      <w:r>
        <w:rPr>
          <w:i/>
          <w:iCs/>
        </w:rPr>
        <w:t>T</w:t>
      </w:r>
      <w:r>
        <w:rPr/>
        <w:t xml:space="preserve"> − 1 degrés de liberté. Pour les horizons plus longs (extension E1), la variance tient compte de l’autocorrélation des écarts (</w:t>
      </w:r>
      <w:r>
        <w:rPr>
          <w:i/>
          <w:iCs/>
        </w:rPr>
        <w:t>h</w:t>
      </w:r>
      <w:r>
        <w:rPr/>
        <w:t xml:space="preserve"> − 1 retards), selon la méthode de Newey et West [</w:t>
      </w:r>
      <w:hyperlink w:anchor="ref38">
        <w:r>
          <w:rPr>
            <w:rStyle w:val="Hyperlink"/>
          </w:rPr>
          <w:t>38</w:t>
        </w:r>
      </w:hyperlink>
      <w:r>
        <w:rPr/>
        <w:t>].</w:t>
      </w:r>
      <w:bookmarkEnd w:id="141"/>
    </w:p>
    <w:p>
      <w:pPr>
        <w:pStyle w:val="Heading3"/>
        <w:rPr/>
      </w:pPr>
      <w:bookmarkStart w:id="142" w:name="importance-des-variables"/>
      <w:r>
        <w:rPr/>
        <w:t>2.6.4 Importance des variables.</w:t>
      </w:r>
    </w:p>
    <w:p>
      <w:pPr>
        <w:pStyle w:val="FirstParagraph"/>
        <w:rPr/>
      </w:pPr>
      <w:r>
        <w:rPr/>
        <w:t>Pour savoir quelles dépenses le modèle utilise le plus (hypothèse H4), nous calculons les valeurs SHAP de XGBoost [</w:t>
      </w:r>
      <w:hyperlink w:anchor="ref34">
        <w:r>
          <w:rPr>
            <w:rStyle w:val="Hyperlink"/>
          </w:rPr>
          <w:t>34</w:t>
        </w:r>
      </w:hyperlink>
      <w:r>
        <w:rPr/>
        <w:t>].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42"/>
    </w:p>
    <w:p>
      <w:pPr>
        <w:pStyle w:val="Heading3"/>
        <w:rPr/>
      </w:pPr>
      <w:bookmarkStart w:id="143"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34"/>
        </w:numPr>
        <w:rPr/>
      </w:pPr>
      <w:r>
        <w:rPr/>
        <w:t>Graine aléatoire : la forêt aléatoire et XGBoost sont réestimés avec 5 et 10 graines différentes.</w:t>
      </w:r>
    </w:p>
    <w:p>
      <w:pPr>
        <w:pStyle w:val="Compact"/>
        <w:numPr>
          <w:ilvl w:val="0"/>
          <w:numId w:val="35"/>
        </w:numPr>
        <w:rPr/>
      </w:pPr>
      <w:r>
        <w:rPr/>
        <w:t>Contrôle positif (puissance) : on ajoute à M0 une variable fictive construite pour avoir une corrélation ρ donnée avec la cible (ρ = 0,1 ; 0,2 ; 0,3 ; 0,5 et 1), avec 10 tirages par valeur (un seul pour ρ = 1, où le résultat ne dépend pas du tirage), pour mesurer ce que le dispositif est capable de détecter.</w:t>
      </w:r>
    </w:p>
    <w:p>
      <w:pPr>
        <w:pStyle w:val="Compact"/>
        <w:numPr>
          <w:ilvl w:val="0"/>
          <w:numId w:val="36"/>
        </w:numPr>
        <w:rPr/>
      </w:pPr>
      <w:r>
        <w:rPr/>
        <w:t>Contrôle négatif : on remplace les sept dépenses par sept variables de pur bruit (20 tirages pour Ridge, 5 pour la forêt, 10 pour XGBoost), pour savoir si les dépenses font mieux que des variables sans information.</w:t>
      </w:r>
    </w:p>
    <w:p>
      <w:pPr>
        <w:pStyle w:val="Compact"/>
        <w:numPr>
          <w:ilvl w:val="0"/>
          <w:numId w:val="37"/>
        </w:numPr>
        <w:rPr/>
      </w:pPr>
      <w:r>
        <w:rPr/>
        <w:t>Décalage de publication : les modèles principaux sont relancés avec un décalage budgétaire de 1 et de 3 mois au lieu de 2.</w:t>
      </w:r>
    </w:p>
    <w:p>
      <w:pPr>
        <w:pStyle w:val="Compact"/>
        <w:numPr>
          <w:ilvl w:val="0"/>
          <w:numId w:val="38"/>
        </w:numPr>
        <w:rPr/>
      </w:pPr>
      <w:bookmarkStart w:id="144" w:name="protocole-dévaluation"/>
      <w:bookmarkStart w:id="145" w:name="contrôles-de-solidité"/>
      <w:r>
        <w:rPr/>
        <w:t>Importance par permutation hors échantillon : sur la période de test, on mélange au hasard les valeurs d’un groupe de variables et on mesure la hausse de l’erreur, avec Ridge et XGBoost.</w:t>
      </w:r>
      <w:bookmarkEnd w:id="144"/>
      <w:bookmarkEnd w:id="145"/>
    </w:p>
    <w:p>
      <w:pPr>
        <w:pStyle w:val="Heading2"/>
        <w:rPr/>
      </w:pPr>
      <w:bookmarkStart w:id="146" w:name="__RefHeading___Toc20028_3650217843"/>
      <w:bookmarkStart w:id="147" w:name="X2874266e848e71ac1567061d5b746f8fddf42e0"/>
      <w:bookmarkEnd w:id="146"/>
      <w:r>
        <w:rPr/>
        <w:t>2.7 Extensions datées avant exécution et correction des tests multiples</w:t>
      </w:r>
    </w:p>
    <w:p>
      <w:pPr>
        <w:pStyle w:val="FirstParagraph"/>
        <w:rPr/>
      </w:pPr>
      <w:r>
        <w:rPr/>
        <w:t>Un résultat pourrait dépendre d’un choix particulier : l’horizon, le modèle, la période. Pour le vérifier, nous avons décliné le protocole principal en vingt extensions, dont dix-neuf ont pu être réalisées (E14 n’a pas pu l’être sur le spread, faute de taux quotidiens ; une version limitée au CAC 40 a été faite après coup, annexe F). Avant de lancer chaque extension, nous avons daté sa liste et son protocole dans l’historique de notre travail, et nous rapportons tous les résultats, favorables ou non.</w:t>
      </w:r>
    </w:p>
    <w:p>
      <w:pPr>
        <w:pStyle w:val="BodyText"/>
        <w:rPr/>
      </w:pPr>
      <w:r>
        <w:rPr/>
        <w:t>Cette précaution répond à un risque bien décrit par Bailey et al. [</w:t>
      </w:r>
      <w:hyperlink w:anchor="ref5">
        <w:r>
          <w:rPr>
            <w:rStyle w:val="Hyperlink"/>
          </w:rPr>
          <w:t>5</w:t>
        </w:r>
      </w:hyperlink>
      <w:r>
        <w:rPr/>
        <w:t>] : à force d’essayer des configurations, on finit toujours par en trouver une qui semble marcher, par hasard.</w:t>
      </w:r>
    </w:p>
    <w:p>
      <w:pPr>
        <w:pStyle w:val="BodyText"/>
        <w:rPr/>
      </w:pPr>
      <w:r>
        <w:rPr/>
        <w:t>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après avoir vu les résultats d’E15 et E16 (pré-enregistrement à 13 h 03, résultats d’E15 et E16 à 12 h 57). E19 et E20 ont été fixées avant la collecte de leurs données. E17 et E18, elles, réutilisent les données du panel d’E15 et E16, déjà collectées : seul leur protocole a été daté avant leur exécution. E18 est donc présentée comme exploratoire, car son idée vient directement d’un résultat d’E15.</w:t>
      </w:r>
    </w:p>
    <w:p>
      <w:pPr>
        <w:pStyle w:val="CaptionTable"/>
        <w:keepNext w:val="true"/>
        <w:spacing w:lineRule="auto" w:line="240" w:before="120" w:after="80"/>
        <w:jc w:val="left"/>
        <w:rPr/>
      </w:pPr>
      <w:bookmarkStart w:id="148" w:name="__RefHeading___Toc20124_3650217843"/>
      <w:bookmarkEnd w:id="148"/>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Deviner le sens est plus facile que l’ampleur ; évaluation par le score de Brier [</w:t>
            </w:r>
            <w:hyperlink w:anchor="ref16">
              <w:r>
                <w:rPr>
                  <w:rStyle w:val="Hyperlink"/>
                  <w:kern w:val="0"/>
                  <w:szCs w:val="24"/>
                  <w:lang w:val="en-US" w:eastAsia="zh-CN" w:bidi="ar-SA"/>
                </w:rPr>
                <w:t>16</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réagit à l’information nouvelle [</w:t>
            </w:r>
            <w:hyperlink w:anchor="ref40">
              <w:r>
                <w:rPr>
                  <w:rStyle w:val="Hyperlink"/>
                  <w:kern w:val="0"/>
                  <w:szCs w:val="24"/>
                  <w:lang w:val="en-US" w:eastAsia="zh-CN" w:bidi="ar-SA"/>
                </w:rPr>
                <w:t>40</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sensibilité aux finances publiques varie dans le temps [</w:t>
            </w:r>
            <w:hyperlink w:anchor="ref1">
              <w:r>
                <w:rPr>
                  <w:rStyle w:val="Hyperlink"/>
                  <w:kern w:val="0"/>
                  <w:szCs w:val="24"/>
                  <w:lang w:val="en-US" w:eastAsia="zh-CN" w:bidi="ar-SA"/>
                </w:rPr>
                <w:t>1</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Campbell et Thompson [</w:t>
            </w:r>
            <w:hyperlink w:anchor="ref17">
              <w:r>
                <w:rPr>
                  <w:rStyle w:val="Hyperlink"/>
                  <w:kern w:val="0"/>
                  <w:szCs w:val="24"/>
                  <w:lang w:val="en-US" w:eastAsia="zh-CN" w:bidi="ar-SA"/>
                </w:rPr>
                <w:t>17</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Robustesse des moyennes de modèles [</w:t>
            </w:r>
            <w:hyperlink w:anchor="ref42">
              <w:r>
                <w:rPr>
                  <w:rStyle w:val="Hyperlink"/>
                  <w:kern w:val="0"/>
                  <w:szCs w:val="24"/>
                  <w:lang w:val="en-US" w:eastAsia="zh-CN" w:bidi="ar-SA"/>
                </w:rPr>
                <w:t>42</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Sélection automatique des variables [</w:t>
            </w:r>
            <w:hyperlink w:anchor="ref45">
              <w:r>
                <w:rPr>
                  <w:rStyle w:val="Hyperlink"/>
                  <w:kern w:val="0"/>
                  <w:szCs w:val="24"/>
                  <w:lang w:val="en-US" w:eastAsia="zh-CN" w:bidi="ar-SA"/>
                </w:rPr>
                <w:t>45</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S’adapter au changement de régime de 2022 [</w:t>
            </w:r>
            <w:hyperlink w:anchor="ref39">
              <w:r>
                <w:rPr>
                  <w:rStyle w:val="Hyperlink"/>
                  <w:kern w:val="0"/>
                  <w:szCs w:val="24"/>
                  <w:lang w:val="en-US" w:eastAsia="zh-CN" w:bidi="ar-SA"/>
                </w:rPr>
                <w:t>39</w:t>
              </w:r>
            </w:hyperlink>
            <w:r>
              <w:rPr>
                <w:kern w:val="0"/>
                <w:sz w:val="20"/>
                <w:szCs w:val="24"/>
                <w:lang w:val="en-US" w:eastAsia="zh-CN" w:bidi="ar-SA"/>
              </w:rP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Étude d’événement autour des dates de publication (non réalisée sur le spread, faute de taux quotidiens ; version préliminaire sur le CAC 40, annexe F)</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Répliquer le cadre de Bouillot et al. [</w:t>
            </w:r>
            <w:hyperlink w:anchor="ref14">
              <w:r>
                <w:rPr>
                  <w:rStyle w:val="Hyperlink"/>
                  <w:kern w:val="0"/>
                  <w:szCs w:val="24"/>
                  <w:lang w:val="en-US" w:eastAsia="zh-CN" w:bidi="ar-SA"/>
                </w:rPr>
                <w:t>14</w:t>
              </w:r>
            </w:hyperlink>
            <w:r>
              <w:rPr>
                <w:kern w:val="0"/>
                <w:sz w:val="20"/>
                <w:szCs w:val="24"/>
                <w:lang w:val="en-US" w:eastAsia="zh-CN" w:bidi="ar-SA"/>
              </w:rPr>
              <w:t>]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Incertitude de politique économique (indice européen de [</w:t>
            </w:r>
            <w:hyperlink w:anchor="ref6">
              <w:r>
                <w:rPr>
                  <w:rStyle w:val="Hyperlink"/>
                  <w:kern w:val="0"/>
                  <w:szCs w:val="24"/>
                  <w:lang w:val="en-US" w:eastAsia="zh-CN" w:bidi="ar-SA"/>
                </w:rPr>
                <w:t>6</w:t>
              </w:r>
            </w:hyperlink>
            <w:r>
              <w:rPr>
                <w:kern w:val="0"/>
                <w:sz w:val="20"/>
                <w:szCs w:val="24"/>
                <w:lang w:val="en-US" w:eastAsia="zh-CN" w:bidi="ar-SA"/>
              </w:rPr>
              <w: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avant l’exécution des extensions.</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49" w:name="correction-des-tests-multiples"/>
      <w:r>
        <w:rPr/>
        <w:t>Correction des tests multiples.</w:t>
      </w:r>
    </w:p>
    <w:p>
      <w:pPr>
        <w:pStyle w:val="FirstParagraph"/>
        <w:rPr/>
      </w:pPr>
      <w:r>
        <w:rPr/>
        <w:t>Avec plus de 150 comparaisons, environ une sur vingt paraîtrait significative au seuil de 5 %, par pur hasard. Nous corrigeons donc toutes les p-values « avec dépenses contre sans dépenses » par la procédure de Benjamini et Hochberg [</w:t>
      </w:r>
      <w:hyperlink w:anchor="ref10">
        <w:r>
          <w:rPr>
            <w:rStyle w:val="Hyperlink"/>
          </w:rPr>
          <w:t>10</w:t>
        </w:r>
      </w:hyperlink>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p>
    <w:p>
      <w:pPr>
        <w:pStyle w:val="BodyText"/>
        <w:rPr/>
      </w:pPr>
      <w:r>
        <w:rPr/>
        <w:t xml:space="preserve">La procédure est la suivante. Les </w:t>
      </w:r>
      <w:r>
        <w:rPr>
          <w:i/>
          <w:iCs/>
        </w:rPr>
        <w:t>m</w:t>
      </w:r>
      <w:r>
        <w:rPr/>
        <w:t xml:space="preserve"> p-values sont classées par ordre croissant, de la plus petite, </w:t>
      </w:r>
      <w:r>
        <w:rPr>
          <w:i/>
          <w:iCs/>
        </w:rPr>
        <w:t>p</w:t>
      </w:r>
      <w:r>
        <w:rPr/>
        <w:t xml:space="preserve">(1), à la plus grande, </w:t>
      </w:r>
      <w:r>
        <w:rPr>
          <w:i/>
          <w:iCs/>
        </w:rPr>
        <w:t>p</w:t>
      </w:r>
      <w:r>
        <w:rPr/>
        <w:t>(</w:t>
      </w:r>
      <w:r>
        <w:rPr>
          <w:i/>
          <w:iCs/>
        </w:rPr>
        <w:t>m</w:t>
      </w:r>
      <w:r>
        <w:rPr/>
        <w:t xml:space="preserve">). On cherche le plus grand rang </w:t>
      </w:r>
      <w:r>
        <w:rPr>
          <w:i/>
          <w:iCs/>
        </w:rPr>
        <w:t>k</w:t>
      </w:r>
      <w:r>
        <w:rPr/>
        <w:t xml:space="preserve"> tel que :</w:t>
      </w:r>
    </w:p>
    <w:p>
      <w:pPr>
        <w:pStyle w:val="BodyText"/>
        <w:rPr/>
      </w:pPr>
      <w:r>
        <w:rPr/>
        <w:drawing>
          <wp:inline distT="0" distB="0" distL="0" distR="0">
            <wp:extent cx="1692275" cy="44323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1692275" cy="443230"/>
                    </a:xfrm>
                    <a:prstGeom prst="rect">
                      <a:avLst/>
                    </a:prstGeom>
                  </pic:spPr>
                </pic:pic>
              </a:graphicData>
            </a:graphic>
          </wp:inline>
        </w:drawing>
      </w:r>
    </w:p>
    <w:p>
      <w:pPr>
        <w:pStyle w:val="BodyText"/>
        <w:rPr/>
      </w:pPr>
      <w:bookmarkStart w:id="150" w:name="X2874266e848e71ac1567061d5b746f8fddf42e0"/>
      <w:bookmarkStart w:id="151" w:name="correction-des-tests-multiples"/>
      <w:r>
        <w:rPr/>
        <w:t>et l’on déclare significatives les k premières comparaisons. De façon équivalente, chaque comparaison reçoit une p-value corrigée, qui est celle rapportée dans nos tableaux ; une comparaison est significative si sa p-value corrigée est inférieure à q. Avec m = 168, une p-value brute doit être au plus de 0,10/168, soit environ 0,0006, pour être retenue quand elle est la plus petite et que toutes les autres sont élevées.</w:t>
      </w:r>
      <w:bookmarkEnd w:id="150"/>
      <w:bookmarkEnd w:id="151"/>
    </w:p>
    <w:p>
      <w:pPr>
        <w:pStyle w:val="Heading2"/>
        <w:rPr/>
      </w:pPr>
      <w:bookmarkStart w:id="152" w:name="__RefHeading___Toc20030_3650217843"/>
      <w:bookmarkStart w:id="153" w:name="considérations-éthiques"/>
      <w:bookmarkEnd w:id="152"/>
      <w:bookmarkEnd w:id="153"/>
      <w:r>
        <w:rPr/>
        <w:t>2.8 Considérations éthiques</w:t>
      </w:r>
    </w:p>
    <w:p>
      <w:pPr>
        <w:pStyle w:val="FirstParagraph"/>
        <w:rPr/>
      </w:pPr>
      <w:r>
        <w:rPr/>
        <w:t>Données.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(manifeste des données).</w:t>
      </w:r>
    </w:p>
    <w:p>
      <w:pPr>
        <w:pStyle w:val="BodyText"/>
        <w:rPr/>
      </w:pPr>
      <w:r>
        <w:rPr/>
        <w:t>Transparence et résultats négatifs. Le code, les données traitées et les résultats sont conservés,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w:t>
      </w:r>
      <w:hyperlink w:anchor="ref5">
        <w:r>
          <w:rPr>
            <w:rStyle w:val="Hyperlink"/>
          </w:rPr>
          <w:t>5</w:t>
        </w:r>
      </w:hyperlink>
      <w:r>
        <w:rPr/>
        <w:t>].</w:t>
      </w:r>
    </w:p>
    <w:p>
      <w:pPr>
        <w:pStyle w:val="BodyText"/>
        <w:rPr/>
      </w:pPr>
      <w:r>
        <w:rPr/>
        <w:t>Usage des résultats.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t>Outils d’intelligence artificielle. Conformément au guide de l’ECE, nous déclarons avoir utilisé un outil d’intelligence artificielle générative (Claude, d’Anthropic) comme assistant pour la programmation, la relecture du code et la rédaction. Le choix du sujet, de la problématique et du périmètre et les décisions de méthode relèvent de l’auteur, qui a relu l’ensemble du texte et en assume la responsabilité.</w:t>
      </w:r>
    </w:p>
    <w:p>
      <w:pPr>
        <w:pStyle w:val="Normal"/>
        <w:rPr/>
      </w:pPr>
      <w:r>
        <w:rPr/>
      </w:r>
      <w:bookmarkStart w:id="154" w:name="chapitre-2-données-et-méthodologie"/>
      <w:bookmarkStart w:id="155" w:name="considérations-éthiques"/>
      <w:bookmarkStart w:id="156" w:name="chapitre-2-données-et-méthodologie"/>
      <w:bookmarkStart w:id="157" w:name="considérations-éthiques"/>
      <w:bookmarkEnd w:id="156"/>
      <w:bookmarkEnd w:id="157"/>
      <w:r>
        <w:br w:type="page"/>
      </w:r>
    </w:p>
    <w:p>
      <w:pPr>
        <w:pStyle w:val="Heading1"/>
        <w:spacing w:before="0" w:after="240"/>
        <w:rPr/>
      </w:pPr>
      <w:bookmarkStart w:id="158" w:name="__RefHeading___Toc20032_3650217843"/>
      <w:bookmarkStart w:id="159" w:name="chapitre-3-résultats"/>
      <w:bookmarkEnd w:id="158"/>
      <w:bookmarkEnd w:id="159"/>
      <w:r>
        <w:rPr/>
        <w:t>Chapitre 3 : Résultats</w:t>
      </w:r>
    </w:p>
    <w:p>
      <w:pPr>
        <w:pStyle w:val="FirstParagraph"/>
        <w:rPr/>
      </w:pPr>
      <w:r>
        <w:rPr/>
        <w:t>Ce chapitre présente les résultats sans les interpréter, ce qui est l’objet du chapitre 4. Il décrit les données (3.1), les performances des modèles principaux (3.2), la solidité de ces résultats (3.3) et l’importance des variables (3.4). Les sections 3.5 et 3.6 résument les dix-neuf extensions réalisées, dont le détail est en annexe, et la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0" w:name="__RefHeading___Toc20034_3650217843"/>
      <w:bookmarkStart w:id="161" w:name="statistiques-descriptives"/>
      <w:bookmarkEnd w:id="160"/>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2" w:name="__RefHeading___Toc20122_3650217843"/>
      <w:bookmarkEnd w:id="162"/>
      <w:r>
        <w:rPr>
          <w:b/>
          <w:bCs/>
          <w:sz w:val="22"/>
        </w:rPr>
        <w:t>Tableau 3.1 : Statistiques des variables cibles (149 mois ; prévisions faites de mars 2014 à juillet 2026)</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3" w:name="__RefHeading___Toc20140_3650217843"/>
      <w:bookmarkEnd w:id="163"/>
      <w:r>
        <w:rPr>
          <w:b/>
          <w:bCs/>
          <w:sz w:val="22"/>
        </w:rPr>
        <w:t>Figure 3.1 : Distribution des trois cibles</w:t>
      </w:r>
    </w:p>
    <w:p>
      <w:pPr>
        <w:pStyle w:val="BodyText"/>
        <w:keepNext w:val="false"/>
        <w:spacing w:lineRule="auto" w:line="240" w:before="40" w:after="240"/>
        <w:jc w:val="left"/>
        <w:rPr/>
      </w:pPr>
      <w:bookmarkStart w:id="164" w:name="statistiques-descriptives"/>
      <w:r>
        <w:rPr>
          <w:i/>
          <w:iCs/>
          <w:sz w:val="20"/>
        </w:rPr>
        <w:t>Source : calculs de l’auteur.</w:t>
      </w:r>
      <w:bookmarkEnd w:id="164"/>
    </w:p>
    <w:p>
      <w:pPr>
        <w:pStyle w:val="Heading2"/>
        <w:rPr/>
      </w:pPr>
      <w:bookmarkStart w:id="165" w:name="__RefHeading___Toc20036_3650217843"/>
      <w:bookmarkStart w:id="166" w:name="modèles-principaux"/>
      <w:bookmarkEnd w:id="165"/>
      <w:r>
        <w:rPr/>
        <w:t>3.2 Modèles principaux</w:t>
      </w:r>
    </w:p>
    <w:p>
      <w:pPr>
        <w:pStyle w:val="FirstParagraph"/>
        <w:rPr/>
      </w:pPr>
      <w:r>
        <w:rPr/>
        <w:t>Aucun modèle ne bat la moyenne historique,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67" w:name="__RefHeading___Toc20120_3650217843"/>
      <w:bookmarkEnd w:id="167"/>
      <w:r>
        <w:rPr>
          <w:b/>
          <w:bCs/>
          <w:sz w:val="22"/>
        </w:rPr>
        <w:t>Tableau 3.2 : R² hors échantillon par rapport à la moyenne historique (%), janvier 2020 à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aucun</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r>
    </w:tbl>
    <w:p>
      <w:pPr>
        <w:pStyle w:val="BodyText"/>
        <w:keepNext w:val="false"/>
        <w:spacing w:lineRule="auto" w:line="240" w:before="40" w:after="240"/>
        <w:jc w:val="left"/>
        <w:rPr/>
      </w:pPr>
      <w:r>
        <w:rPr>
          <w:i/>
          <w:iCs/>
          <w:sz w:val="20"/>
        </w:rPr>
        <w:t>Source : calculs de l’auteur.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68" w:name="__RefHeading___Toc20118_3650217843"/>
      <w:bookmarkEnd w:id="168"/>
      <w:r>
        <w:rPr>
          <w:b/>
          <w:bCs/>
          <w:sz w:val="22"/>
        </w:rPr>
        <w:t>Tableau 3.3 : Tests de Diebold-Mariano (p-values bilatérales)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Comparaison</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198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197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0,97</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0,58</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0,77</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 M1 contre M0</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0,98</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0,63</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0,35</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0,41</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0,18</w:t>
            </w:r>
          </w:p>
        </w:tc>
      </w:tr>
      <w:tr>
        <w:trPr/>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 contre Ridge (M1)</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0,22</w:t>
            </w:r>
          </w:p>
        </w:tc>
        <w:tc>
          <w:tcPr>
            <w:tcW w:w="198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0,06</w:t>
            </w:r>
          </w:p>
        </w:tc>
        <w:tc>
          <w:tcPr>
            <w:tcW w:w="197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0,03 (XGBoost moins bon)</w:t>
            </w:r>
          </w:p>
        </w:tc>
      </w:tr>
    </w:tbl>
    <w:p>
      <w:pPr>
        <w:pStyle w:val="BodyText"/>
        <w:keepNext w:val="false"/>
        <w:spacing w:lineRule="auto" w:line="240" w:before="40" w:after="240"/>
        <w:jc w:val="left"/>
        <w:rPr/>
      </w:pPr>
      <w:r>
        <w:rPr>
          <w:i/>
          <w:iCs/>
          <w:sz w:val="20"/>
        </w:rPr>
        <w:t>Source : calculs de l’auteur.</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69" w:name="__RefHeading___Toc20146_3650217843"/>
      <w:bookmarkEnd w:id="169"/>
      <w:r>
        <w:rPr>
          <w:b/>
          <w:bCs/>
          <w:sz w:val="22"/>
        </w:rPr>
        <w:t>Figure 3.2 : RMSE relatif à la moyenne historique</w:t>
      </w:r>
    </w:p>
    <w:p>
      <w:pPr>
        <w:pStyle w:val="BodyText"/>
        <w:keepNext w:val="false"/>
        <w:spacing w:lineRule="auto" w:line="240" w:before="40" w:after="240"/>
        <w:jc w:val="left"/>
        <w:rPr/>
      </w:pPr>
      <w:bookmarkStart w:id="170" w:name="modèles-principaux"/>
      <w:r>
        <w:rPr>
          <w:i/>
          <w:iCs/>
          <w:sz w:val="20"/>
        </w:rPr>
        <w:t>Source : calculs de l’auteur.</w:t>
      </w:r>
      <w:bookmarkEnd w:id="170"/>
    </w:p>
    <w:p>
      <w:pPr>
        <w:pStyle w:val="Heading2"/>
        <w:rPr/>
      </w:pPr>
      <w:bookmarkStart w:id="171" w:name="__RefHeading___Toc20038_3650217843"/>
      <w:bookmarkStart w:id="172" w:name="solidité-des-résultats"/>
      <w:bookmarkEnd w:id="171"/>
      <w:r>
        <w:rPr/>
        <w:t>3.3 Solidité des résultats</w:t>
      </w:r>
    </w:p>
    <w:p>
      <w:pPr>
        <w:pStyle w:val="FirstParagraph"/>
        <w:rPr/>
      </w:pPr>
      <w:r>
        <w:rPr/>
        <w:t>Quatre contrôles complètent le tableau 3.2 ; un cinquième, la permutation hors échantillon, est présenté en section 3.4. Ils ont été ajoutés après les premiers résultats, lors d’une vérification du code.</w:t>
      </w:r>
    </w:p>
    <w:p>
      <w:pPr>
        <w:pStyle w:val="BodyText"/>
        <w:rPr/>
      </w:pPr>
      <w:r>
        <w:rPr/>
        <w:t>Graine aléatoire.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t>Puissance du test (contrôle positif). Pour savoir si notre dispositif peut détecter un vrai signal, nous avons ajouté à M0 une variable fictive corrélée à la cible (corrélation ρ), avec Ridge et 10 tirages par valeur de ρ, un seul pour ρ = 1 (tableau 3.4).</w:t>
      </w:r>
    </w:p>
    <w:p>
      <w:pPr>
        <w:pStyle w:val="CaptionTable"/>
        <w:keepNext w:val="true"/>
        <w:spacing w:lineRule="auto" w:line="240" w:before="120" w:after="80"/>
        <w:jc w:val="left"/>
        <w:rPr/>
      </w:pPr>
      <w:bookmarkStart w:id="173" w:name="__RefHeading___Toc20116_3650217843"/>
      <w:bookmarkEnd w:id="173"/>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100 %</w:t>
            </w:r>
          </w:p>
        </w:tc>
      </w:tr>
    </w:tbl>
    <w:p>
      <w:pPr>
        <w:pStyle w:val="BodyText"/>
        <w:keepNext w:val="false"/>
        <w:spacing w:lineRule="auto" w:line="240" w:before="40" w:after="240"/>
        <w:jc w:val="left"/>
        <w:rPr/>
      </w:pPr>
      <w:r>
        <w:rPr>
          <w:i/>
          <w:iCs/>
          <w:sz w:val="20"/>
        </w:rPr>
        <w:t>Source : calculs de l’auteur.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t>Contrôle négatif (variables de bruit).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t>Décalage de publication.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bookmarkStart w:id="174" w:name="solidité-des-résultats"/>
      <w:r>
        <w:rPr>
          <w:i/>
          <w:iCs/>
          <w:sz w:val="20"/>
        </w:rPr>
        <w:t>Source : calculs de l’auteur. Le détail des tirages est en annexe.</w:t>
      </w:r>
      <w:bookmarkEnd w:id="174"/>
    </w:p>
    <w:p>
      <w:pPr>
        <w:pStyle w:val="Heading2"/>
        <w:rPr/>
      </w:pPr>
      <w:bookmarkStart w:id="175" w:name="__RefHeading___Toc20040_3650217843"/>
      <w:bookmarkStart w:id="176" w:name="importance-des-variables-1"/>
      <w:bookmarkEnd w:id="175"/>
      <w:r>
        <w:rPr/>
        <w:t>3.4 Importance des variables</w:t>
      </w:r>
    </w:p>
    <w:p>
      <w:pPr>
        <w:pStyle w:val="FirstParagraph"/>
        <w:rPr/>
      </w:pPr>
      <w:r>
        <w:rPr/>
        <w:t>Dans un XGBoost estimé sur tout l’échantillon (jeu M1), les sept variables de dépenses représentent 31 à 37 % de l’importance SHAP totale. Parmi les sept dépenses, les dépenses d’intervention arrivent en tête pour le spread et l’OAT, l’investissement pour le CAC 40.</w:t>
      </w:r>
    </w:p>
    <w:p>
      <w:pPr>
        <w:pStyle w:val="BodyText"/>
        <w:rPr/>
      </w:pPr>
      <w:r>
        <w:rPr/>
        <w:t>Nous avons aussi remplacé les sept dépenses par sept variables de pur bruit, tirées au hasard (10 tirages). Ces variables obtiennent en moyenne 34 à 38 % de l’importance SHAP.</w:t>
      </w:r>
    </w:p>
    <w:p>
      <w:pPr>
        <w:pStyle w:val="CaptionTable"/>
        <w:keepNext w:val="true"/>
        <w:spacing w:lineRule="auto" w:line="240" w:before="120" w:after="80"/>
        <w:jc w:val="left"/>
        <w:rPr/>
      </w:pPr>
      <w:bookmarkStart w:id="177" w:name="__RefHeading___Toc20114_3650217843"/>
      <w:bookmarkEnd w:id="177"/>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Sept variables de bruit (minimum à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34,3 à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26,5 à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 à 46,8</w:t>
            </w:r>
          </w:p>
        </w:tc>
      </w:tr>
    </w:tbl>
    <w:p>
      <w:pPr>
        <w:pStyle w:val="BodyText"/>
        <w:keepNext w:val="false"/>
        <w:spacing w:lineRule="auto" w:line="240" w:before="40" w:after="240"/>
        <w:jc w:val="left"/>
        <w:rPr/>
      </w:pPr>
      <w:r>
        <w:rPr>
          <w:i/>
          <w:iCs/>
          <w:sz w:val="20"/>
        </w:rPr>
        <w:t>Source : calculs de l’auteur.</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avec Ridge et XGBoost sur deux versions de M1, qui servent de repères : l’une avec sept variables de bruit, l’autre avec le signal fictif (ρ = 0,5). On mélange au hasard les valeurs d’un groupe de variables sur la période de test, puis on mesure la hausse de l’erreur. Quand on mélange les sept dépenses dans la version avec bruit, l’erreur n’augmente pas : le RMSE baisse légèrement, de 0,1 % à 2,5 % selon la cible et le modèle. Dans la version avec signal, l’effet des dépenses va de -3,9 % à +0,1 %.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w:t>
      </w:r>
    </w:p>
    <w:p>
      <w:pPr>
        <w:pStyle w:val="BodyText"/>
        <w:rPr/>
      </w:pPr>
      <w:r>
        <w:rPr/>
        <w:drawing>
          <wp:inline distT="0" distB="0" distL="0" distR="0">
            <wp:extent cx="5334000" cy="207835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78" w:name="__RefHeading___Toc20144_3650217843"/>
      <w:bookmarkEnd w:id="178"/>
      <w:r>
        <w:rPr>
          <w:b/>
          <w:bCs/>
          <w:sz w:val="22"/>
        </w:rPr>
        <w:t>Figure 3.3 : Importance SHAP des variables</w:t>
      </w:r>
    </w:p>
    <w:p>
      <w:pPr>
        <w:pStyle w:val="BodyText"/>
        <w:keepNext w:val="false"/>
        <w:spacing w:lineRule="auto" w:line="240" w:before="40" w:after="240"/>
        <w:jc w:val="left"/>
        <w:rPr/>
      </w:pPr>
      <w:bookmarkStart w:id="179" w:name="importance-des-variables-1"/>
      <w:r>
        <w:rPr>
          <w:i/>
          <w:iCs/>
          <w:sz w:val="20"/>
        </w:rPr>
        <w:t>Source : calculs de l’auteur.</w:t>
      </w:r>
      <w:bookmarkEnd w:id="179"/>
    </w:p>
    <w:p>
      <w:pPr>
        <w:pStyle w:val="Heading2"/>
        <w:rPr/>
      </w:pPr>
      <w:bookmarkStart w:id="180" w:name="__RefHeading___Toc20042_3650217843"/>
      <w:bookmarkStart w:id="181" w:name="extensions-sur-les-données-françaises"/>
      <w:bookmarkEnd w:id="180"/>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2" w:name="__RefHeading___Toc20112_3650217843"/>
      <w:bookmarkEnd w:id="182"/>
      <w:r>
        <w:rPr>
          <w:b/>
          <w:bCs/>
          <w:sz w:val="22"/>
        </w:rPr>
        <w:t>Tableau 3.6 : Meilleur R² hors échantillon sans dépenses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E2 Hausse ou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E6 Variables réduites et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 ; -10,8</w:t>
            </w:r>
          </w:p>
        </w:tc>
      </w:tr>
    </w:tbl>
    <w:p>
      <w:pPr>
        <w:pStyle w:val="BodyText"/>
        <w:keepNext w:val="false"/>
        <w:spacing w:lineRule="auto" w:line="240" w:before="40" w:after="240"/>
        <w:jc w:val="left"/>
        <w:rPr/>
      </w:pPr>
      <w:r>
        <w:rPr>
          <w:i/>
          <w:iCs/>
          <w:sz w:val="20"/>
        </w:rPr>
        <w:t>Source : calculs de l’auteur.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Étude d’événement préliminaire. Nous avons retrouvé 40 dates de publication de la situation mensuelle (octobre 2017 à janvier 2026, annexe F). Le jour de la publication, le rendement du CAC 40 n’est pas lié à la variation du solde budgétaire publiée ce jour-là (corrélation de Spearman de -0,13, p = 0,42). Le jour suivant, la corrélation est de 0,00 (p = 0,99), et le rendement absolu moyen les jours de publication (0,70 %) n’est pas plus élevé que sur l’ensemble des jours (0,79 %, p = 0,74). Le spread n’a pas pu être testé, faute de taux quotidiens.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t>Correction pour tests multiples.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3" w:name="__RefHeading___Toc20142_3650217843"/>
      <w:bookmarkEnd w:id="183"/>
      <w:r>
        <w:rPr>
          <w:b/>
          <w:bCs/>
          <w:sz w:val="22"/>
        </w:rPr>
        <w:t>Figure 3.4 : Synthèse des extensions</w:t>
      </w:r>
    </w:p>
    <w:p>
      <w:pPr>
        <w:pStyle w:val="BodyText"/>
        <w:keepNext w:val="false"/>
        <w:spacing w:lineRule="auto" w:line="240" w:before="40" w:after="240"/>
        <w:jc w:val="left"/>
        <w:rPr/>
      </w:pPr>
      <w:bookmarkStart w:id="184" w:name="extensions-sur-les-données-françaises"/>
      <w:r>
        <w:rPr>
          <w:i/>
          <w:iCs/>
          <w:sz w:val="20"/>
        </w:rPr>
        <w:t>Source : calculs de l’auteur.</w:t>
      </w:r>
      <w:bookmarkEnd w:id="184"/>
    </w:p>
    <w:p>
      <w:pPr>
        <w:pStyle w:val="Heading2"/>
        <w:rPr/>
      </w:pPr>
      <w:bookmarkStart w:id="185" w:name="__RefHeading___Toc20044_3650217843"/>
      <w:bookmarkStart w:id="186" w:name="X98da76a2dfe6287c3d8c5b97d63fcea983b716d"/>
      <w:bookmarkEnd w:id="185"/>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t>Panel trimestriel (E15).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t>Réplication élargie de Bouillot et al. (E16). Le panel mensuel compte 150 variables, dont 18 de finances publiques, et 874 prévisions. Sur le niveau du spread, le R² par rapport à la moyenne atteint 92 à 97 % avec les finances publiques. Mais tous les modèles font moins bien que la marche aléatoire, qui prévoit le spread du mois dernier (tableau 3.7). Sur la variation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87" w:name="__RefHeading___Toc20110_3650217843"/>
      <w:bookmarkEnd w:id="187"/>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sans objet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33,6</w:t>
            </w:r>
          </w:p>
        </w:tc>
      </w:tr>
    </w:tbl>
    <w:p>
      <w:pPr>
        <w:pStyle w:val="BodyText"/>
        <w:keepNext w:val="false"/>
        <w:spacing w:lineRule="auto" w:line="240" w:before="40" w:after="240"/>
        <w:jc w:val="left"/>
        <w:rPr/>
      </w:pPr>
      <w:r>
        <w:rPr>
          <w:i/>
          <w:iCs/>
          <w:sz w:val="20"/>
        </w:rPr>
        <w:t>Source : calculs de l’auteur. Test à partir de janvier 2012, 5 pays.</w:t>
      </w:r>
    </w:p>
    <w:p>
      <w:pPr>
        <w:pStyle w:val="BodyText"/>
        <w:rPr/>
      </w:pPr>
      <w:r>
        <w:rPr/>
        <w:t>Panel annuel (E17). Sur 75 prévisions annuelles, tous les modèles font moins bien que la moyenne (R² de -20 % à -338 %) et que la marche aléatoire. La forêt aléatoire avec dépenses est moins mauvaise que sans (-19,8 % contre -45,4 %, p = 0,04 avant correction).</w:t>
      </w:r>
    </w:p>
    <w:p>
      <w:pPr>
        <w:pStyle w:val="BodyText"/>
        <w:rPr/>
      </w:pPr>
      <w:bookmarkStart w:id="188" w:name="X98da76a2dfe6287c3d8c5b97d63fcea983b716d"/>
      <w:r>
        <w:rPr/>
        <w:t>Régime de crise, exploratoire (E18). L’ajout d’interactions entre dépenses et période de tension (spread supérieur à 200 pb) dégrade la prévision pour Ridge (le R² passe de -3,3 % à -19,7 %) et pour XGBoost (de -20,2 % à -26,2 %). La forêt aléatoire passe de -10,4 % à -4,9 % (p = 0,20).</w:t>
      </w:r>
      <w:bookmarkEnd w:id="188"/>
    </w:p>
    <w:p>
      <w:pPr>
        <w:pStyle w:val="Heading2"/>
        <w:rPr/>
      </w:pPr>
      <w:bookmarkStart w:id="189" w:name="__RefHeading___Toc20046_3650217843"/>
      <w:bookmarkStart w:id="190" w:name="synthèse-état-des-hypothèses"/>
      <w:bookmarkEnd w:id="189"/>
      <w:bookmarkEnd w:id="190"/>
      <w:r>
        <w:rPr/>
        <w:t>3.7 Synthèse : état des hypothèses</w:t>
      </w:r>
    </w:p>
    <w:p>
      <w:pPr>
        <w:pStyle w:val="CaptionTable"/>
        <w:keepNext w:val="true"/>
        <w:spacing w:lineRule="auto" w:line="240" w:before="120" w:after="80"/>
        <w:jc w:val="left"/>
        <w:rPr/>
      </w:pPr>
      <w:bookmarkStart w:id="191" w:name="__RefHeading___Toc20108_3650217843"/>
      <w:bookmarkEnd w:id="191"/>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Forêt aléatoire proche de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2" w:name="chapitre-3-résultats"/>
      <w:bookmarkStart w:id="193" w:name="synthèse-état-des-hypothèses"/>
      <w:bookmarkStart w:id="194" w:name="chapitre-3-résultats"/>
      <w:bookmarkStart w:id="195" w:name="synthèse-état-des-hypothèses"/>
      <w:bookmarkEnd w:id="194"/>
      <w:bookmarkEnd w:id="195"/>
      <w:r>
        <w:br w:type="page"/>
      </w:r>
    </w:p>
    <w:p>
      <w:pPr>
        <w:pStyle w:val="Heading1"/>
        <w:spacing w:before="0" w:after="240"/>
        <w:rPr/>
      </w:pPr>
      <w:bookmarkStart w:id="196" w:name="__RefHeading___Toc20048_3650217843"/>
      <w:bookmarkStart w:id="197" w:name="chapitre-4-discussion"/>
      <w:bookmarkEnd w:id="196"/>
      <w:bookmarkEnd w:id="197"/>
      <w:r>
        <w:rPr/>
        <w:t>Chapitre 4 : Discussion</w:t>
      </w:r>
    </w:p>
    <w:p>
      <w:pPr>
        <w:pStyle w:val="BlockText"/>
        <w:rPr/>
      </w:pPr>
      <w:r>
        <w:rPr/>
        <w:t>Statut : version du 2/10 approuvée par l’auteur. Chiffres et références vérifiés.</w:t>
      </w:r>
    </w:p>
    <w:p>
      <w:pPr>
        <w:pStyle w:val="Heading2"/>
        <w:rPr/>
      </w:pPr>
      <w:bookmarkStart w:id="198" w:name="__RefHeading___Toc20050_3650217843"/>
      <w:bookmarkStart w:id="199" w:name="réponse-à-la-problématique"/>
      <w:bookmarkEnd w:id="198"/>
      <w:r>
        <w:rPr/>
        <w:t>4.1 Réponse à la problématique</w:t>
      </w:r>
    </w:p>
    <w:p>
      <w:pPr>
        <w:pStyle w:val="FirstParagraph"/>
        <w:rPr/>
      </w:pPr>
      <w:r>
        <w:rPr/>
        <w:t>Notre question de départ était simple : les données ouvertes de dépenses publiques permettent-elles de prévoir des indicateurs des marchés financiers avec du machine learning ?</w:t>
      </w:r>
    </w:p>
    <w:p>
      <w:pPr>
        <w:pStyle w:val="BodyText"/>
        <w:rPr/>
      </w:pPr>
      <w:r>
        <w:rPr/>
        <w:t xml:space="preserve">Pour la France et à un mois, la réponse est non. Nous ne trouvons </w:t>
      </w:r>
      <w:r>
        <w:rPr>
          <w:b/>
          <w:bCs/>
        </w:rPr>
        <w:t>aucune preuve</w:t>
      </w:r>
      <w:r>
        <w:rPr/>
        <w:t xml:space="preserve"> que les dépenses de l’État aident à prévoir le spread OAT-Bund, le taux OAT ou le CAC 40. Le résultat reste le même avec les trois modèles, avec un décalage de publication d’un, deux ou trois mois, et dans les dix-neuf extensions une fois les tests multiples corrigés.</w:t>
      </w:r>
    </w:p>
    <w:p>
      <w:pPr>
        <w:pStyle w:val="BodyText"/>
        <w:rPr/>
      </w:pPr>
      <w:r>
        <w:rPr/>
        <w:t>Encore faut-il bien lire ce résultat. Nous ne montrons pas que les dépenses n’ont aucun lien avec les marchés. Avec 79 mois de test, un lien faible ou moyen pourrait nous échapper (section 4.3). Nous ne regardons d’ailleurs que l’exécution mensuelle du budget de l’État, ni les annonces budgétaires ni l’ensemble des administrations publiques. C’est pour cela que nous parlons d’absence de preuve plutôt que d’impossibilité : la première formule décrit ce que nos tests montrent, la seconde irait plus loin que ce que nos données permettent de dire.</w:t>
      </w:r>
    </w:p>
    <w:p>
      <w:pPr>
        <w:pStyle w:val="BodyText"/>
        <w:rPr/>
      </w:pPr>
      <w:r>
        <w:rPr/>
        <w:t xml:space="preserve">Un second constat dépasse la question des dépenses : </w:t>
      </w:r>
      <w:r>
        <w:rPr>
          <w:b/>
          <w:bCs/>
        </w:rPr>
        <w:t>aucun modèle ne bat la moyenne historique</w:t>
      </w:r>
      <w:r>
        <w:rPr/>
        <w:t>, même sans elles. Pour les taux, prévoir simplement « pas de variation le mois prochain » fait mieux que la moyenne et mieux que tous nos modèles, même si l’écart n’est significatif que dans quelques cas. À un mois, ces marchés restent très difficiles à prévoir avec les variables dont nous disposons.</w:t>
      </w:r>
      <w:bookmarkEnd w:id="199"/>
    </w:p>
    <w:p>
      <w:pPr>
        <w:pStyle w:val="Heading2"/>
        <w:rPr/>
      </w:pPr>
      <w:bookmarkStart w:id="200" w:name="__RefHeading___Toc20052_3650217843"/>
      <w:bookmarkStart w:id="201" w:name="Xa3067380fc7bd576b8b1c854ef4e984f69f7e19"/>
      <w:bookmarkEnd w:id="200"/>
      <w:r>
        <w:rPr/>
        <w:t>4.2 Pourquoi les dépenses n’aident pas : des pistes</w:t>
      </w:r>
    </w:p>
    <w:p>
      <w:pPr>
        <w:pStyle w:val="FirstParagraph"/>
        <w:rPr/>
      </w:pPr>
      <w:r>
        <w:rPr/>
        <w:t>Plusieurs explications sont possibles, et elles peuvent se cumuler. Aucune n’est démontrée par nos tests, mais certaines sont mieux appuyées que d’autres. Pour chacune, nous indiquons ce qui la soutient et ce qui la limite.</w:t>
      </w:r>
    </w:p>
    <w:p>
      <w:pPr>
        <w:pStyle w:val="Heading3"/>
        <w:rPr/>
      </w:pPr>
      <w:bookmarkStart w:id="202" w:name="linformation-est-peut-être-déjà-connue"/>
      <w:r>
        <w:rPr/>
        <w:t>L’information est peut-être déjà connue.</w:t>
      </w:r>
    </w:p>
    <w:p>
      <w:pPr>
        <w:pStyle w:val="FirstParagraph"/>
        <w:rPr/>
      </w:pPr>
      <w:r>
        <w:rPr/>
        <w:t>Le budget de l’État est voté en décembre pour l’année suivante. Les marchés peuvent donc connaître le plan de dépenses avant même le début de l’année, et la situation mensuelle, publiée deux mois plus tard, ne ferait alors que confirmer ce qui était prévu. Or un prix réagit à ce qui est nouveau, pas à ce qui est attendu [</w:t>
      </w:r>
      <w:hyperlink w:anchor="ref23">
        <w:r>
          <w:rPr>
            <w:rStyle w:val="Hyperlink"/>
          </w:rPr>
          <w:t>23</w:t>
        </w:r>
      </w:hyperlink>
      <w:r>
        <w:rPr/>
        <w:t>]. Ramey [</w:t>
      </w:r>
      <w:hyperlink w:anchor="ref40">
        <w:r>
          <w:rPr>
            <w:rStyle w:val="Hyperlink"/>
          </w:rPr>
          <w:t>40</w:t>
        </w:r>
      </w:hyperlink>
      <w:r>
        <w:rPr/>
        <w:t>] le montre pour les dépenses publiques : ce qui compte est le moment où elles sont annoncées, plus que celui où elles sont engagées. Attinasi et al. [</w:t>
      </w:r>
      <w:hyperlink w:anchor="ref4">
        <w:r>
          <w:rPr>
            <w:rStyle w:val="Hyperlink"/>
          </w:rPr>
          <w:t>4</w:t>
        </w:r>
      </w:hyperlink>
      <w:r>
        <w:rPr/>
        <w:t>] observent la même chose pendant la crise de 2007-2009, où ce sont les annonces de plans de sauvetage bancaire qui ont pesé sur les spreads, pas les montants. Notre extension E4 va dans le même sens : même l’écart entre l’exécution et le budget voté, qui mesure une forme de surprise, n’améliore pas la prévision.</w:t>
      </w:r>
    </w:p>
    <w:p>
      <w:pPr>
        <w:pStyle w:val="BodyText"/>
        <w:rPr/>
      </w:pPr>
      <w:r>
        <w:rPr/>
        <w:t>Une vérification préliminaire, du type étude d’événement [</w:t>
      </w:r>
      <w:hyperlink w:anchor="ref35">
        <w:r>
          <w:rPr>
            <w:rStyle w:val="Hyperlink"/>
          </w:rPr>
          <w:t>35</w:t>
        </w:r>
      </w:hyperlink>
      <w:r>
        <w:rPr/>
        <w:t>], conforte cette idée sans la démontrer. Sur les 40 publications que nous avons pu dater (2017-2026), le CAC 40 ne réagit pas, le jour même, à la variation du solde publiée (corrélation de -0,13, p = 0,42, section 3.5 et annexe F). Ce test ne porte pas sur le spread, faute de taux quotidiens accessibles, et avec si peu d’événements il n’aurait repéré qu’une réaction forte. Le vrai test serait d’observer le spread lui-même le jour de chaque publication (sections 4.7 et 4.8).</w:t>
      </w:r>
      <w:bookmarkEnd w:id="202"/>
    </w:p>
    <w:p>
      <w:pPr>
        <w:pStyle w:val="Heading3"/>
        <w:rPr/>
      </w:pPr>
      <w:bookmarkStart w:id="203" w:name="X57f8577d700eaa38cd6c624300c66f71b06c5e6"/>
      <w:r>
        <w:rPr/>
        <w:t>Ce qui fait bouger le spread n’est pas budgétaire.</w:t>
      </w:r>
    </w:p>
    <w:p>
      <w:pPr>
        <w:pStyle w:val="FirstParagraph"/>
        <w:rPr/>
      </w:pPr>
      <w:bookmarkStart w:id="204" w:name="X57f8577d700eaa38cd6c624300c66f71b06c5e6"/>
      <w:r>
        <w:rPr/>
        <w:t>Les plus fortes variations mensuelles du spread tombent en mars 2020 (+20,5 pb), en février et mai 2017 (+16,3 et −18,1 pb) et en juin 2024 (+15,5 pb). Ce sont les mois du début de la crise du Covid-19, de la campagne présidentielle de 2017 et de l’annonce de la dissolution de l’Assemblée nationale le 9 juin 2024. Ce dernier épisode touche bien aux finances publiques, mais par la politique : les investisseurs craignent qu’une nouvelle majorité ne tienne pas la trajectoire budgétaire. C’est une anticipation sur l’avenir, que l’on ne peut lire dans aucune ligne de dépense déjà exécutée.</w:t>
      </w:r>
      <w:bookmarkEnd w:id="204"/>
    </w:p>
    <w:p>
      <w:pPr>
        <w:pStyle w:val="Heading3"/>
        <w:rPr/>
      </w:pPr>
      <w:bookmarkStart w:id="205" w:name="Xee5accd4cb6f9cc90b6eb7d0615906557623fe5"/>
      <w:r>
        <w:rPr/>
        <w:t>Le retard de publication n’est pas en cause.</w:t>
      </w:r>
    </w:p>
    <w:p>
      <w:pPr>
        <w:pStyle w:val="FirstParagraph"/>
        <w:rPr/>
      </w:pPr>
      <w:bookmarkStart w:id="206" w:name="Xee5accd4cb6f9cc90b6eb7d0615906557623fe5"/>
      <w:r>
        <w:rPr/>
        <w:t>On pourrait penser que les dépenses n’aident pas simplement parce que l’information arrive trop tard, deux mois après les faits. Nous l’avons vérifié : avec un décalage d’un mois seulement, plus favorable aux dépenses, aucun R² ne devient positif (le meilleur vaut -0,7 %) et la plus petite p-value corrigée est de 0,81 (section 3.3). Avec trois mois, elle est de 0,51, et aucun R² n’est positif non plus. Le problème ne tient donc pas à la fraîcheur des chiffres.</w:t>
      </w:r>
      <w:bookmarkEnd w:id="206"/>
    </w:p>
    <w:p>
      <w:pPr>
        <w:pStyle w:val="Heading3"/>
        <w:rPr/>
      </w:pPr>
      <w:bookmarkStart w:id="207" w:name="le-sens-de-leffet-nest-pas-évident"/>
      <w:r>
        <w:rPr/>
        <w:t>Le sens de l’effet n’est pas évident.</w:t>
      </w:r>
    </w:p>
    <w:p>
      <w:pPr>
        <w:pStyle w:val="FirstParagraph"/>
        <w:rPr/>
      </w:pPr>
      <w:r>
        <w:rPr/>
        <w:t>La théorie elle-même ne dit pas dans quel sens les dépenses devraient jouer. Une hausse financée par l’emprunt peut faire monter les taux, comme le prévoit la vision keynésienne, ou rester sans effet si les ménages anticipent les impôts futurs, selon l’équivalence ricardienne de Barro [</w:t>
      </w:r>
      <w:hyperlink w:anchor="ref8">
        <w:r>
          <w:rPr>
            <w:rStyle w:val="Hyperlink"/>
          </w:rPr>
          <w:t>8</w:t>
        </w:r>
      </w:hyperlink>
      <w:r>
        <w:rPr/>
        <w:t>], comme le rappelle la section 1.1.1. Si l’effet change de signe d’une période à l’autre, il peut s’annuler dans un modèle estimé sur toute la période. Nous avons tenté d’en tenir compte avec des interactions selon le régime de taux (E5) et selon les périodes de tension (E18). Elles n’améliorent pas la prévision, mais cela ne prouve pas que l’effet est absent dans chaque régime : chaque sous-période contient trop peu de mois pour en juger.</w:t>
      </w:r>
      <w:bookmarkEnd w:id="207"/>
    </w:p>
    <w:p>
      <w:pPr>
        <w:pStyle w:val="Heading3"/>
        <w:rPr/>
      </w:pPr>
      <w:bookmarkStart w:id="208" w:name="X952ecb90e1181d1b080cd32414e843c34b9ad03"/>
      <w:r>
        <w:rPr/>
        <w:t>Une information lente et tardive pour une cible rapide.</w:t>
      </w:r>
    </w:p>
    <w:p>
      <w:pPr>
        <w:pStyle w:val="FirstParagraph"/>
        <w:rPr/>
      </w:pPr>
      <w:r>
        <w:rPr/>
        <w:t>Les dépenses de l’État reflètent des décisions prises à l’avance et évoluent plus lentement que les marchés, qui réagissent en quelques jours. Nous essayons donc de prévoir un mouvement rapide avec une information lente, qui arrive de surcroît avec deux mois de retard.</w:t>
      </w:r>
    </w:p>
    <w:p>
      <w:pPr>
        <w:pStyle w:val="BodyText"/>
        <w:rPr/>
      </w:pPr>
      <w:r>
        <w:rPr/>
        <w:t>La littérature européenne trouve pourtant un lien entre finances publiques et spreads [</w:t>
      </w:r>
      <w:hyperlink w:anchor="ref11">
        <w:r>
          <w:rPr>
            <w:rStyle w:val="Hyperlink"/>
          </w:rPr>
          <w:t>11</w:t>
        </w:r>
      </w:hyperlink>
      <w:r>
        <w:rPr/>
        <w:t xml:space="preserve">, </w:t>
      </w:r>
      <w:hyperlink w:anchor="ref1">
        <w:r>
          <w:rPr>
            <w:rStyle w:val="Hyperlink"/>
          </w:rPr>
          <w:t>1</w:t>
        </w:r>
      </w:hyperlink>
      <w:r>
        <w:rPr/>
        <w:t>]. Ce n’est pas une contradiction : ces études expliquent le niveau des spreads, en panel et souvent en période de crise, alors que nous cherchons à prévoir la variation du mois suivant, hors échantillon. La France n’a pas connu de crise de la dette sur notre période, contrairement à l’Italie ou à l’Espagne en 2011-2012, et Afonso et al. [</w:t>
      </w:r>
      <w:hyperlink w:anchor="ref1">
        <w:r>
          <w:rPr>
            <w:rStyle w:val="Hyperlink"/>
          </w:rPr>
          <w:t>1</w:t>
        </w:r>
      </w:hyperlink>
      <w:r>
        <w:rPr/>
        <w:t>] montrent que les marchés sanctionnent surtout les finances publiques quand la tension monte. Notre panel trimestriel va un peu dans ce sens : entre 2010 et 2014, ajouter les dépenses améliore le R² de Ridge de 4 points, alors qu’il le dégrade de près de 13 points après 2015 (section 3.6). Ces écarts ne sont toutefois pas testés, et le modèle avec interactions de crise (E18) ne les confirme pas.</w:t>
      </w:r>
      <w:bookmarkEnd w:id="201"/>
      <w:bookmarkEnd w:id="208"/>
    </w:p>
    <w:p>
      <w:pPr>
        <w:pStyle w:val="Heading2"/>
        <w:rPr/>
      </w:pPr>
      <w:bookmarkStart w:id="209" w:name="__RefHeading___Toc20054_3650217843"/>
      <w:bookmarkStart w:id="210" w:name="X4f24273c89b93f863aba17af74a867268801037"/>
      <w:bookmarkEnd w:id="209"/>
      <w:r>
        <w:rPr/>
        <w:t>4.3 Ce que le résultat négatif veut dire, et ce qu’il ne veut pas dire</w:t>
      </w:r>
    </w:p>
    <w:p>
      <w:pPr>
        <w:pStyle w:val="FirstParagraph"/>
        <w:rPr/>
      </w:pPr>
      <w:r>
        <w:rPr/>
        <w:t>Un résultat négatif ne vaut que si l’on sait ce que le test aurait été capable de détecter. Quatre éléments permettent d’en juger.</w:t>
      </w:r>
    </w:p>
    <w:p>
      <w:pPr>
        <w:pStyle w:val="Heading3"/>
        <w:rPr/>
      </w:pPr>
      <w:bookmarkStart w:id="211" w:name="la-puissance-du-test"/>
      <w:r>
        <w:rPr/>
        <w:t>La puissance du test.</w:t>
      </w:r>
    </w:p>
    <w:p>
      <w:pPr>
        <w:pStyle w:val="FirstParagraph"/>
        <w:rPr/>
      </w:pPr>
      <w:bookmarkStart w:id="212" w:name="la-puissance-du-test"/>
      <w:r>
        <w:rPr/>
        <w:t>Le contrôle positif (section 3.3) ajoute à M0 une variable fictive corrélée à la cible. Avec une corrélation de 0,5, le modèle bat la moyenne historique dans 80 à 100 % des tirages ; avec 0,3, dans 20 à 30 % seulement. Notre dispositif repère donc un signal fort, mais il passerait souvent à côté d’un signal moyen. Nos tests écartent un fort pouvoir prédictif des dépenses, pas un effet faible. La raison principale est la taille de l’échantillon : les séries budgétaires ouvertes commencent en 2013, ce qui ne laisse que 79 mois de test, d’autant que nous avons fait commencer le test en 2020 pour garder assez de mois d’entraînement.</w:t>
      </w:r>
      <w:bookmarkEnd w:id="212"/>
    </w:p>
    <w:p>
      <w:pPr>
        <w:pStyle w:val="Heading3"/>
        <w:rPr/>
      </w:pPr>
      <w:bookmarkStart w:id="213" w:name="plus-de-données-suffiraient-elles"/>
      <w:r>
        <w:rPr/>
        <w:t>Plus de données suffiraient-elles ?</w:t>
      </w:r>
    </w:p>
    <w:p>
      <w:pPr>
        <w:pStyle w:val="FirstParagraph"/>
        <w:rPr/>
      </w:pPr>
      <w:bookmarkStart w:id="214" w:name="plus-de-données-suffiraient-elles"/>
      <w:r>
        <w:rPr/>
        <w:t>On pourrait croire qu’il suffirait d’ajouter des données. Nos panels vont plutôt contre cette idée. E15 compte 330 prévisions trimestrielles, E16 en compte 874 avec 150 variables, dont 18 de finances publiques, et les finances publiques n’y améliorent aucune prévision (p de 0,08 à 0,81). Davantage de données rendrait le test plus sensible et permettrait de repérer un effet plus faible. Rien n’indique en revanche qu’elles feraient apparaître un fort pouvoir prédictif que nous n’avons pas trouvé.</w:t>
      </w:r>
      <w:bookmarkEnd w:id="214"/>
    </w:p>
    <w:p>
      <w:pPr>
        <w:pStyle w:val="Heading3"/>
        <w:rPr/>
      </w:pPr>
      <w:bookmarkStart w:id="215" w:name="le-contrôle-négatif"/>
      <w:r>
        <w:rPr/>
        <w:t>Le contrôle négatif.</w:t>
      </w:r>
    </w:p>
    <w:p>
      <w:pPr>
        <w:pStyle w:val="FirstParagraph"/>
        <w:rPr/>
      </w:pPr>
      <w:r>
        <w:rPr/>
        <w:t>Quand on remplace les sept dépenses par sept variables tirées au hasard, 90 à 95 % des tirages de bruit font au moins aussi bien que les vraies dépenses avec Ridge. Les petits écarts entre M1 et M0 ne sont donc pas propres aux dépenses : n’importe quelles variables ajoutées produisent des écarts du même ordre. Ce contrôle change aussi la lecture de l’importance des variables. Les dépenses pèsent 31 à 37 % de l’importance SHAP, ce qui paraît beaucoup, mais du bruit en obtient 34 à 38 %. Une part d’importance élevée dans un modèle d’arbres ne prouve donc pas qu’une variable est utile, d’autant que ces mesures peuvent être biaisées dans les forêts aléatoires [</w:t>
      </w:r>
      <w:hyperlink w:anchor="ref41">
        <w:r>
          <w:rPr>
            <w:rStyle w:val="Hyperlink"/>
          </w:rPr>
          <w:t>41</w:t>
        </w:r>
      </w:hyperlink>
      <w:r>
        <w:rPr/>
        <w:t>].</w:t>
      </w:r>
      <w:bookmarkEnd w:id="215"/>
    </w:p>
    <w:p>
      <w:pPr>
        <w:pStyle w:val="Heading3"/>
        <w:rPr/>
      </w:pPr>
      <w:bookmarkStart w:id="216" w:name="le-choix-de-la-référence"/>
      <w:r>
        <w:rPr/>
        <w:t>Le choix de la référence.</w:t>
      </w:r>
    </w:p>
    <w:p>
      <w:pPr>
        <w:pStyle w:val="FirstParagraph"/>
        <w:rPr/>
      </w:pPr>
      <w:r>
        <w:rPr/>
        <w:t>Pour les taux, la prévision « pas de variation » bat la moyenne historique : la moyenne n’est donc pas la référence la plus exigeante. Le panel trimestriel (E15) montre un autre piège. Son R² de +15 % venait de ce que la cible était une moyenne sur le trimestre, en partie prévisible par construction [</w:t>
      </w:r>
      <w:hyperlink w:anchor="ref44">
        <w:r>
          <w:rPr>
            <w:rStyle w:val="Hyperlink"/>
          </w:rPr>
          <w:t>44</w:t>
        </w:r>
      </w:hyperlink>
      <w:r>
        <w:rPr/>
        <w:t>] ; avec le spread de fin de trimestre, il devient négatif. Un bon score ne suffit pas : il faut le comparer à une référence simple et à du bruit, et vérifier que la cible ne contient pas de régularité mécanique.</w:t>
      </w:r>
      <w:bookmarkEnd w:id="210"/>
      <w:bookmarkEnd w:id="216"/>
    </w:p>
    <w:p>
      <w:pPr>
        <w:pStyle w:val="Heading2"/>
        <w:rPr/>
      </w:pPr>
      <w:bookmarkStart w:id="217" w:name="__RefHeading___Toc20056_3650217843"/>
      <w:bookmarkStart w:id="218" w:name="retour-sur-les-modèles"/>
      <w:bookmarkEnd w:id="217"/>
      <w:r>
        <w:rPr/>
        <w:t>4.4 Retour sur les modèles</w:t>
      </w:r>
    </w:p>
    <w:p>
      <w:pPr>
        <w:pStyle w:val="Heading3"/>
        <w:rPr/>
      </w:pPr>
      <w:bookmarkStart w:id="219" w:name="Xb75d7f737b711701be77f04909b70a2e4ee2040"/>
      <w:r>
        <w:rPr/>
        <w:t>Les arbres ne font pas mieux que Ridge (H3).</w:t>
      </w:r>
    </w:p>
    <w:p>
      <w:pPr>
        <w:pStyle w:val="FirstParagraph"/>
        <w:rPr/>
      </w:pPr>
      <w:r>
        <w:rPr/>
        <w:t>On pouvait espérer que le machine learning trouve des relations non linéaires que la régression ne voit pas. Ce n’est pas le cas : XGBoost est le moins bon des trois modèles et la forêt aléatoire ne fait pas mieux que Ridge. Deux raisons peuvent l’expliquer.</w:t>
      </w:r>
    </w:p>
    <w:p>
      <w:pPr>
        <w:pStyle w:val="BodyText"/>
        <w:rPr/>
      </w:pPr>
      <w:r>
        <w:rPr/>
        <w:t>La première tient au rapport entre le signal et le bruit. Avec 70 à 148 mois d’entraînement et des cibles très bruitées, un modèle flexible peut s’ajuster à des coïncidences de l’échantillon d’apprentissage qui ne se reproduisent pas ensuite. L’instabilité de XGBoost, dont le R² varie d’environ 9 points selon la seule graine aléatoire, va dans ce sens.</w:t>
      </w:r>
    </w:p>
    <w:p>
      <w:pPr>
        <w:pStyle w:val="BodyText"/>
        <w:rPr/>
      </w:pPr>
      <w:r>
        <w:rPr/>
        <w:t>La seconde tient au fonctionnement de Ridge. Quand il ne trouve pas de signal, il augmente sa pénalité et ramène sa prévision vers la moyenne. Pour le CAC 40, la pénalité dépasse 10 000 dans 27 % des mois (M0) à 44 % (M1), et Ridge devient presque la moyenne historique, d’où un R² proche de zéro (−1,3 %). Le « meilleur » modèle est donc celui qui renonce le plus à prévoir. Bouillot et al. [</w:t>
      </w:r>
      <w:hyperlink w:anchor="ref14">
        <w:r>
          <w:rPr>
            <w:rStyle w:val="Hyperlink"/>
          </w:rPr>
          <w:t>14</w:t>
        </w:r>
      </w:hyperlink>
      <w:r>
        <w:rPr/>
        <w:t>] font une observation voisine : pour la Belgique et l’Espagne, une régression pénalisée (LASSO, Elastic Net) a un RMSE plus faible que XGBoost. Le machine learning n’est pas inutile pour autant, mais il lui faut plus d’observations ou un signal plus fort que ce que nos données offrent à un mois.</w:t>
      </w:r>
      <w:bookmarkEnd w:id="219"/>
    </w:p>
    <w:p>
      <w:pPr>
        <w:pStyle w:val="Heading3"/>
        <w:rPr/>
      </w:pPr>
      <w:bookmarkStart w:id="220" w:name="X56eca9362d9a103f13f04ab7928f8f1e9156403"/>
      <w:r>
        <w:rPr/>
        <w:t>L’importance des variables ne dit rien ici (H4).</w:t>
      </w:r>
    </w:p>
    <w:p>
      <w:pPr>
        <w:pStyle w:val="FirstParagraph"/>
        <w:rPr/>
      </w:pPr>
      <w:bookmarkStart w:id="221" w:name="X56eca9362d9a103f13f04ab7928f8f1e9156403"/>
      <w:r>
        <w:rPr/>
        <w:t>Les valeurs SHAP semblaient d’abord donner raison à H4, avec les dépenses d’intervention en tête parmi les dépenses. Mais des variables de pur bruit obtiennent la même part d’importance, et mélanger les dépenses sur la période de test n’augmente pas l’erreur. Un modèle d’arbres utilise toutes les variables qu’on lui donne, même inutiles : il faut toujours comparer leur importance à celle du bruit avant de conclure.</w:t>
      </w:r>
      <w:bookmarkEnd w:id="221"/>
    </w:p>
    <w:p>
      <w:pPr>
        <w:pStyle w:val="Heading3"/>
        <w:rPr/>
      </w:pPr>
      <w:bookmarkStart w:id="222" w:name="ce-qui-reste-prévisible"/>
      <w:r>
        <w:rPr/>
        <w:t>Ce qui reste prévisible.</w:t>
      </w:r>
    </w:p>
    <w:p>
      <w:pPr>
        <w:pStyle w:val="FirstParagraph"/>
        <w:rPr/>
      </w:pPr>
      <w:r>
        <w:rPr/>
        <w:t>Quelques extensions battent la moyenne, sans que les dépenses y apportent un gain significatif : la volatilité (E3 : +9,6 % pour le CAC 40, +3,3 % pour l’OAT), le sens de variation de l’OAT (E2 : score de Brier +2,5 %) et le CAC 40 à 12 mois (E1 : +11,8 %). Ce dernier résultat est fragile, puisqu’il repose sur 68 prévisions qui se chevauchent. Que la volatilité soit en partie prévisible n’a rien d’étonnant : les périodes agitées ont tendance à se suivre [</w:t>
      </w:r>
      <w:hyperlink w:anchor="ref22">
        <w:r>
          <w:rPr>
            <w:rStyle w:val="Hyperlink"/>
          </w:rPr>
          <w:t>22</w:t>
        </w:r>
      </w:hyperlink>
      <w:r>
        <w:rPr/>
        <w:t>]. Ce qui se prévoit un peu semble donc venir des marchés eux-mêmes plus que du budget.</w:t>
      </w:r>
      <w:bookmarkEnd w:id="218"/>
      <w:bookmarkEnd w:id="222"/>
    </w:p>
    <w:p>
      <w:pPr>
        <w:pStyle w:val="Heading2"/>
        <w:rPr/>
      </w:pPr>
      <w:bookmarkStart w:id="223" w:name="__RefHeading___Toc20058_3650217843"/>
      <w:bookmarkStart w:id="224" w:name="comparaison-avec-la-littérature"/>
      <w:bookmarkEnd w:id="223"/>
      <w:r>
        <w:rPr/>
        <w:t>4.5 Comparaison avec la littérature</w:t>
      </w:r>
    </w:p>
    <w:p>
      <w:pPr>
        <w:pStyle w:val="Heading3"/>
        <w:rPr/>
      </w:pPr>
      <w:bookmarkStart w:id="225" w:name="bouillot-candelon-et-kool"/>
      <w:r>
        <w:rPr/>
        <w:t>Bouillot, Candelon et Kool.</w:t>
      </w:r>
    </w:p>
    <w:p>
      <w:pPr>
        <w:pStyle w:val="FirstParagraph"/>
        <w:rPr/>
      </w:pPr>
      <w:r>
        <w:rPr/>
        <w:t>L’étude la plus proche de la nôtre annonce un R² de 0,81 à 0,99 selon les pays (0,86 pour la France) et une erreur de 7,3 points de base pour la France sur 2020-2025 [</w:t>
      </w:r>
      <w:hyperlink w:anchor="ref14">
        <w:r>
          <w:rPr>
            <w:rStyle w:val="Hyperlink"/>
          </w:rPr>
          <w:t>14</w:t>
        </w:r>
      </w:hyperlink>
      <w:r>
        <w:rPr/>
        <w:t>]. Nos résultats semblent contredire les leurs, mais nous ne mesurons pas la même chose. Ces auteurs prévoient le niveau du spread. Or le spread d’un mois ressemble beaucoup à celui du mois précédent, et recopier simplement le dernier spread donne déjà un R² très élevé face à la moyenne. Leur propre analyse montre d’ailleurs que le spread passé domine les prévisions dans tous les pays. Dans la version de leur document de travail que nous avons consultée, les treize méthodes sont comparées entre elles et à la moyenne, mais pas à la marche aléatoire. Le résumé d’une version plus récente indique que l’AR(1) et la marche aléatoire ont des erreurs plus faibles que les modèles de machine learning dans chaque pays, quand ceux-ci sont réestimés à chaque date.</w:t>
      </w:r>
    </w:p>
    <w:p>
      <w:pPr>
        <w:pStyle w:val="BodyText"/>
        <w:rPr/>
      </w:pPr>
      <w:bookmarkStart w:id="226" w:name="bouillot-candelon-et-kool"/>
      <w:r>
        <w:rPr/>
        <w:t>Nos résultats vont dans le même sens. Dans notre panel européen (E16), nous retrouvons un R² de 92 à 97 % sur le niveau du spread, mais tous nos modèles font moins bien que la marche aléatoire (pour XGBoost, une erreur de 21,1 points de base contre 18,4). Sur la France et sur la même période qu’eux (janvier 2020 à février 2025), la marche aléatoire a une erreur de 5,1 points de base dans nos données, contre 7,3 pour leur XGBoost. La comparaison est à prendre avec prudence, car nos séries sont des moyennes mensuelles et leur définition du spread peut être différente. Un R² sur le niveau ne suffit donc pas à juger une prévision : la comparaison à la marche aléatoire est indispensable. Autre point commun, les finances publiques pèsent très peu chez eux aussi, avec une seule variable de finances publiques parmi les cinq plus importantes de chacun des dix pays, soit 50 au total. Notre apport est d’isoler les dépenses en comparant le même modèle avec et sans elles. Sur le machine learning, en revanche, nous ne retrouvons pas leur résultat, puisque XGBoost est le moins bon de nos modèles (H3).</w:t>
      </w:r>
      <w:bookmarkEnd w:id="226"/>
    </w:p>
    <w:p>
      <w:pPr>
        <w:pStyle w:val="Heading3"/>
        <w:rPr/>
      </w:pPr>
      <w:bookmarkStart w:id="227" w:name="welch-et-goyal"/>
      <w:r>
        <w:rPr/>
        <w:t>Welch et Goyal.</w:t>
      </w:r>
    </w:p>
    <w:p>
      <w:pPr>
        <w:pStyle w:val="FirstParagraph"/>
        <w:rPr/>
      </w:pPr>
      <w:r>
        <w:rPr/>
        <w:t>Welch et Goyal [</w:t>
      </w:r>
      <w:hyperlink w:anchor="ref43">
        <w:r>
          <w:rPr>
            <w:rStyle w:val="Hyperlink"/>
          </w:rPr>
          <w:t>43</w:t>
        </w:r>
      </w:hyperlink>
      <w:r>
        <w:rPr/>
        <w:t>] montrent que la plupart des variables proposées pour prévoir la bourse américaine ne battent pas la moyenne historique hors échantillon. Nos résultats sur le CAC 40 vont dans le même sens, et la même difficulté se retrouve pour le spread et le taux OAT à un mois.</w:t>
      </w:r>
      <w:bookmarkEnd w:id="227"/>
    </w:p>
    <w:p>
      <w:pPr>
        <w:pStyle w:val="Heading3"/>
        <w:rPr/>
      </w:pPr>
      <w:bookmarkStart w:id="228" w:name="les-autres-études-européennes"/>
      <w:r>
        <w:rPr/>
        <w:t>Les autres études européennes.</w:t>
      </w:r>
    </w:p>
    <w:p>
      <w:pPr>
        <w:pStyle w:val="FirstParagraph"/>
        <w:rPr/>
      </w:pPr>
      <w:r>
        <w:rPr/>
        <w:t>Afonso et al. [</w:t>
      </w:r>
      <w:hyperlink w:anchor="ref1">
        <w:r>
          <w:rPr>
            <w:rStyle w:val="Hyperlink"/>
          </w:rPr>
          <w:t>1</w:t>
        </w:r>
      </w:hyperlink>
      <w:r>
        <w:rPr/>
        <w:t>] et Bernoth et al. [</w:t>
      </w:r>
      <w:hyperlink w:anchor="ref11">
        <w:r>
          <w:rPr>
            <w:rStyle w:val="Hyperlink"/>
          </w:rPr>
          <w:t>11</w:t>
        </w:r>
      </w:hyperlink>
      <w:r>
        <w:rPr/>
        <w:t>] trouvent un lien entre finances publiques et spreads, mais sur des périodes qui incluent la crise de la dette, et pour expliquer le niveau des spreads (section 4.2). Belly et al. [</w:t>
      </w:r>
      <w:hyperlink w:anchor="ref9">
        <w:r>
          <w:rPr>
            <w:rStyle w:val="Hyperlink"/>
          </w:rPr>
          <w:t>9</w:t>
        </w:r>
      </w:hyperlink>
      <w:r>
        <w:rPr/>
        <w:t>] montrent que le machine learning suit mieux les spreads que les modèles économétriques sur 2004-2019. Leur question porte sur la supériorité d’une famille de modèles, la nôtre sur l’apport d’un bloc de variables. Garlanda-Longueville [</w:t>
      </w:r>
      <w:hyperlink w:anchor="ref26">
        <w:r>
          <w:rPr>
            <w:rStyle w:val="Hyperlink"/>
          </w:rPr>
          <w:t>26</w:t>
        </w:r>
      </w:hyperlink>
      <w:r>
        <w:rPr/>
        <w:t>] observe, en données quotidiennes, un effet des allocutions du président de la République pendant la crise du Covid sur le CAC 40 et sur le spread. Ce résultat rejoint le nôtre : il suggère que ce sont les annonces, suivies au jour le jour, qui font bouger les marchés, plutôt que l’exécution mensuelle publiée deux mois plus tard.</w:t>
      </w:r>
      <w:bookmarkEnd w:id="224"/>
      <w:bookmarkEnd w:id="228"/>
    </w:p>
    <w:p>
      <w:pPr>
        <w:pStyle w:val="Heading2"/>
        <w:rPr/>
      </w:pPr>
      <w:bookmarkStart w:id="229" w:name="__RefHeading___Toc20060_3650217843"/>
      <w:bookmarkStart w:id="230" w:name="implications"/>
      <w:bookmarkEnd w:id="229"/>
      <w:r>
        <w:rPr/>
        <w:t>4.6 Implications</w:t>
      </w:r>
    </w:p>
    <w:p>
      <w:pPr>
        <w:pStyle w:val="FirstParagraph"/>
        <w:rPr/>
      </w:pPr>
      <w:r>
        <w:rPr/>
        <w:t>Pour la recherche, un résultat de prévision devrait toujours être comparé à une référence simple (la moyenne historique et, pour les taux, la variation nulle) et à du bruit. Sans ces repères, un R² élevé sur un niveau ou une forte part d’importance SHAP peuvent faire croire à un pouvoir prédictif qui n’existe pas. Publier aussi les résultats négatifs, avec des contrôles de puissance, évite que la littérature ne retienne que les configurations qui semblent marcher.</w:t>
      </w:r>
    </w:p>
    <w:p>
      <w:pPr>
        <w:pStyle w:val="BodyText"/>
        <w:rPr/>
      </w:pPr>
      <w:r>
        <w:rPr/>
        <w:t>Pour les investisseurs, nos résultats ne donnent aucune raison d’utiliser l’exécution mensuelle du budget de l’État pour prévoir le spread, le taux OAT ou le CAC 40 à un mois. Ils ne disent pas pour autant que les finances publiques sont sans importance pour les marchés : l’information utile se trouve sans doute plutôt dans les annonces et les anticipations.</w:t>
      </w:r>
    </w:p>
    <w:p>
      <w:pPr>
        <w:pStyle w:val="BodyText"/>
        <w:rPr/>
      </w:pPr>
      <w:bookmarkStart w:id="231" w:name="implications"/>
      <w:r>
        <w:rPr/>
        <w:t>Pour les producteurs de données ouvertes, enfin, un calendrier de publication archivé et la conservation des versions successives des chiffres permettraient de travailler avec l’information réellement disponible à chaque date.</w:t>
      </w:r>
      <w:bookmarkEnd w:id="231"/>
    </w:p>
    <w:p>
      <w:pPr>
        <w:pStyle w:val="Heading2"/>
        <w:rPr/>
      </w:pPr>
      <w:bookmarkStart w:id="232" w:name="__RefHeading___Toc20062_3650217843"/>
      <w:bookmarkStart w:id="233" w:name="limites"/>
      <w:bookmarkEnd w:id="232"/>
      <w:r>
        <w:rPr/>
        <w:t>4.7 Limites</w:t>
      </w:r>
    </w:p>
    <w:p>
      <w:pPr>
        <w:pStyle w:val="FirstParagraph"/>
        <w:rPr/>
      </w:pPr>
      <w:r>
        <w:rPr/>
        <w:t>Plusieurs limites tiennent aux données. Nous utilisons la dernière version publiée des situations budgétaires, et non les chiffres connus à chaque date ; ceux de décembre, en particulier, sont d’abord provisoires. Le décalage de publication de deux mois n’est vérifié que sur 2023-2026 et reste une hypothèse pour 2014-2022, même si les résultats ne changent pas avec un décalage d’un ou de trois mois (section 3.3). Les données ne couvrent que le budget de l’État, sans la Sécurité sociale ni les collectivités, et ne sont pas ventilées par mission. Le spread et le taux OAT sont des moyennes du mois (OCDE), alors que le CAC 40 est pris en fin de mois, et les variations de moyennes sont un peu autocorrélées par construction. Enfin, l’écart cumulé des variables budgétaires varie beaucoup plus en fin d’année : son écart-type est en médiane 6,3 fois plus grand en décembre qu’en janvier.</w:t>
      </w:r>
    </w:p>
    <w:p>
      <w:pPr>
        <w:pStyle w:val="BodyText"/>
        <w:rPr/>
      </w:pPr>
      <w:r>
        <w:rPr/>
        <w:t>D’autres limites tiennent à la méthode. Avec 70 à 148 mois d’entraînement et 79 mois de test, seul un effet fort pouvait être détecté, et les écarts de quelques points de R² entre deux modèles ne sont pas interprétables. Les hyperparamètres ont été fixés à des valeurs usuelles, sans réglage sur la période de test, mais le code et les résultats des modèles principaux ont été enregistrés ensemble : nous ne pouvons pas prouver qu’ils ont été choisis avant de voir les résultats, alors que les extensions, elles, ont un plan daté avant leur exécution. Les chiffres de XGBoost et de la forêt aléatoire dépendent aussi des versions des bibliothèques logicielles, même si les conclusions n’en dépendent pas. Les extensions E17 à E20 ont été ajoutées après avoir vu les résultats d’E15 et E16, et E18 est exploratoire. Pour E16, 25 des 68 séries de l’OCDE ne sont plus mises à jour depuis fin 2022 ou début 2024, si bien qu’environ 23 % des valeurs de la fin de la période de test sont complétées. Pour E19, les prix des actions n’incluent pas les dividendes.</w:t>
      </w:r>
    </w:p>
    <w:p>
      <w:pPr>
        <w:pStyle w:val="BodyText"/>
        <w:rPr/>
      </w:pPr>
      <w:bookmarkStart w:id="234" w:name="limites"/>
      <w:r>
        <w:rPr/>
        <w:t>La limite la plus importante pour l’interprétation reste l’absence d’étude d’événement sur le spread. E14 n’a pas pu être réalisée sur le spread, et sa version sur le CAC 40, faite après coup (annexe F), ne repose que sur les 40 publications que nous avons pu dater. L’explication « l’information est déjà connue » (section 4.2) reste donc une hypothèse.</w:t>
      </w:r>
      <w:bookmarkEnd w:id="234"/>
    </w:p>
    <w:p>
      <w:pPr>
        <w:pStyle w:val="Heading2"/>
        <w:rPr/>
      </w:pPr>
      <w:bookmarkStart w:id="235" w:name="__RefHeading___Toc20064_3650217843"/>
      <w:bookmarkStart w:id="236" w:name="recherches-futures"/>
      <w:bookmarkEnd w:id="235"/>
      <w:bookmarkEnd w:id="236"/>
      <w:r>
        <w:rPr/>
        <w:t>4.8 Recherches futures</w:t>
      </w:r>
    </w:p>
    <w:p>
      <w:pPr>
        <w:pStyle w:val="FirstParagraph"/>
        <w:rPr/>
      </w:pPr>
      <w:r>
        <w:rPr/>
        <w:t>La suite la plus directe serait une étude d’événement sur le spread : avec des taux quotidiens et les dates exactes de publication des situations budgétaires, on pourrait mesurer la réaction du marché le jour même et tester directement l’idée que l’information est déjà connue.</w:t>
      </w:r>
    </w:p>
    <w:p>
      <w:pPr>
        <w:pStyle w:val="BodyText"/>
        <w:rPr/>
      </w:pPr>
      <w:r>
        <w:rPr/>
        <w:t>Il serait aussi intéressant d’étudier les annonces plutôt que l’exécution. Le projet de loi de finances, les lois de finances rectificatives et les programmes de stabilité apportent de l’information nouvelle aux marchés. On pourrait les coder comme des surprises, par exemple par l’écart entre le déficit annoncé et les prévisions des économistes.</w:t>
      </w:r>
    </w:p>
    <w:p>
      <w:pPr>
        <w:pStyle w:val="BodyText"/>
        <w:rPr/>
      </w:pPr>
      <w:r>
        <w:rPr/>
        <w:t>Trois autres pistes viendraient compléter ce travail : conserver chaque version publiée des situations budgétaires pour travailler en temps réel ; utiliser un panel de pays plus long, incluant la crise de 2010-2012, avec des cibles de fin de période plutôt que des moyennes ; et s’appuyer sur les données de la commande publique pour relier la dépense aux entreprises qui en bénéficient, ce qui permettrait de mieux tester le canal des actions sectorielles (E19).</w:t>
      </w:r>
    </w:p>
    <w:p>
      <w:pPr>
        <w:pStyle w:val="Normal"/>
        <w:rPr/>
      </w:pPr>
      <w:r>
        <w:rPr/>
      </w:r>
      <w:bookmarkStart w:id="237" w:name="chapitre-4-discussion"/>
      <w:bookmarkStart w:id="238" w:name="recherches-futures"/>
      <w:bookmarkStart w:id="239" w:name="chapitre-4-discussion"/>
      <w:bookmarkStart w:id="240" w:name="recherches-futures"/>
      <w:bookmarkEnd w:id="239"/>
      <w:bookmarkEnd w:id="240"/>
      <w:r>
        <w:br w:type="page"/>
      </w:r>
    </w:p>
    <w:p>
      <w:pPr>
        <w:pStyle w:val="Heading1"/>
        <w:spacing w:before="0" w:after="240"/>
        <w:rPr/>
      </w:pPr>
      <w:bookmarkStart w:id="241" w:name="__RefHeading___Toc20066_3650217843"/>
      <w:bookmarkStart w:id="242" w:name="conclusion-générale"/>
      <w:bookmarkEnd w:id="241"/>
      <w:bookmarkEnd w:id="242"/>
      <w:r>
        <w:rPr/>
        <w:t>Conclusion générale</w:t>
      </w:r>
    </w:p>
    <w:p>
      <w:pPr>
        <w:pStyle w:val="FirstParagraph"/>
        <w:rPr/>
      </w:pPr>
      <w:r>
        <w:rPr/>
        <w:t>Ce mémoire posait une question simple : les données ouvertes de dépenses publiques permettent-elles de prévoir les marchés financiers ? Nous avons construit un jeu de données mensuel à partir des situations budgétaires de l’État français, en respectant leur délai réel de publication, puis comparé des modèles avec et sans dépenses pour trois indicateurs : le spread OAT-Bund, le taux OAT et le CAC 40.</w:t>
      </w:r>
    </w:p>
    <w:p>
      <w:pPr>
        <w:pStyle w:val="Heading2"/>
        <w:rPr/>
      </w:pPr>
      <w:bookmarkStart w:id="243" w:name="__RefHeading___Toc20068_3650217843"/>
      <w:bookmarkStart w:id="244" w:name="principaux-résultats"/>
      <w:bookmarkEnd w:id="243"/>
      <w:r>
        <w:rPr/>
        <w:t>Principaux résultats</w:t>
      </w:r>
    </w:p>
    <w:p>
      <w:pPr>
        <w:pStyle w:val="FirstParagraph"/>
        <w:rPr/>
      </w:pPr>
      <w:r>
        <w:rPr/>
        <w:t>La réponse est non,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il n’y a donc pas d’apport à classer entre les indicateurs (H2, non testable), le machine learning ne fait pas mieux qu’une régression linéaire (H3) et aucune ligne de dépense ne se détache (H4, non soutenue).</w:t>
      </w:r>
    </w:p>
    <w:p>
      <w:pPr>
        <w:pStyle w:val="BodyText"/>
        <w:rPr/>
      </w:pPr>
      <w:bookmarkStart w:id="245" w:name="principaux-résultats"/>
      <w:r>
        <w:rPr/>
        <w:t>Plus généralement, aucun des modèles principaux ne bat la moyenne historique, et pour les taux, la prévision « pas de variation » fait mieux que tous les modèles. À un mois, ces marchés restent très difficiles à prévoir.</w:t>
      </w:r>
      <w:bookmarkEnd w:id="245"/>
    </w:p>
    <w:p>
      <w:pPr>
        <w:pStyle w:val="Heading2"/>
        <w:rPr/>
      </w:pPr>
      <w:bookmarkStart w:id="246" w:name="__RefHeading___Toc20070_3650217843"/>
      <w:bookmarkStart w:id="247" w:name="apports-1"/>
      <w:bookmarkEnd w:id="246"/>
      <w:r>
        <w:rPr/>
        <w:t>Apports</w:t>
      </w:r>
    </w:p>
    <w:p>
      <w:pPr>
        <w:pStyle w:val="FirstParagraph"/>
        <w:rPr/>
      </w:pPr>
      <w:bookmarkStart w:id="248" w:name="apports-1"/>
      <w:r>
        <w:rPr/>
        <w:t>Nous répondons d’abord à une question précise, avec une méthode qui isole l’effet des dépenses, sur un pays peu étudié. Nos contrôles montrent ensuite ce que le dispositif aurait pu détecter (un effet fort, pas forcément un effet faible), et que du pur bruit obtient autant d’importance que les dépenses dans un modèle d’arbres. Enfin, un R² de plus de 90 % sur le niveau du spread, comme dans la littérature récente, peut aller avec une prévision moins bonne que la simple reconduction du dernier spread : la comparaison à une référence naïve est indispensable.</w:t>
      </w:r>
      <w:bookmarkEnd w:id="248"/>
    </w:p>
    <w:p>
      <w:pPr>
        <w:pStyle w:val="Heading2"/>
        <w:rPr/>
      </w:pPr>
      <w:bookmarkStart w:id="249" w:name="__RefHeading___Toc20072_3650217843"/>
      <w:bookmarkStart w:id="250" w:name="limites-1"/>
      <w:bookmarkEnd w:id="249"/>
      <w:r>
        <w:rPr/>
        <w:t>Limites</w:t>
      </w:r>
    </w:p>
    <w:p>
      <w:pPr>
        <w:pStyle w:val="FirstParagraph"/>
        <w:rPr/>
      </w:pPr>
      <w:bookmarkStart w:id="251" w:name="limites-1"/>
      <w:r>
        <w:rPr/>
        <w:t>Quatre limites ressortent. L’échantillon est petit (79 mois de test) et ne permet de détecter qu’un effet fort. Les données budgétaires que nous utilisons sont des chiffres révisés, et non ceux connus à chaque date. La France n’a pas connu de crise de la dette sur la période. Enfin, nous n’avons pas pu faire d’étude d’événement sur le spread, qui aurait permis de tester directement si les marchés réagissent à la publication des chiffres ; une vérification préliminaire sur le CAC 40 ne montre pas de réaction.</w:t>
      </w:r>
      <w:bookmarkEnd w:id="251"/>
    </w:p>
    <w:p>
      <w:pPr>
        <w:pStyle w:val="Heading2"/>
        <w:rPr/>
      </w:pPr>
      <w:bookmarkStart w:id="252" w:name="__RefHeading___Toc20074_3650217843"/>
      <w:bookmarkStart w:id="253" w:name="perspectives"/>
      <w:bookmarkEnd w:id="252"/>
      <w:bookmarkEnd w:id="253"/>
      <w:r>
        <w:rPr/>
        <w:t>Perspectives</w:t>
      </w:r>
    </w:p>
    <w:p>
      <w:pPr>
        <w:pStyle w:val="FirstParagraph"/>
        <w:rPr/>
      </w:pPr>
      <w:r>
        <w:rPr/>
        <w:t>Deux pistes nous semblent prometteuses. La première est une étude d’événement à fréquence quotidienne sur le spread, autour des dates de publication des situations budgétaires. La seconde est d’étudier les annonces budgétaires (projet de loi de finances, programmes de stabilité) plutôt que l’exécution, car c’est à l’annonce que l’information devient nouvelle pour les marchés.</w:t>
      </w:r>
    </w:p>
    <w:p>
      <w:pPr>
        <w:pStyle w:val="BodyText"/>
        <w:rPr/>
      </w:pPr>
      <w:r>
        <w:rPr/>
        <w:t>Ce résultat invite à la prudence. Avec des finances publiques françaises qui inquiètent, il est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54" w:name="conclusion-générale"/>
      <w:bookmarkStart w:id="255" w:name="perspectives"/>
      <w:bookmarkStart w:id="256" w:name="conclusion-générale"/>
      <w:bookmarkStart w:id="257" w:name="perspectives"/>
      <w:bookmarkEnd w:id="256"/>
      <w:bookmarkEnd w:id="257"/>
      <w:r>
        <w:br w:type="page"/>
      </w:r>
    </w:p>
    <w:p>
      <w:pPr>
        <w:pStyle w:val="Heading1"/>
        <w:spacing w:before="0" w:after="240"/>
        <w:rPr/>
      </w:pPr>
      <w:bookmarkStart w:id="258" w:name="__RefHeading___Toc20076_3650217843"/>
      <w:bookmarkStart w:id="259" w:name="références"/>
      <w:bookmarkEnd w:id="258"/>
      <w:bookmarkEnd w:id="259"/>
      <w:r>
        <w:rPr/>
        <w:t>Références</w:t>
      </w:r>
    </w:p>
    <w:p>
      <w:pPr>
        <w:pStyle w:val="Bibliography"/>
        <w:rPr/>
      </w:pPr>
      <w:bookmarkStart w:id="260" w:name="ref1"/>
      <w:bookmarkEnd w:id="260"/>
      <w:r>
        <w:rPr/>
        <w:t xml:space="preserve">[1] Afonso, A., Arghyrou, M. G., &amp; Kontonikas, A. (2015). </w:t>
      </w:r>
      <w:hyperlink r:id="rId12">
        <w:r>
          <w:rPr>
            <w:rStyle w:val="Hyperlink"/>
            <w:i/>
            <w:iCs/>
          </w:rPr>
          <w:t>The determinants of sovereign bond yield spreads in the EMU</w:t>
        </w:r>
      </w:hyperlink>
      <w:r>
        <w:rPr/>
        <w:t>. ECB Working Paper No. 1781.</w:t>
      </w:r>
    </w:p>
    <w:p>
      <w:pPr>
        <w:pStyle w:val="Bibliography"/>
        <w:rPr/>
      </w:pPr>
      <w:bookmarkStart w:id="261" w:name="ref2"/>
      <w:bookmarkEnd w:id="261"/>
      <w:r>
        <w:rPr/>
        <w:t xml:space="preserve">[2] Afonso, A., &amp; Sousa, R. M. (2011). What are the effects of fiscal policy on asset markets? </w:t>
      </w:r>
      <w:r>
        <w:rPr>
          <w:i/>
          <w:iCs/>
        </w:rPr>
        <w:t>Economic Modelling</w:t>
      </w:r>
      <w:r>
        <w:rPr/>
        <w:t xml:space="preserve">, 28(4), 1871–1890. </w:t>
      </w:r>
      <w:hyperlink r:id="rId13">
        <w:r>
          <w:rPr>
            <w:rStyle w:val="Hyperlink"/>
          </w:rPr>
          <w:t>https://doi.org/10.1016/j.econmod.2011.03.018</w:t>
        </w:r>
      </w:hyperlink>
    </w:p>
    <w:p>
      <w:pPr>
        <w:pStyle w:val="Bibliography"/>
        <w:rPr/>
      </w:pPr>
      <w:bookmarkStart w:id="262" w:name="ref3"/>
      <w:bookmarkEnd w:id="262"/>
      <w:r>
        <w:rPr/>
        <w:t xml:space="preserve">[3] Ardagna, S. (2009). Financial markets’ behavior around episodes of large changes in the fiscal stance. </w:t>
      </w:r>
      <w:r>
        <w:rPr>
          <w:i/>
          <w:iCs/>
        </w:rPr>
        <w:t>European Economic Review</w:t>
      </w:r>
      <w:r>
        <w:rPr/>
        <w:t xml:space="preserve">, 53(1), 37–55. </w:t>
      </w:r>
      <w:hyperlink r:id="rId14">
        <w:r>
          <w:rPr>
            <w:rStyle w:val="Hyperlink"/>
          </w:rPr>
          <w:t>https://doi.org/10.1016/j.euroecorev.2008.07.003</w:t>
        </w:r>
      </w:hyperlink>
    </w:p>
    <w:p>
      <w:pPr>
        <w:pStyle w:val="Bibliography"/>
        <w:rPr/>
      </w:pPr>
      <w:bookmarkStart w:id="263" w:name="ref4"/>
      <w:bookmarkEnd w:id="263"/>
      <w:r>
        <w:rPr/>
        <w:t xml:space="preserve">[4] Attinasi, M.-G., Checherita, C., &amp; Nickel, C. (2009). </w:t>
      </w:r>
      <w:r>
        <w:rPr>
          <w:i/>
          <w:iCs/>
        </w:rPr>
        <w:t>What explains the surge in euro area sovereign spreads during the financial crisis of 2007-09?</w:t>
      </w:r>
      <w:r>
        <w:rPr/>
        <w:t xml:space="preserve"> ECB Working Paper No. 1131. </w:t>
      </w:r>
      <w:hyperlink r:id="rId15">
        <w:r>
          <w:rPr>
            <w:rStyle w:val="Hyperlink"/>
          </w:rPr>
          <w:t>https://www.ecb.europa.eu/pub/pdf/scpwps/ecbwp1131.pdf</w:t>
        </w:r>
      </w:hyperlink>
    </w:p>
    <w:p>
      <w:pPr>
        <w:pStyle w:val="Bibliography"/>
        <w:rPr/>
      </w:pPr>
      <w:bookmarkStart w:id="264" w:name="ref5"/>
      <w:bookmarkEnd w:id="264"/>
      <w:r>
        <w:rPr/>
        <w:t xml:space="preserve">[5] Bailey, D. H., Borwein, J. M., López de Prado, M., &amp; Zhu, Q. J. (2014). Pseudo-mathematics and financial charlatanism: The effects of backtest overfitting on out-of-sample performance. </w:t>
      </w:r>
      <w:r>
        <w:rPr>
          <w:i/>
          <w:iCs/>
        </w:rPr>
        <w:t>Notices of the American Mathematical Society</w:t>
      </w:r>
      <w:r>
        <w:rPr/>
        <w:t xml:space="preserve">, 61(5), 458–471. </w:t>
      </w:r>
      <w:hyperlink r:id="rId16">
        <w:r>
          <w:rPr>
            <w:rStyle w:val="Hyperlink"/>
          </w:rPr>
          <w:t>https://doi.org/10.1090/noti1105</w:t>
        </w:r>
      </w:hyperlink>
    </w:p>
    <w:p>
      <w:pPr>
        <w:pStyle w:val="Bibliography"/>
        <w:rPr/>
      </w:pPr>
      <w:bookmarkStart w:id="265" w:name="ref6"/>
      <w:bookmarkEnd w:id="265"/>
      <w:r>
        <w:rPr/>
        <w:t xml:space="preserve">[6] Baker, S. R., Bloom, N., &amp; Davis, S. J. (2016). Measuring economic policy uncertainty. </w:t>
      </w:r>
      <w:r>
        <w:rPr>
          <w:i/>
          <w:iCs/>
        </w:rPr>
        <w:t>The Quarterly Journal of Economics</w:t>
      </w:r>
      <w:r>
        <w:rPr/>
        <w:t xml:space="preserve">, 131(4), 1593–1636. </w:t>
      </w:r>
      <w:hyperlink r:id="rId17">
        <w:r>
          <w:rPr>
            <w:rStyle w:val="Hyperlink"/>
          </w:rPr>
          <w:t>https://doi.org/10.1093/qje/qjw024</w:t>
        </w:r>
      </w:hyperlink>
    </w:p>
    <w:p>
      <w:pPr>
        <w:pStyle w:val="Bibliography"/>
        <w:rPr/>
      </w:pPr>
      <w:bookmarkStart w:id="266" w:name="ref7"/>
      <w:bookmarkEnd w:id="266"/>
      <w:r>
        <w:rPr/>
        <w:t xml:space="preserve">[7] Barbier-Gauchard, A., &amp; Sofianos, E. (2025). </w:t>
      </w:r>
      <w:hyperlink r:id="rId1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bookmarkStart w:id="267" w:name="ref8"/>
      <w:bookmarkEnd w:id="267"/>
      <w:r>
        <w:rPr/>
        <w:t xml:space="preserve">[8] Barro, R. J. (1974). Are government bonds net wealth? </w:t>
      </w:r>
      <w:r>
        <w:rPr>
          <w:i/>
          <w:iCs/>
        </w:rPr>
        <w:t>Journal of Political Economy</w:t>
      </w:r>
      <w:r>
        <w:rPr/>
        <w:t xml:space="preserve">, 82(6), 1095–1117. </w:t>
      </w:r>
      <w:hyperlink r:id="rId19">
        <w:r>
          <w:rPr>
            <w:rStyle w:val="Hyperlink"/>
          </w:rPr>
          <w:t>https://doi.org/10.1086/260266</w:t>
        </w:r>
      </w:hyperlink>
    </w:p>
    <w:p>
      <w:pPr>
        <w:pStyle w:val="Bibliography"/>
        <w:rPr/>
      </w:pPr>
      <w:bookmarkStart w:id="268" w:name="ref9"/>
      <w:bookmarkEnd w:id="268"/>
      <w:r>
        <w:rPr/>
        <w:t xml:space="preserve">[9] Belly, G., Boeckelmann, L., Caicedo Graciano, C. M., Di Iorio, A., Istrefi, K., Siakoulis, V., &amp; Stalla-Bourdillon, A. (2023). </w:t>
      </w:r>
      <w:hyperlink r:id="rId20">
        <w:r>
          <w:rPr>
            <w:rStyle w:val="Hyperlink"/>
          </w:rPr>
          <w:t>Forecasting sovereign risk in the Euro area via machine learning</w:t>
        </w:r>
      </w:hyperlink>
      <w:r>
        <w:rPr/>
        <w:t xml:space="preserve">. </w:t>
      </w:r>
      <w:r>
        <w:rPr>
          <w:i/>
          <w:iCs/>
        </w:rPr>
        <w:t>Journal of Forecasting</w:t>
      </w:r>
      <w:r>
        <w:rPr/>
        <w:t xml:space="preserve">, 42(3), 657–684. </w:t>
      </w:r>
      <w:hyperlink r:id="rId21">
        <w:r>
          <w:rPr>
            <w:rStyle w:val="Hyperlink"/>
          </w:rPr>
          <w:t>https://doi.org/10.1002/for.2938</w:t>
        </w:r>
      </w:hyperlink>
    </w:p>
    <w:p>
      <w:pPr>
        <w:pStyle w:val="Bibliography"/>
        <w:rPr/>
      </w:pPr>
      <w:bookmarkStart w:id="269" w:name="ref10"/>
      <w:bookmarkEnd w:id="269"/>
      <w:r>
        <w:rPr/>
        <w:t xml:space="preserve">[10] Benjamini, Y., &amp; Hochberg, Y. (1995). Controlling the false discovery rate: A practical and powerful approach to multiple testing. </w:t>
      </w:r>
      <w:r>
        <w:rPr>
          <w:i/>
          <w:iCs/>
        </w:rPr>
        <w:t>Journal of the Royal Statistical Society: Series B</w:t>
      </w:r>
      <w:r>
        <w:rPr/>
        <w:t xml:space="preserve">, 57(1), 289–300. </w:t>
      </w:r>
      <w:hyperlink r:id="rId22">
        <w:r>
          <w:rPr>
            <w:rStyle w:val="Hyperlink"/>
          </w:rPr>
          <w:t>https://doi.org/10.1111/j.2517-6161.1995.tb02031.x</w:t>
        </w:r>
      </w:hyperlink>
    </w:p>
    <w:p>
      <w:pPr>
        <w:pStyle w:val="Bibliography"/>
        <w:rPr/>
      </w:pPr>
      <w:bookmarkStart w:id="270" w:name="ref11"/>
      <w:bookmarkEnd w:id="270"/>
      <w:r>
        <w:rPr/>
        <w:t xml:space="preserve">[11] Bernoth, K., von Hagen, J., &amp; Schuknecht, L. (2012). Sovereign risk premiums in the European government bond market. </w:t>
      </w:r>
      <w:r>
        <w:rPr>
          <w:i/>
          <w:iCs/>
        </w:rPr>
        <w:t>Journal of International Money and Finance</w:t>
      </w:r>
      <w:r>
        <w:rPr/>
        <w:t xml:space="preserve">, 31(5), 975–995. </w:t>
      </w:r>
      <w:hyperlink r:id="rId23">
        <w:r>
          <w:rPr>
            <w:rStyle w:val="Hyperlink"/>
          </w:rPr>
          <w:t>https://doi.org/10.1016/j.jimonfin.2011.12.006</w:t>
        </w:r>
      </w:hyperlink>
    </w:p>
    <w:p>
      <w:pPr>
        <w:pStyle w:val="Bibliography"/>
        <w:rPr/>
      </w:pPr>
      <w:bookmarkStart w:id="271" w:name="ref12"/>
      <w:bookmarkEnd w:id="271"/>
      <w:r>
        <w:rPr/>
        <w:t xml:space="preserve">[12] Bianchi, D., Büchner, M., &amp; Tamoni, A. (2021). </w:t>
      </w:r>
      <w:hyperlink r:id="rId24">
        <w:r>
          <w:rPr>
            <w:rStyle w:val="Hyperlink"/>
          </w:rPr>
          <w:t>Bond risk premiums with machine learning</w:t>
        </w:r>
      </w:hyperlink>
      <w:r>
        <w:rPr/>
        <w:t xml:space="preserve">. </w:t>
      </w:r>
      <w:r>
        <w:rPr>
          <w:i/>
          <w:iCs/>
        </w:rPr>
        <w:t>The Review of Financial Studies</w:t>
      </w:r>
      <w:r>
        <w:rPr/>
        <w:t xml:space="preserve">, 34(2), 1046–1089. </w:t>
      </w:r>
      <w:hyperlink r:id="rId25">
        <w:r>
          <w:rPr>
            <w:rStyle w:val="Hyperlink"/>
          </w:rPr>
          <w:t>https://doi.org/10.1093/rfs/hhaa062</w:t>
        </w:r>
      </w:hyperlink>
    </w:p>
    <w:p>
      <w:pPr>
        <w:pStyle w:val="Bibliography"/>
        <w:rPr/>
      </w:pPr>
      <w:bookmarkStart w:id="272" w:name="ref13"/>
      <w:bookmarkEnd w:id="272"/>
      <w:r>
        <w:rPr/>
        <w:t xml:space="preserve">[13] Blanchard, O., &amp; Perotti, R. (2002). An empirical characterization of the dynamic effects of changes in government spending and taxes on output. </w:t>
      </w:r>
      <w:r>
        <w:rPr>
          <w:i/>
          <w:iCs/>
        </w:rPr>
        <w:t>The Quarterly Journal of Economics</w:t>
      </w:r>
      <w:r>
        <w:rPr/>
        <w:t xml:space="preserve">, 117(4), 1329–1368. </w:t>
      </w:r>
      <w:hyperlink r:id="rId26">
        <w:r>
          <w:rPr>
            <w:rStyle w:val="Hyperlink"/>
          </w:rPr>
          <w:t>https://doi.org/10.1162/003355302320935043</w:t>
        </w:r>
      </w:hyperlink>
    </w:p>
    <w:p>
      <w:pPr>
        <w:pStyle w:val="Bibliography"/>
        <w:rPr/>
      </w:pPr>
      <w:bookmarkStart w:id="273" w:name="ref14"/>
      <w:bookmarkEnd w:id="273"/>
      <w:r>
        <w:rPr/>
        <w:t xml:space="preserve">[14] Bouillot, R., Candelon, B., &amp; Kool, C. (2025). </w:t>
      </w:r>
      <w:hyperlink r:id="rId27">
        <w:r>
          <w:rPr>
            <w:rStyle w:val="Hyperlink"/>
            <w:i/>
            <w:iCs/>
          </w:rPr>
          <w:t>Forecasting European sovereign spreads using machine learning</w:t>
        </w:r>
      </w:hyperlink>
      <w:r>
        <w:rPr/>
        <w:t>. LIDAM Discussion Paper LFIN 2025/04, UCLouvain.</w:t>
      </w:r>
    </w:p>
    <w:p>
      <w:pPr>
        <w:pStyle w:val="Bibliography"/>
        <w:rPr/>
      </w:pPr>
      <w:bookmarkStart w:id="274" w:name="ref15"/>
      <w:bookmarkEnd w:id="274"/>
      <w:r>
        <w:rPr/>
        <w:t xml:space="preserve">[15] Breiman, L. (2001). Random forests. </w:t>
      </w:r>
      <w:r>
        <w:rPr>
          <w:i/>
          <w:iCs/>
        </w:rPr>
        <w:t>Machine Learning</w:t>
      </w:r>
      <w:r>
        <w:rPr/>
        <w:t xml:space="preserve">, 45(1), 5–32. </w:t>
      </w:r>
      <w:hyperlink r:id="rId28">
        <w:r>
          <w:rPr>
            <w:rStyle w:val="Hyperlink"/>
          </w:rPr>
          <w:t>https://doi.org/10.1023/A:1010933404324</w:t>
        </w:r>
      </w:hyperlink>
    </w:p>
    <w:p>
      <w:pPr>
        <w:pStyle w:val="Bibliography"/>
        <w:rPr/>
      </w:pPr>
      <w:bookmarkStart w:id="275" w:name="ref16"/>
      <w:bookmarkEnd w:id="275"/>
      <w:r>
        <w:rPr/>
        <w:t xml:space="preserve">[16] Brier, G. W. (1950). Verification of forecasts expressed in terms of probability. </w:t>
      </w:r>
      <w:r>
        <w:rPr>
          <w:i/>
          <w:iCs/>
        </w:rPr>
        <w:t>Monthly Weather Review</w:t>
      </w:r>
      <w:r>
        <w:rPr/>
        <w:t xml:space="preserve">, 78(1), 1–3. </w:t>
      </w:r>
      <w:hyperlink r:id="rId29">
        <w:r>
          <w:rPr>
            <w:rStyle w:val="Hyperlink"/>
          </w:rPr>
          <w:t>https://doi.org/10.1175/1520-0493%281950%29078%3C0001:VOFEIT%3E2.0.CO;2</w:t>
        </w:r>
      </w:hyperlink>
    </w:p>
    <w:p>
      <w:pPr>
        <w:pStyle w:val="Bibliography"/>
        <w:rPr/>
      </w:pPr>
      <w:bookmarkStart w:id="276" w:name="ref17"/>
      <w:bookmarkEnd w:id="276"/>
      <w:r>
        <w:rPr/>
        <w:t xml:space="preserve">[17] Campbell, J. Y., &amp; Thompson, S. B. (2008). Predicting excess stock returns out of sample: Can anything beat the historical average? </w:t>
      </w:r>
      <w:r>
        <w:rPr>
          <w:i/>
          <w:iCs/>
        </w:rPr>
        <w:t>The Review of Financial Studies</w:t>
      </w:r>
      <w:r>
        <w:rPr/>
        <w:t xml:space="preserve">, 21(4), 1509–1531. </w:t>
      </w:r>
      <w:hyperlink r:id="rId30">
        <w:r>
          <w:rPr>
            <w:rStyle w:val="Hyperlink"/>
          </w:rPr>
          <w:t>https://doi.org/10.1093/rfs/hhm055</w:t>
        </w:r>
      </w:hyperlink>
    </w:p>
    <w:p>
      <w:pPr>
        <w:pStyle w:val="Bibliography"/>
        <w:rPr/>
      </w:pPr>
      <w:bookmarkStart w:id="277" w:name="ref18"/>
      <w:bookmarkEnd w:id="277"/>
      <w:r>
        <w:rPr/>
        <w:t xml:space="preserve">[18] Chen, T., &amp; Guestrin, C. (2016). XGBoost: A scalable tree boosting system. </w:t>
      </w:r>
      <w:r>
        <w:rPr>
          <w:i/>
          <w:iCs/>
        </w:rPr>
        <w:t>Proceedings of the 22nd ACM SIGKDD International Conference on Knowledge Discovery and Data Mining</w:t>
      </w:r>
      <w:r>
        <w:rPr/>
        <w:t xml:space="preserve">, 785–794. </w:t>
      </w:r>
      <w:hyperlink r:id="rId31">
        <w:r>
          <w:rPr>
            <w:rStyle w:val="Hyperlink"/>
          </w:rPr>
          <w:t>https://doi.org/10.1145/2939672.2939785</w:t>
        </w:r>
      </w:hyperlink>
    </w:p>
    <w:p>
      <w:pPr>
        <w:pStyle w:val="Bibliography"/>
        <w:rPr/>
      </w:pPr>
      <w:bookmarkStart w:id="278" w:name="ref19"/>
      <w:bookmarkEnd w:id="278"/>
      <w:r>
        <w:rPr/>
        <w:t xml:space="preserve">[19] Croushore, D. (2011). Frontiers of real-time data analysis. </w:t>
      </w:r>
      <w:r>
        <w:rPr>
          <w:i/>
          <w:iCs/>
        </w:rPr>
        <w:t>Journal of Economic Literature</w:t>
      </w:r>
      <w:r>
        <w:rPr/>
        <w:t xml:space="preserve">, 49(1), 72–100. </w:t>
      </w:r>
      <w:hyperlink r:id="rId32">
        <w:r>
          <w:rPr>
            <w:rStyle w:val="Hyperlink"/>
          </w:rPr>
          <w:t>https://doi.org/10.1257/jel.49.1.72</w:t>
        </w:r>
      </w:hyperlink>
    </w:p>
    <w:p>
      <w:pPr>
        <w:pStyle w:val="Bibliography"/>
        <w:rPr/>
      </w:pPr>
      <w:bookmarkStart w:id="279" w:name="ref20"/>
      <w:bookmarkEnd w:id="279"/>
      <w:r>
        <w:rPr/>
        <w:t xml:space="preserve">[20] Dickey, D. A., &amp; Fuller, W. A. (1979). Distribution of the estimators for autoregressive time series with a unit root. </w:t>
      </w:r>
      <w:r>
        <w:rPr>
          <w:i/>
          <w:iCs/>
        </w:rPr>
        <w:t>Journal of the American Statistical Association</w:t>
      </w:r>
      <w:r>
        <w:rPr/>
        <w:t xml:space="preserve">, 74(366), 427–431. </w:t>
      </w:r>
      <w:hyperlink r:id="rId33">
        <w:r>
          <w:rPr>
            <w:rStyle w:val="Hyperlink"/>
          </w:rPr>
          <w:t>https://doi.org/10.2307/2286348</w:t>
        </w:r>
      </w:hyperlink>
    </w:p>
    <w:p>
      <w:pPr>
        <w:pStyle w:val="Bibliography"/>
        <w:rPr/>
      </w:pPr>
      <w:bookmarkStart w:id="280" w:name="ref21"/>
      <w:bookmarkEnd w:id="280"/>
      <w:r>
        <w:rPr/>
        <w:t xml:space="preserve">[21] Diebold, F. X., &amp; Mariano, R. S. (1995). Comparing predictive accuracy. </w:t>
      </w:r>
      <w:r>
        <w:rPr>
          <w:i/>
          <w:iCs/>
        </w:rPr>
        <w:t>Journal of Business &amp; Economic Statistics</w:t>
      </w:r>
      <w:r>
        <w:rPr/>
        <w:t xml:space="preserve">, 13(3), 253–263. </w:t>
      </w:r>
      <w:hyperlink r:id="rId34">
        <w:r>
          <w:rPr>
            <w:rStyle w:val="Hyperlink"/>
          </w:rPr>
          <w:t>https://doi.org/10.1080/07350015.1995.10524599</w:t>
        </w:r>
      </w:hyperlink>
    </w:p>
    <w:p>
      <w:pPr>
        <w:pStyle w:val="Bibliography"/>
        <w:rPr/>
      </w:pPr>
      <w:bookmarkStart w:id="281" w:name="ref22"/>
      <w:bookmarkEnd w:id="281"/>
      <w:r>
        <w:rPr/>
        <w:t xml:space="preserve">[22] Engle, R. F. (1982). Autoregressive conditional heteroscedasticity with estimates of the variance of United Kingdom inflation. </w:t>
      </w:r>
      <w:r>
        <w:rPr>
          <w:i/>
          <w:iCs/>
        </w:rPr>
        <w:t>Econometrica</w:t>
      </w:r>
      <w:r>
        <w:rPr/>
        <w:t xml:space="preserve">, 50(4), 987–1007. </w:t>
      </w:r>
      <w:hyperlink r:id="rId35">
        <w:r>
          <w:rPr>
            <w:rStyle w:val="Hyperlink"/>
          </w:rPr>
          <w:t>https://doi.org/10.2307/1912773</w:t>
        </w:r>
      </w:hyperlink>
    </w:p>
    <w:p>
      <w:pPr>
        <w:pStyle w:val="Bibliography"/>
        <w:rPr/>
      </w:pPr>
      <w:bookmarkStart w:id="282" w:name="ref23"/>
      <w:bookmarkEnd w:id="282"/>
      <w:r>
        <w:rPr/>
        <w:t xml:space="preserve">[23] Fama, E. F. (1970). Efficient capital markets: A review of theory and empirical work. </w:t>
      </w:r>
      <w:r>
        <w:rPr>
          <w:i/>
          <w:iCs/>
        </w:rPr>
        <w:t>The Journal of Finance</w:t>
      </w:r>
      <w:r>
        <w:rPr/>
        <w:t xml:space="preserve">, 25(2), 383–417. </w:t>
      </w:r>
      <w:hyperlink r:id="rId36">
        <w:r>
          <w:rPr>
            <w:rStyle w:val="Hyperlink"/>
          </w:rPr>
          <w:t>https://doi.org/10.1111/j.1540-6261.1970.tb00518.x</w:t>
        </w:r>
      </w:hyperlink>
    </w:p>
    <w:p>
      <w:pPr>
        <w:pStyle w:val="Bibliography"/>
        <w:rPr/>
      </w:pPr>
      <w:bookmarkStart w:id="283" w:name="ref24"/>
      <w:bookmarkEnd w:id="283"/>
      <w:r>
        <w:rPr/>
        <w:t xml:space="preserve">[24] Favero, C. A. (2013). </w:t>
      </w:r>
      <w:hyperlink r:id="rId37">
        <w:r>
          <w:rPr>
            <w:rStyle w:val="Hyperlink"/>
          </w:rPr>
          <w:t>Modelling and forecasting government bond spreads in the euro area: A GVAR model</w:t>
        </w:r>
      </w:hyperlink>
      <w:r>
        <w:rPr/>
        <w:t xml:space="preserve">. </w:t>
      </w:r>
      <w:r>
        <w:rPr>
          <w:i/>
          <w:iCs/>
        </w:rPr>
        <w:t>Journal of Econometrics</w:t>
      </w:r>
      <w:r>
        <w:rPr/>
        <w:t xml:space="preserve">, 177(2), 343–356. </w:t>
      </w:r>
      <w:hyperlink r:id="rId38">
        <w:r>
          <w:rPr>
            <w:rStyle w:val="Hyperlink"/>
          </w:rPr>
          <w:t>https://doi.org/10.1016/j.jeconom.2013.04.004</w:t>
        </w:r>
      </w:hyperlink>
    </w:p>
    <w:p>
      <w:pPr>
        <w:pStyle w:val="Bibliography"/>
        <w:rPr/>
      </w:pPr>
      <w:bookmarkStart w:id="284" w:name="ref25"/>
      <w:bookmarkEnd w:id="284"/>
      <w:r>
        <w:rPr/>
        <w:t xml:space="preserve">[25] Fischer, T., &amp; Krauss, C. (2018). Deep learning with long short-term memory networks for financial market predictions. </w:t>
      </w:r>
      <w:r>
        <w:rPr>
          <w:i/>
          <w:iCs/>
        </w:rPr>
        <w:t>European Journal of Operational Research</w:t>
      </w:r>
      <w:r>
        <w:rPr/>
        <w:t xml:space="preserve">, 270(2), 654–669. </w:t>
      </w:r>
      <w:hyperlink r:id="rId39">
        <w:r>
          <w:rPr>
            <w:rStyle w:val="Hyperlink"/>
          </w:rPr>
          <w:t>https://doi.org/10.1016/j.ejor.2017.11.054</w:t>
        </w:r>
      </w:hyperlink>
    </w:p>
    <w:p>
      <w:pPr>
        <w:pStyle w:val="Bibliography"/>
        <w:rPr/>
      </w:pPr>
      <w:bookmarkStart w:id="285" w:name="ref26"/>
      <w:bookmarkEnd w:id="285"/>
      <w:r>
        <w:rPr/>
        <w:t xml:space="preserve">[26] Garlanda-Longueville, L. (2023). </w:t>
      </w:r>
      <w:hyperlink r:id="rId40">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bookmarkStart w:id="286" w:name="ref27"/>
      <w:bookmarkEnd w:id="286"/>
      <w:r>
        <w:rPr/>
        <w:t xml:space="preserve">[27] Giannone, D., Reichlin, L., &amp; Small, D. (2008). Nowcasting: The real-time informational content of macroeconomic data. </w:t>
      </w:r>
      <w:r>
        <w:rPr>
          <w:i/>
          <w:iCs/>
        </w:rPr>
        <w:t>Journal of Monetary Economics</w:t>
      </w:r>
      <w:r>
        <w:rPr/>
        <w:t xml:space="preserve">, 55(4), 665–676. </w:t>
      </w:r>
      <w:hyperlink r:id="rId41">
        <w:r>
          <w:rPr>
            <w:rStyle w:val="Hyperlink"/>
          </w:rPr>
          <w:t>https://doi.org/10.1016/j.jmoneco.2008.05.010</w:t>
        </w:r>
      </w:hyperlink>
    </w:p>
    <w:p>
      <w:pPr>
        <w:pStyle w:val="Bibliography"/>
        <w:rPr/>
      </w:pPr>
      <w:bookmarkStart w:id="287" w:name="ref28"/>
      <w:bookmarkEnd w:id="287"/>
      <w:r>
        <w:rPr/>
        <w:t xml:space="preserve">[28] Goulet Coulombe, P., Leroux, M., Stevanovic, D., &amp; Surprenant, S. (2022). How is machine learning useful for macroeconomic forecasting? </w:t>
      </w:r>
      <w:r>
        <w:rPr>
          <w:i/>
          <w:iCs/>
        </w:rPr>
        <w:t>Journal of Applied Econometrics</w:t>
      </w:r>
      <w:r>
        <w:rPr/>
        <w:t xml:space="preserve">, 37(5), 920–964. </w:t>
      </w:r>
      <w:hyperlink r:id="rId42">
        <w:r>
          <w:rPr>
            <w:rStyle w:val="Hyperlink"/>
          </w:rPr>
          <w:t>https://doi.org/10.1002/jae.2910</w:t>
        </w:r>
      </w:hyperlink>
    </w:p>
    <w:p>
      <w:pPr>
        <w:pStyle w:val="Bibliography"/>
        <w:rPr/>
      </w:pPr>
      <w:bookmarkStart w:id="288" w:name="ref29"/>
      <w:bookmarkEnd w:id="288"/>
      <w:r>
        <w:rPr/>
        <w:t xml:space="preserve">[29] Gu, S., Kelly, B., &amp; Xiu, D. (2020). Empirical asset pricing via machine learning. </w:t>
      </w:r>
      <w:r>
        <w:rPr>
          <w:i/>
          <w:iCs/>
        </w:rPr>
        <w:t>The Review of Financial Studies</w:t>
      </w:r>
      <w:r>
        <w:rPr/>
        <w:t xml:space="preserve">, 33(5), 2223–2273. </w:t>
      </w:r>
      <w:hyperlink r:id="rId43">
        <w:r>
          <w:rPr>
            <w:rStyle w:val="Hyperlink"/>
          </w:rPr>
          <w:t>https://doi.org/10.1093/rfs/hhaa009</w:t>
        </w:r>
      </w:hyperlink>
    </w:p>
    <w:p>
      <w:pPr>
        <w:pStyle w:val="Bibliography"/>
        <w:rPr/>
      </w:pPr>
      <w:bookmarkStart w:id="289" w:name="ref30"/>
      <w:bookmarkEnd w:id="289"/>
      <w:r>
        <w:rPr/>
        <w:t xml:space="preserve">[30] Harvey, D., Leybourne, S., &amp; Newbold, P. (1997). Testing the equality of prediction mean squared errors. </w:t>
      </w:r>
      <w:r>
        <w:rPr>
          <w:i/>
          <w:iCs/>
        </w:rPr>
        <w:t>International Journal of Forecasting</w:t>
      </w:r>
      <w:r>
        <w:rPr/>
        <w:t xml:space="preserve">, 13(2), 281–291. </w:t>
      </w:r>
      <w:hyperlink r:id="rId44">
        <w:r>
          <w:rPr>
            <w:rStyle w:val="Hyperlink"/>
          </w:rPr>
          <w:t>https://doi.org/10.1016/S0169-2070(96)00719-4</w:t>
        </w:r>
      </w:hyperlink>
    </w:p>
    <w:p>
      <w:pPr>
        <w:pStyle w:val="Bibliography"/>
        <w:rPr/>
      </w:pPr>
      <w:bookmarkStart w:id="290" w:name="ref31"/>
      <w:bookmarkEnd w:id="290"/>
      <w:r>
        <w:rPr/>
        <w:t xml:space="preserve">[31] Hoerl, A. E., &amp; Kennard, R. W. (1970). Ridge regression: Biased estimation for nonorthogonal problems. </w:t>
      </w:r>
      <w:r>
        <w:rPr>
          <w:i/>
          <w:iCs/>
        </w:rPr>
        <w:t>Technometrics</w:t>
      </w:r>
      <w:r>
        <w:rPr/>
        <w:t xml:space="preserve">, 12(1), 55–67. </w:t>
      </w:r>
      <w:hyperlink r:id="rId45">
        <w:r>
          <w:rPr>
            <w:rStyle w:val="Hyperlink"/>
          </w:rPr>
          <w:t>https://doi.org/10.1080/00401706.1970.10488634</w:t>
        </w:r>
      </w:hyperlink>
    </w:p>
    <w:p>
      <w:pPr>
        <w:pStyle w:val="Bibliography"/>
        <w:rPr/>
      </w:pPr>
      <w:bookmarkStart w:id="291" w:name="ref32"/>
      <w:bookmarkEnd w:id="291"/>
      <w:r>
        <w:rPr/>
        <w:t xml:space="preserve">[32] Janssen, M., Charalabidis, Y., &amp; Zuiderwijk, A. (2012). Benefits, adoption barriers and myths of open data and open government. </w:t>
      </w:r>
      <w:r>
        <w:rPr>
          <w:i/>
          <w:iCs/>
        </w:rPr>
        <w:t>Information Systems Management</w:t>
      </w:r>
      <w:r>
        <w:rPr/>
        <w:t xml:space="preserve">, 29(4), 258–268. </w:t>
      </w:r>
      <w:hyperlink r:id="rId46">
        <w:r>
          <w:rPr>
            <w:rStyle w:val="Hyperlink"/>
          </w:rPr>
          <w:t>https://doi.org/10.1080/10580530.2012.716740</w:t>
        </w:r>
      </w:hyperlink>
    </w:p>
    <w:p>
      <w:pPr>
        <w:pStyle w:val="Bibliography"/>
        <w:rPr/>
      </w:pPr>
      <w:bookmarkStart w:id="292" w:name="ref33"/>
      <w:bookmarkEnd w:id="292"/>
      <w:r>
        <w:rPr/>
        <w:t xml:space="preserve">[33] Laubach, T. (2009). New evidence on the interest rate effects of budget deficits and debt. </w:t>
      </w:r>
      <w:r>
        <w:rPr>
          <w:i/>
          <w:iCs/>
        </w:rPr>
        <w:t>Journal of the European Economic Association</w:t>
      </w:r>
      <w:r>
        <w:rPr/>
        <w:t xml:space="preserve">, 7(4), 858–885. </w:t>
      </w:r>
      <w:hyperlink r:id="rId47">
        <w:r>
          <w:rPr>
            <w:rStyle w:val="Hyperlink"/>
          </w:rPr>
          <w:t>https://doi.org/10.1162/jeea.2009.7.4.858</w:t>
        </w:r>
      </w:hyperlink>
    </w:p>
    <w:p>
      <w:pPr>
        <w:pStyle w:val="Bibliography"/>
        <w:rPr/>
      </w:pPr>
      <w:bookmarkStart w:id="293" w:name="ref34"/>
      <w:bookmarkEnd w:id="293"/>
      <w:r>
        <w:rPr/>
        <w:t xml:space="preserve">[34] Lundberg, S. M., &amp; Lee, S.-I. (2017). A unified approach to interpreting model predictions. </w:t>
      </w:r>
      <w:r>
        <w:rPr>
          <w:i/>
          <w:iCs/>
        </w:rPr>
        <w:t>Advances in Neural Information Processing Systems</w:t>
      </w:r>
      <w:r>
        <w:rPr/>
        <w:t xml:space="preserve">, 30. </w:t>
      </w:r>
      <w:hyperlink r:id="rId48">
        <w:r>
          <w:rPr>
            <w:rStyle w:val="Hyperlink"/>
          </w:rPr>
          <w:t>https://papers.nips.cc/paper/2017/hash/8a20a8621978632d76c43dfd28b67767-Abstract.html</w:t>
        </w:r>
      </w:hyperlink>
    </w:p>
    <w:p>
      <w:pPr>
        <w:pStyle w:val="Bibliography"/>
        <w:rPr/>
      </w:pPr>
      <w:bookmarkStart w:id="294" w:name="ref35"/>
      <w:bookmarkEnd w:id="294"/>
      <w:r>
        <w:rPr/>
        <w:t xml:space="preserve">[35] MacKinlay, A. C. (1997). Event studies in economics and finance. </w:t>
      </w:r>
      <w:r>
        <w:rPr>
          <w:i/>
          <w:iCs/>
        </w:rPr>
        <w:t>Journal of Economic Literature</w:t>
      </w:r>
      <w:r>
        <w:rPr/>
        <w:t xml:space="preserve">, 35(1), 13–39. </w:t>
      </w:r>
      <w:hyperlink r:id="rId49">
        <w:r>
          <w:rPr>
            <w:rStyle w:val="Hyperlink"/>
          </w:rPr>
          <w:t>https://www.jstor.org/stable/2729691</w:t>
        </w:r>
      </w:hyperlink>
    </w:p>
    <w:p>
      <w:pPr>
        <w:pStyle w:val="Bibliography"/>
        <w:rPr/>
      </w:pPr>
      <w:bookmarkStart w:id="295" w:name="ref36"/>
      <w:bookmarkEnd w:id="295"/>
      <w:r>
        <w:rPr/>
        <w:t xml:space="preserve">[36] McCracken, M. W., &amp; Ng, S. (2016). FRED-MD: A monthly database for macroeconomic research. </w:t>
      </w:r>
      <w:r>
        <w:rPr>
          <w:i/>
          <w:iCs/>
        </w:rPr>
        <w:t>Journal of Business &amp; Economic Statistics</w:t>
      </w:r>
      <w:r>
        <w:rPr/>
        <w:t xml:space="preserve">, 34(4), 574–589. </w:t>
      </w:r>
      <w:hyperlink r:id="rId50">
        <w:r>
          <w:rPr>
            <w:rStyle w:val="Hyperlink"/>
          </w:rPr>
          <w:t>https://doi.org/10.1080/07350015.2015.1086655</w:t>
        </w:r>
      </w:hyperlink>
    </w:p>
    <w:p>
      <w:pPr>
        <w:pStyle w:val="Bibliography"/>
        <w:rPr/>
      </w:pPr>
      <w:bookmarkStart w:id="296" w:name="ref37"/>
      <w:bookmarkEnd w:id="296"/>
      <w:r>
        <w:rPr/>
        <w:t xml:space="preserve">[37] Medeiros, M. C., Vasconcelos, G. F. R., Veiga, Á., &amp; Zilberman, E. (2021). Forecasting inflation in a data-rich environment: The benefits of machine learning methods. </w:t>
      </w:r>
      <w:r>
        <w:rPr>
          <w:i/>
          <w:iCs/>
        </w:rPr>
        <w:t>Journal of Business &amp; Economic Statistics</w:t>
      </w:r>
      <w:r>
        <w:rPr/>
        <w:t xml:space="preserve">, 39(1), 98–119. </w:t>
      </w:r>
      <w:hyperlink r:id="rId51">
        <w:r>
          <w:rPr>
            <w:rStyle w:val="Hyperlink"/>
          </w:rPr>
          <w:t>https://doi.org/10.1080/07350015.2019.1637745</w:t>
        </w:r>
      </w:hyperlink>
    </w:p>
    <w:p>
      <w:pPr>
        <w:pStyle w:val="Bibliography"/>
        <w:rPr/>
      </w:pPr>
      <w:bookmarkStart w:id="297" w:name="ref38"/>
      <w:bookmarkEnd w:id="297"/>
      <w:r>
        <w:rPr/>
        <w:t xml:space="preserve">[38] Newey, W. K., &amp; West, K. D. (1987). A simple, positive semi-definite, heteroskedasticity and autocorrelation consistent covariance matrix. </w:t>
      </w:r>
      <w:r>
        <w:rPr>
          <w:i/>
          <w:iCs/>
        </w:rPr>
        <w:t>Econometrica</w:t>
      </w:r>
      <w:r>
        <w:rPr/>
        <w:t xml:space="preserve">, 55(3), 703–708. </w:t>
      </w:r>
      <w:hyperlink r:id="rId52">
        <w:r>
          <w:rPr>
            <w:rStyle w:val="Hyperlink"/>
          </w:rPr>
          <w:t>https://doi.org/10.2307/1913610</w:t>
        </w:r>
      </w:hyperlink>
    </w:p>
    <w:p>
      <w:pPr>
        <w:pStyle w:val="Bibliography"/>
        <w:rPr/>
      </w:pPr>
      <w:bookmarkStart w:id="298" w:name="ref39"/>
      <w:bookmarkEnd w:id="298"/>
      <w:r>
        <w:rPr/>
        <w:t xml:space="preserve">[39] Pesaran, M. H., &amp; Timmermann, A. (2007). Selection of estimation window in the presence of breaks. </w:t>
      </w:r>
      <w:r>
        <w:rPr>
          <w:i/>
          <w:iCs/>
        </w:rPr>
        <w:t>Journal of Econometrics</w:t>
      </w:r>
      <w:r>
        <w:rPr/>
        <w:t xml:space="preserve">, 137(1), 134–161. </w:t>
      </w:r>
      <w:hyperlink r:id="rId53">
        <w:r>
          <w:rPr>
            <w:rStyle w:val="Hyperlink"/>
          </w:rPr>
          <w:t>https://doi.org/10.1016/j.jeconom.2006.03.010</w:t>
        </w:r>
      </w:hyperlink>
    </w:p>
    <w:p>
      <w:pPr>
        <w:pStyle w:val="Bibliography"/>
        <w:rPr/>
      </w:pPr>
      <w:bookmarkStart w:id="299" w:name="ref40"/>
      <w:bookmarkEnd w:id="299"/>
      <w:r>
        <w:rPr/>
        <w:t xml:space="preserve">[40] Ramey, V. A. (2011). Identifying government spending shocks: It’s all in the timing. </w:t>
      </w:r>
      <w:r>
        <w:rPr>
          <w:i/>
          <w:iCs/>
        </w:rPr>
        <w:t>The Quarterly Journal of Economics</w:t>
      </w:r>
      <w:r>
        <w:rPr/>
        <w:t xml:space="preserve">, 126(1), 1–50. </w:t>
      </w:r>
      <w:hyperlink r:id="rId54">
        <w:r>
          <w:rPr>
            <w:rStyle w:val="Hyperlink"/>
          </w:rPr>
          <w:t>https://doi.org/10.1093/qje/qjq008</w:t>
        </w:r>
      </w:hyperlink>
    </w:p>
    <w:p>
      <w:pPr>
        <w:pStyle w:val="Bibliography"/>
        <w:rPr/>
      </w:pPr>
      <w:bookmarkStart w:id="300" w:name="ref41"/>
      <w:bookmarkEnd w:id="300"/>
      <w:r>
        <w:rPr/>
        <w:t xml:space="preserve">[41] Strobl, C., Boulesteix, A.-L., Zeileis, A., &amp; Hothorn, T. (2007). Bias in random forest variable importance measures: Illustrations, sources and a solution. </w:t>
      </w:r>
      <w:r>
        <w:rPr>
          <w:i/>
          <w:iCs/>
        </w:rPr>
        <w:t>BMC Bioinformatics</w:t>
      </w:r>
      <w:r>
        <w:rPr/>
        <w:t xml:space="preserve">, 8, Article 25. </w:t>
      </w:r>
      <w:hyperlink r:id="rId55">
        <w:r>
          <w:rPr>
            <w:rStyle w:val="Hyperlink"/>
          </w:rPr>
          <w:t>https://doi.org/10.1186/1471-2105-8-25</w:t>
        </w:r>
      </w:hyperlink>
    </w:p>
    <w:p>
      <w:pPr>
        <w:pStyle w:val="Bibliography"/>
        <w:rPr/>
      </w:pPr>
      <w:bookmarkStart w:id="301" w:name="ref42"/>
      <w:bookmarkEnd w:id="301"/>
      <w:r>
        <w:rPr/>
        <w:t xml:space="preserve">[42] Timmermann, A. (2006). Forecast combinations. In G. Elliott, C. W. J. Granger, &amp; A. Timmermann (Eds.), </w:t>
      </w:r>
      <w:r>
        <w:rPr>
          <w:i/>
          <w:iCs/>
        </w:rPr>
        <w:t>Handbook of economic forecasting</w:t>
      </w:r>
      <w:r>
        <w:rPr/>
        <w:t xml:space="preserve"> (Vol. 1, pp. 135–196). North-Holland. </w:t>
      </w:r>
      <w:hyperlink r:id="rId56">
        <w:r>
          <w:rPr>
            <w:rStyle w:val="Hyperlink"/>
          </w:rPr>
          <w:t>https://doi.org/10.1016/S1574-0706(05)01004-9</w:t>
        </w:r>
      </w:hyperlink>
    </w:p>
    <w:p>
      <w:pPr>
        <w:pStyle w:val="Bibliography"/>
        <w:rPr/>
      </w:pPr>
      <w:bookmarkStart w:id="302" w:name="ref43"/>
      <w:bookmarkEnd w:id="302"/>
      <w:r>
        <w:rPr/>
        <w:t xml:space="preserve">[43] Welch, I., &amp; Goyal, A. (2008). A comprehensive look at the empirical performance of equity premium prediction. </w:t>
      </w:r>
      <w:r>
        <w:rPr>
          <w:i/>
          <w:iCs/>
        </w:rPr>
        <w:t>The Review of Financial Studies</w:t>
      </w:r>
      <w:r>
        <w:rPr/>
        <w:t xml:space="preserve">, 21(4), 1455–1508. </w:t>
      </w:r>
      <w:hyperlink r:id="rId57">
        <w:r>
          <w:rPr>
            <w:rStyle w:val="Hyperlink"/>
          </w:rPr>
          <w:t>https://doi.org/10.1093/rfs/hhm014</w:t>
        </w:r>
      </w:hyperlink>
    </w:p>
    <w:p>
      <w:pPr>
        <w:pStyle w:val="Bibliography"/>
        <w:rPr/>
      </w:pPr>
      <w:bookmarkStart w:id="303" w:name="ref44"/>
      <w:bookmarkEnd w:id="303"/>
      <w:r>
        <w:rPr/>
        <w:t xml:space="preserve">[44] Working, H. (1960). Note on the correlation of first differences of averages in a random chain. </w:t>
      </w:r>
      <w:r>
        <w:rPr>
          <w:i/>
          <w:iCs/>
        </w:rPr>
        <w:t>Econometrica</w:t>
      </w:r>
      <w:r>
        <w:rPr/>
        <w:t xml:space="preserve">, 28(4), 916–918. </w:t>
      </w:r>
      <w:hyperlink r:id="rId58">
        <w:r>
          <w:rPr>
            <w:rStyle w:val="Hyperlink"/>
          </w:rPr>
          <w:t>https://doi.org/10.2307/1907574</w:t>
        </w:r>
      </w:hyperlink>
    </w:p>
    <w:p>
      <w:pPr>
        <w:pStyle w:val="Bibliography"/>
        <w:rPr/>
      </w:pPr>
      <w:bookmarkStart w:id="304" w:name="ref45"/>
      <w:bookmarkEnd w:id="304"/>
      <w:r>
        <w:rPr/>
        <w:t xml:space="preserve">[45] Zou, H., &amp; Hastie, T. (2005). Regularization and variable selection via the elastic net. </w:t>
      </w:r>
      <w:r>
        <w:rPr>
          <w:i/>
          <w:iCs/>
        </w:rPr>
        <w:t>Journal of the Royal Statistical Society: Series B</w:t>
      </w:r>
      <w:r>
        <w:rPr/>
        <w:t xml:space="preserve">, 67(2), 301–320. </w:t>
      </w:r>
      <w:hyperlink r:id="rId59">
        <w:r>
          <w:rPr>
            <w:rStyle w:val="Hyperlink"/>
          </w:rPr>
          <w:t>https://doi.org/10.1111/j.1467-9868.2005.00503.x</w:t>
        </w:r>
      </w:hyperlink>
    </w:p>
    <w:p>
      <w:pPr>
        <w:pStyle w:val="Heading2"/>
        <w:rPr/>
      </w:pPr>
      <w:bookmarkStart w:id="305" w:name="__RefHeading___Toc20078_3650217843"/>
      <w:bookmarkStart w:id="306" w:name="sources-en-ligne"/>
      <w:bookmarkEnd w:id="305"/>
      <w:bookmarkEnd w:id="306"/>
      <w:r>
        <w:rPr/>
        <w:t>Sources en ligne</w:t>
      </w:r>
    </w:p>
    <w:p>
      <w:pPr>
        <w:pStyle w:val="Bibliography"/>
        <w:rPr/>
      </w:pPr>
      <w:r>
        <w:rPr/>
        <w:t xml:space="preserve">Ministère de l’Économie. </w:t>
      </w:r>
      <w:hyperlink r:id="rId60">
        <w:r>
          <w:rPr>
            <w:rStyle w:val="Hyperlink"/>
          </w:rPr>
          <w:t>Situations mensuelles budgétaires de l’État, séries longues depuis 2013</w:t>
        </w:r>
      </w:hyperlink>
      <w:r>
        <w:rPr/>
        <w:t>. data.economie.gouv.fr.</w:t>
      </w:r>
    </w:p>
    <w:p>
      <w:pPr>
        <w:pStyle w:val="Bibliography"/>
        <w:rPr/>
      </w:pPr>
      <w:r>
        <w:rPr/>
        <w:t xml:space="preserve">DGFiP. </w:t>
      </w:r>
      <w:hyperlink r:id="rId61">
        <w:r>
          <w:rPr>
            <w:rStyle w:val="Hyperlink"/>
          </w:rPr>
          <w:t>La situation mensuelle de l’État</w:t>
        </w:r>
      </w:hyperlink>
      <w:r>
        <w:rPr/>
        <w:t>. economie.gouv.fr.</w:t>
      </w:r>
    </w:p>
    <w:p>
      <w:pPr>
        <w:pStyle w:val="Bibliography"/>
        <w:rPr/>
      </w:pPr>
      <w:hyperlink r:id="rId62">
        <w:r>
          <w:rPr>
            <w:rStyle w:val="Hyperlink"/>
          </w:rPr>
          <w:t>FRED</w:t>
        </w:r>
      </w:hyperlink>
      <w:r>
        <w:rPr/>
        <w:t>, Federal Reserve Bank of St. Louis (taux OAT et Bund, séries OCDE, VIX).</w:t>
      </w:r>
    </w:p>
    <w:p>
      <w:pPr>
        <w:pStyle w:val="Bibliography"/>
        <w:rPr/>
      </w:pPr>
      <w:hyperlink r:id="rId63">
        <w:r>
          <w:rPr>
            <w:rStyle w:val="Hyperlink"/>
          </w:rPr>
          <w:t>Portail de données de la BCE</w:t>
        </w:r>
      </w:hyperlink>
      <w:r>
        <w:rPr/>
        <w:t xml:space="preserve"> (taux directeurs).</w:t>
      </w:r>
    </w:p>
    <w:p>
      <w:pPr>
        <w:pStyle w:val="Bibliography"/>
        <w:rPr/>
      </w:pPr>
      <w:hyperlink r:id="rId64">
        <w:r>
          <w:rPr>
            <w:rStyle w:val="Hyperlink"/>
          </w:rPr>
          <w:t>Eurostat</w:t>
        </w:r>
      </w:hyperlink>
      <w:r>
        <w:rPr/>
        <w:t xml:space="preserve"> (IPCH, finances publiques trimestrielles).</w:t>
      </w:r>
    </w:p>
    <w:p>
      <w:pPr>
        <w:pStyle w:val="Bibliography"/>
        <w:rPr/>
      </w:pPr>
      <w:hyperlink r:id="rId65">
        <w:r>
          <w:rPr>
            <w:rStyle w:val="Hyperlink"/>
          </w:rPr>
          <w:t>Yahoo Finance</w:t>
        </w:r>
      </w:hyperlink>
      <w:r>
        <w:rPr/>
        <w:t xml:space="preserve"> (CAC 40 et actions sectorielles).</w:t>
      </w:r>
    </w:p>
    <w:p>
      <w:pPr>
        <w:pStyle w:val="Bibliography"/>
        <w:rPr/>
      </w:pPr>
      <w:hyperlink r:id="rId66">
        <w:r>
          <w:rPr>
            <w:rStyle w:val="Hyperlink"/>
          </w:rPr>
          <w:t>Economic Policy Uncertainty</w:t>
        </w:r>
      </w:hyperlink>
      <w:r>
        <w:rPr/>
        <w:t xml:space="preserve"> (indice européen d’incertitude).</w:t>
      </w:r>
    </w:p>
    <w:p>
      <w:pPr>
        <w:pStyle w:val="Normal"/>
        <w:rPr/>
      </w:pPr>
      <w:r>
        <w:rPr/>
      </w:r>
      <w:bookmarkStart w:id="307" w:name="références"/>
      <w:bookmarkStart w:id="308" w:name="sources-en-ligne"/>
      <w:bookmarkStart w:id="309" w:name="références"/>
      <w:bookmarkStart w:id="310" w:name="sources-en-ligne"/>
      <w:bookmarkEnd w:id="309"/>
      <w:bookmarkEnd w:id="310"/>
      <w:r>
        <w:br w:type="page"/>
      </w:r>
    </w:p>
    <w:p>
      <w:pPr>
        <w:pStyle w:val="Heading1"/>
        <w:spacing w:before="0" w:after="240"/>
        <w:rPr/>
      </w:pPr>
      <w:bookmarkStart w:id="311" w:name="__RefHeading___Toc20080_3650217843"/>
      <w:bookmarkStart w:id="312" w:name="annexes"/>
      <w:bookmarkEnd w:id="311"/>
      <w:r>
        <w:rPr/>
        <w:t>Annexes</w:t>
      </w:r>
    </w:p>
    <w:p>
      <w:pPr>
        <w:pStyle w:val="Heading2"/>
        <w:rPr/>
      </w:pPr>
      <w:bookmarkStart w:id="313" w:name="__RefHeading___Toc20082_3650217843"/>
      <w:bookmarkStart w:id="314" w:name="X3ca383dbffb9d55a756372c83cc12a5ba689804"/>
      <w:bookmarkEnd w:id="313"/>
      <w:r>
        <w:rPr/>
        <w:t>Annexe A : Variables des modèles principaux</w:t>
      </w:r>
    </w:p>
    <w:p>
      <w:pPr>
        <w:pStyle w:val="CaptionTable"/>
        <w:keepNext w:val="true"/>
        <w:spacing w:lineRule="auto" w:line="240" w:before="120" w:after="80"/>
        <w:jc w:val="left"/>
        <w:rPr/>
      </w:pPr>
      <w:bookmarkStart w:id="315" w:name="__RefHeading___Toc20106_3650217843"/>
      <w:bookmarkEnd w:id="315"/>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Solde d’exécution cumulé, écart sur un an</w:t>
            </w:r>
          </w:p>
        </w:tc>
      </w:tr>
    </w:tbl>
    <w:p>
      <w:pPr>
        <w:pStyle w:val="BodyText"/>
        <w:keepNext w:val="false"/>
        <w:spacing w:lineRule="auto" w:line="240" w:before="40" w:after="240"/>
        <w:jc w:val="left"/>
        <w:rPr/>
      </w:pPr>
      <w:bookmarkStart w:id="316" w:name="X3ca383dbffb9d55a756372c83cc12a5ba689804"/>
      <w:r>
        <w:rPr>
          <w:i/>
          <w:iCs/>
          <w:sz w:val="20"/>
        </w:rPr>
        <w:t>Source : élaboration de l’auteur. M1 = M0 + dépenses ; M2 = M1 + recettes et solde.</w:t>
      </w:r>
      <w:bookmarkEnd w:id="316"/>
    </w:p>
    <w:p>
      <w:pPr>
        <w:pStyle w:val="Heading2"/>
        <w:rPr/>
      </w:pPr>
      <w:bookmarkStart w:id="317" w:name="__RefHeading___Toc20084_3650217843"/>
      <w:bookmarkStart w:id="318" w:name="annexe-b-détail-des-extensions-e1-à-e20"/>
      <w:bookmarkEnd w:id="317"/>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sans objet »). E16 : R² par rapport à la moyenne.</w:t>
      </w:r>
    </w:p>
    <w:p>
      <w:pPr>
        <w:pStyle w:val="CaptionTable"/>
        <w:keepNext w:val="true"/>
        <w:spacing w:lineRule="auto" w:line="240" w:before="120" w:after="80"/>
        <w:jc w:val="left"/>
        <w:rPr/>
      </w:pPr>
      <w:bookmarkStart w:id="319" w:name="__RefHeading___Toc20104_3650217843"/>
      <w:bookmarkEnd w:id="319"/>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sans objet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0,999</w:t>
            </w:r>
          </w:p>
        </w:tc>
      </w:tr>
    </w:tbl>
    <w:p>
      <w:pPr>
        <w:pStyle w:val="BodyText"/>
        <w:keepNext w:val="false"/>
        <w:spacing w:lineRule="auto" w:line="240" w:before="40" w:after="240"/>
        <w:jc w:val="left"/>
        <w:rPr/>
      </w:pPr>
      <w:bookmarkStart w:id="320" w:name="annexe-b-détail-des-extensions-e1-à-e20"/>
      <w:r>
        <w:rPr>
          <w:i/>
          <w:iCs/>
          <w:sz w:val="20"/>
        </w:rPr>
        <w:t>Source : calculs de l’auteur.</w:t>
      </w:r>
      <w:bookmarkEnd w:id="320"/>
    </w:p>
    <w:p>
      <w:pPr>
        <w:pStyle w:val="Heading2"/>
        <w:rPr/>
      </w:pPr>
      <w:bookmarkStart w:id="321" w:name="__RefHeading___Toc20086_3650217843"/>
      <w:bookmarkStart w:id="322" w:name="Xb3e285cc14b2fbc3f04dfc3a545449b954bfbe1"/>
      <w:bookmarkEnd w:id="321"/>
      <w:r>
        <w:rPr/>
        <w:t>Annexe C : Sensibilité à la graine aléatoire</w:t>
      </w:r>
    </w:p>
    <w:p>
      <w:pPr>
        <w:pStyle w:val="CaptionTable"/>
        <w:keepNext w:val="true"/>
        <w:spacing w:lineRule="auto" w:line="240" w:before="120" w:after="80"/>
        <w:jc w:val="left"/>
        <w:rPr/>
      </w:pPr>
      <w:bookmarkStart w:id="323" w:name="__RefHeading___Toc20102_3650217843"/>
      <w:bookmarkEnd w:id="323"/>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0,16</w:t>
            </w:r>
          </w:p>
        </w:tc>
      </w:tr>
    </w:tbl>
    <w:p>
      <w:pPr>
        <w:pStyle w:val="BodyText"/>
        <w:keepNext w:val="false"/>
        <w:spacing w:lineRule="auto" w:line="240" w:before="40" w:after="240"/>
        <w:jc w:val="left"/>
        <w:rPr/>
      </w:pPr>
      <w:bookmarkStart w:id="324" w:name="Xb3e285cc14b2fbc3f04dfc3a545449b954bfbe1"/>
      <w:r>
        <w:rPr>
          <w:i/>
          <w:iCs/>
          <w:sz w:val="20"/>
        </w:rPr>
        <w:t>Source : calculs de l’auteur.</w:t>
      </w:r>
      <w:bookmarkEnd w:id="324"/>
    </w:p>
    <w:p>
      <w:pPr>
        <w:pStyle w:val="Heading2"/>
        <w:rPr/>
      </w:pPr>
      <w:bookmarkStart w:id="325" w:name="__RefHeading___Toc20088_3650217843"/>
      <w:bookmarkStart w:id="326" w:name="Xd68da8618e318907bf0faf326720b285d49eebd"/>
      <w:bookmarkEnd w:id="325"/>
      <w:r>
        <w:rPr/>
        <w:t>Annexe D : Contrôle négatif : dépenses contre variables de bruit</w:t>
      </w:r>
    </w:p>
    <w:p>
      <w:pPr>
        <w:pStyle w:val="CaptionTable"/>
        <w:keepNext w:val="true"/>
        <w:spacing w:lineRule="auto" w:line="240" w:before="120" w:after="80"/>
        <w:jc w:val="left"/>
        <w:rPr/>
      </w:pPr>
      <w:bookmarkStart w:id="327" w:name="__RefHeading___Toc20100_3650217843"/>
      <w:bookmarkEnd w:id="327"/>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50 %</w:t>
            </w:r>
          </w:p>
        </w:tc>
      </w:tr>
    </w:tbl>
    <w:p>
      <w:pPr>
        <w:pStyle w:val="BodyText"/>
        <w:keepNext w:val="false"/>
        <w:spacing w:lineRule="auto" w:line="240" w:before="40" w:after="240"/>
        <w:jc w:val="left"/>
        <w:rPr/>
      </w:pPr>
      <w:bookmarkStart w:id="328" w:name="Xd68da8618e318907bf0faf326720b285d49eebd"/>
      <w:r>
        <w:rPr>
          <w:i/>
          <w:iCs/>
          <w:sz w:val="20"/>
        </w:rPr>
        <w:t>Source : calculs de l’auteur.</w:t>
      </w:r>
      <w:bookmarkEnd w:id="328"/>
    </w:p>
    <w:p>
      <w:pPr>
        <w:pStyle w:val="Heading2"/>
        <w:rPr/>
      </w:pPr>
      <w:bookmarkStart w:id="329" w:name="__RefHeading___Toc20090_3650217843"/>
      <w:bookmarkStart w:id="330" w:name="Xe4aa703dc8ae53bd5a3baef5b8de368c6e05d88"/>
      <w:bookmarkEnd w:id="329"/>
      <w:r>
        <w:rPr/>
        <w:t>Annexe E : Robustesse au décalage de publication</w:t>
      </w:r>
    </w:p>
    <w:p>
      <w:pPr>
        <w:pStyle w:val="CaptionTable"/>
        <w:keepNext w:val="true"/>
        <w:spacing w:lineRule="auto" w:line="240" w:before="120" w:after="80"/>
        <w:jc w:val="left"/>
        <w:rPr/>
      </w:pPr>
      <w:bookmarkStart w:id="331" w:name="__RefHeading___Toc20098_3650217843"/>
      <w:bookmarkEnd w:id="331"/>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18"/>
                <w:szCs w:val="24"/>
                <w:lang w:val="en-US" w:eastAsia="zh-CN"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18"/>
                <w:szCs w:val="24"/>
                <w:lang w:val="en-US" w:eastAsia="zh-CN" w:bidi="ar-SA"/>
              </w:rPr>
              <w:t>0,90</w:t>
            </w:r>
          </w:p>
        </w:tc>
      </w:tr>
    </w:tbl>
    <w:p>
      <w:pPr>
        <w:pStyle w:val="BodyText"/>
        <w:keepNext w:val="false"/>
        <w:spacing w:lineRule="auto" w:line="240" w:before="40" w:after="240"/>
        <w:jc w:val="left"/>
        <w:rPr/>
      </w:pPr>
      <w:bookmarkStart w:id="332" w:name="Xe4aa703dc8ae53bd5a3baef5b8de368c6e05d88"/>
      <w:r>
        <w:rPr>
          <w:i/>
          <w:iCs/>
          <w:sz w:val="20"/>
        </w:rPr>
        <w:t>Source : calculs de l’auteur. La correction BH porte sur les p-values unilatérales « avec dépenses meilleur que sans » ; elle peut donc être inférieure à la p-value bilatérale affichée.</w:t>
      </w:r>
      <w:bookmarkEnd w:id="332"/>
    </w:p>
    <w:p>
      <w:pPr>
        <w:pStyle w:val="Heading2"/>
        <w:rPr/>
      </w:pPr>
      <w:bookmarkStart w:id="333" w:name="__RefHeading___Toc20092_3650217843"/>
      <w:bookmarkStart w:id="334" w:name="X37e530d88456264f60f695f24afad22539accd2"/>
      <w:bookmarkEnd w:id="333"/>
      <w:r>
        <w:rPr/>
        <w:t>Annexe F : Étude d’événement préliminaire sur le CAC 40</w:t>
      </w:r>
    </w:p>
    <w:p>
      <w:pPr>
        <w:pStyle w:val="FirstParagraph"/>
        <w:rPr/>
      </w:pPr>
      <w:r>
        <w:rPr/>
        <w:t>Les dates de publication de la situation mensuelle budgétaire ont été relevées sur le site de presse du ministère de l’Économie : 40 publications, d’octobre 2017 à janvier 2026 (le moteur de recherche du site n’en renvoie pas davantage). Le délai entre la fin du mois concerné et la publication va de 29 à 47 jours (médiane de 33). L’innovation budgétaire est la variation, entre deux publications consécutives, de l’écart du solde cumulé par rapport à l’année précédente (en % du total annuel). Le plan du test a été fixé avant son exécution. Faute de taux quotidiens accessibles, le test ne porte pas sur le spread.</w:t>
      </w:r>
    </w:p>
    <w:p>
      <w:pPr>
        <w:pStyle w:val="CaptionTable"/>
        <w:keepNext w:val="true"/>
        <w:spacing w:lineRule="auto" w:line="240" w:before="120" w:after="80"/>
        <w:jc w:val="left"/>
        <w:rPr/>
      </w:pPr>
      <w:bookmarkStart w:id="335" w:name="__RefHeading___Toc20096_3650217843"/>
      <w:bookmarkEnd w:id="335"/>
      <w:r>
        <w:rPr>
          <w:b/>
          <w:bCs/>
          <w:sz w:val="22"/>
        </w:rPr>
        <w:t>Tableau F.1 : Réaction du CAC 40 aux publications de la situation mensuelle budgétaire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Test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Événements</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Statistique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zh-CN" w:bidi="ar-SA"/>
              </w:rPr>
            </w:pPr>
            <w:r>
              <w:rPr>
                <w:b/>
                <w:kern w:val="0"/>
                <w:sz w:val="20"/>
                <w:szCs w:val="24"/>
                <w:lang w:val="en-US" w:eastAsia="zh-CN" w:bidi="ar-SA"/>
              </w:rPr>
              <w:t>p-value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de la publication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-0,13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Corrélation de Spearman entre l’innovation budgétaire et le rendement du CAC 40 le jour suivant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0,00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0,99</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Rendement absolu moyen du CAC 40 le jour de la publication (%), comparé à tous les jours de bourse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0,74</w:t>
            </w:r>
          </w:p>
        </w:tc>
      </w:tr>
    </w:tbl>
    <w:p>
      <w:pPr>
        <w:pStyle w:val="BodyText"/>
        <w:keepNext w:val="false"/>
        <w:spacing w:lineRule="auto" w:line="240" w:before="40" w:after="240"/>
        <w:jc w:val="left"/>
        <w:rPr/>
      </w:pPr>
      <w:bookmarkStart w:id="336" w:name="annexes"/>
      <w:bookmarkStart w:id="337" w:name="X37e530d88456264f60f695f24afad22539accd2"/>
      <w:r>
        <w:rPr>
          <w:i/>
          <w:iCs/>
          <w:sz w:val="20"/>
        </w:rPr>
        <w:t>Source : calculs de l’auteur ; dates : presse.economie.gouv.fr ; cours : Yahoo Finance. Le dernier test est unilatéral (rendement absolu plus élevé les jours de publication).</w:t>
      </w:r>
      <w:bookmarkEnd w:id="336"/>
      <w:bookmarkEnd w:id="337"/>
    </w:p>
    <w:sectPr>
      <w:footerReference w:type="even" r:id="rId67"/>
      <w:footerReference w:type="default" r:id="rId68"/>
      <w:footerReference w:type="first" r:id="rId69"/>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8"/>
    <w:lvlOverride w:ilvl="0">
      <w:startOverride w:val="1"/>
    </w:lvlOverride>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240" w:before="360" w:after="240"/>
      <w:ind w:left="0"/>
      <w:jc w:val="center"/>
      <w:outlineLvl w:val="0"/>
    </w:pPr>
    <w:rPr>
      <w:rFonts w:ascii="Times New Roman" w:hAnsi="Times New Roman" w:eastAsia="Times New Roman" w:cs="Times New Roman"/>
      <w:b/>
      <w:i w:val="false"/>
      <w:color w:val="000000"/>
      <w:sz w:val="28"/>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240" w:before="360" w:after="240"/>
      <w:ind w:left="0"/>
      <w:jc w:val="left"/>
      <w:outlineLvl w:val="1"/>
    </w:pPr>
    <w:rPr>
      <w:rFonts w:ascii="Times New Roman" w:hAnsi="Times New Roman" w:eastAsia="Times New Roman" w:cs="Times New Roman"/>
      <w:b/>
      <w:i w:val="false"/>
      <w:color w:val="000000"/>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240" w:before="240" w:after="120"/>
      <w:ind w:left="720"/>
      <w:jc w:val="left"/>
      <w:outlineLvl w:val="2"/>
    </w:pPr>
    <w:rPr>
      <w:rFonts w:ascii="Times New Roman" w:hAnsi="Times New Roman" w:eastAsia="Times New Roman" w:cs="Times New Roman"/>
      <w:b/>
      <w:i w:val="false"/>
      <w:color w:val="000000"/>
      <w:sz w:val="24"/>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www.ecb.europa.eu/pub/pdf/scpwps/ecbwp1781.en.pdf" TargetMode="External"/><Relationship Id="rId13" Type="http://schemas.openxmlformats.org/officeDocument/2006/relationships/hyperlink" Target="https://doi.org/10.1016/j.econmod.2011.03.018" TargetMode="External"/><Relationship Id="rId14" Type="http://schemas.openxmlformats.org/officeDocument/2006/relationships/hyperlink" Target="https://doi.org/10.1016/j.euroecorev.2008.07.003" TargetMode="External"/><Relationship Id="rId15" Type="http://schemas.openxmlformats.org/officeDocument/2006/relationships/hyperlink" Target="https://www.ecb.europa.eu/pub/pdf/scpwps/ecbwp1131.pdf" TargetMode="External"/><Relationship Id="rId16" Type="http://schemas.openxmlformats.org/officeDocument/2006/relationships/hyperlink" Target="https://doi.org/10.1090/noti1105" TargetMode="External"/><Relationship Id="rId17" Type="http://schemas.openxmlformats.org/officeDocument/2006/relationships/hyperlink" Target="https://doi.org/10.1093/qje/qjw024" TargetMode="External"/><Relationship Id="rId18" Type="http://schemas.openxmlformats.org/officeDocument/2006/relationships/hyperlink" Target="https://link.springer.com/article/10.1007/s10614-025-11106-9" TargetMode="External"/><Relationship Id="rId19" Type="http://schemas.openxmlformats.org/officeDocument/2006/relationships/hyperlink" Target="https://doi.org/10.1086/260266" TargetMode="External"/><Relationship Id="rId20" Type="http://schemas.openxmlformats.org/officeDocument/2006/relationships/hyperlink" Target="https://ideas.repec.org/a/wly/jforec/v42y2023i3p657-684.html" TargetMode="External"/><Relationship Id="rId21" Type="http://schemas.openxmlformats.org/officeDocument/2006/relationships/hyperlink" Target="https://doi.org/10.1002/for.2938" TargetMode="External"/><Relationship Id="rId22" Type="http://schemas.openxmlformats.org/officeDocument/2006/relationships/hyperlink" Target="https://doi.org/10.1111/j.2517-6161.1995.tb02031.x" TargetMode="External"/><Relationship Id="rId23" Type="http://schemas.openxmlformats.org/officeDocument/2006/relationships/hyperlink" Target="https://doi.org/10.1016/j.jimonfin.2011.12.006" TargetMode="External"/><Relationship Id="rId24" Type="http://schemas.openxmlformats.org/officeDocument/2006/relationships/hyperlink" Target="https://academic.oup.com/rfs/article-abstract/34/2/1046/5843806" TargetMode="External"/><Relationship Id="rId25" Type="http://schemas.openxmlformats.org/officeDocument/2006/relationships/hyperlink" Target="https://doi.org/10.1093/rfs/hhaa062" TargetMode="External"/><Relationship Id="rId26" Type="http://schemas.openxmlformats.org/officeDocument/2006/relationships/hyperlink" Target="https://doi.org/10.1162/003355302320935043" TargetMode="External"/><Relationship Id="rId27" Type="http://schemas.openxmlformats.org/officeDocument/2006/relationships/hyperlink" Target="https://research.dial.uclouvain.be/server/api/core/bitstreams/f99c9d92-b208-429f-84ec-256595aa55a5/content" TargetMode="External"/><Relationship Id="rId28" Type="http://schemas.openxmlformats.org/officeDocument/2006/relationships/hyperlink" Target="https://doi.org/10.1023/A:1010933404324" TargetMode="External"/><Relationship Id="rId29" Type="http://schemas.openxmlformats.org/officeDocument/2006/relationships/hyperlink" Target="https://doi.org/10.1175/1520-0493%281950%29078%3C0001:VOFEIT%3E2.0.CO;2" TargetMode="External"/><Relationship Id="rId30" Type="http://schemas.openxmlformats.org/officeDocument/2006/relationships/hyperlink" Target="https://doi.org/10.1093/rfs/hhm055" TargetMode="External"/><Relationship Id="rId31" Type="http://schemas.openxmlformats.org/officeDocument/2006/relationships/hyperlink" Target="https://doi.org/10.1145/2939672.2939785" TargetMode="External"/><Relationship Id="rId32" Type="http://schemas.openxmlformats.org/officeDocument/2006/relationships/hyperlink" Target="https://doi.org/10.1257/jel.49.1.72" TargetMode="External"/><Relationship Id="rId33" Type="http://schemas.openxmlformats.org/officeDocument/2006/relationships/hyperlink" Target="https://doi.org/10.2307/2286348" TargetMode="External"/><Relationship Id="rId34" Type="http://schemas.openxmlformats.org/officeDocument/2006/relationships/hyperlink" Target="https://doi.org/10.1080/07350015.1995.10524599" TargetMode="External"/><Relationship Id="rId35" Type="http://schemas.openxmlformats.org/officeDocument/2006/relationships/hyperlink" Target="https://doi.org/10.2307/1912773" TargetMode="External"/><Relationship Id="rId36" Type="http://schemas.openxmlformats.org/officeDocument/2006/relationships/hyperlink" Target="https://doi.org/10.1111/j.1540-6261.1970.tb00518.x" TargetMode="External"/><Relationship Id="rId37" Type="http://schemas.openxmlformats.org/officeDocument/2006/relationships/hyperlink" Target="https://www.sciencedirect.com/science/article/abs/pii/S030440761300081X" TargetMode="External"/><Relationship Id="rId38" Type="http://schemas.openxmlformats.org/officeDocument/2006/relationships/hyperlink" Target="https://doi.org/10.1016/j.jeconom.2013.04.004" TargetMode="External"/><Relationship Id="rId39" Type="http://schemas.openxmlformats.org/officeDocument/2006/relationships/hyperlink" Target="https://doi.org/10.1016/j.ejor.2017.11.054" TargetMode="External"/><Relationship Id="rId40" Type="http://schemas.openxmlformats.org/officeDocument/2006/relationships/hyperlink" Target="https://theses.fr/2023PA100145" TargetMode="External"/><Relationship Id="rId41" Type="http://schemas.openxmlformats.org/officeDocument/2006/relationships/hyperlink" Target="https://doi.org/10.1016/j.jmoneco.2008.05.010" TargetMode="External"/><Relationship Id="rId42" Type="http://schemas.openxmlformats.org/officeDocument/2006/relationships/hyperlink" Target="https://doi.org/10.1002/jae.2910" TargetMode="External"/><Relationship Id="rId43" Type="http://schemas.openxmlformats.org/officeDocument/2006/relationships/hyperlink" Target="https://doi.org/10.1093/rfs/hhaa009" TargetMode="External"/><Relationship Id="rId44" Type="http://schemas.openxmlformats.org/officeDocument/2006/relationships/hyperlink" Target="https://doi.org/10.1016/S0169-2070(96)00719-4" TargetMode="External"/><Relationship Id="rId45" Type="http://schemas.openxmlformats.org/officeDocument/2006/relationships/hyperlink" Target="https://doi.org/10.1080/00401706.1970.10488634" TargetMode="External"/><Relationship Id="rId46" Type="http://schemas.openxmlformats.org/officeDocument/2006/relationships/hyperlink" Target="https://doi.org/10.1080/10580530.2012.716740" TargetMode="External"/><Relationship Id="rId47" Type="http://schemas.openxmlformats.org/officeDocument/2006/relationships/hyperlink" Target="https://doi.org/10.1162/jeea.2009.7.4.858" TargetMode="External"/><Relationship Id="rId48" Type="http://schemas.openxmlformats.org/officeDocument/2006/relationships/hyperlink" Target="https://papers.nips.cc/paper/2017/hash/8a20a8621978632d76c43dfd28b67767-Abstract.html" TargetMode="External"/><Relationship Id="rId49" Type="http://schemas.openxmlformats.org/officeDocument/2006/relationships/hyperlink" Target="https://www.jstor.org/stable/2729691" TargetMode="External"/><Relationship Id="rId50" Type="http://schemas.openxmlformats.org/officeDocument/2006/relationships/hyperlink" Target="https://doi.org/10.1080/07350015.2015.1086655" TargetMode="External"/><Relationship Id="rId51" Type="http://schemas.openxmlformats.org/officeDocument/2006/relationships/hyperlink" Target="https://doi.org/10.1080/07350015.2019.1637745" TargetMode="External"/><Relationship Id="rId52" Type="http://schemas.openxmlformats.org/officeDocument/2006/relationships/hyperlink" Target="https://doi.org/10.2307/1913610" TargetMode="External"/><Relationship Id="rId53" Type="http://schemas.openxmlformats.org/officeDocument/2006/relationships/hyperlink" Target="https://doi.org/10.1016/j.jeconom.2006.03.010" TargetMode="External"/><Relationship Id="rId54" Type="http://schemas.openxmlformats.org/officeDocument/2006/relationships/hyperlink" Target="https://doi.org/10.1093/qje/qjq008" TargetMode="External"/><Relationship Id="rId55" Type="http://schemas.openxmlformats.org/officeDocument/2006/relationships/hyperlink" Target="https://doi.org/10.1186/1471-2105-8-25" TargetMode="External"/><Relationship Id="rId56" Type="http://schemas.openxmlformats.org/officeDocument/2006/relationships/hyperlink" Target="https://doi.org/10.1016/S1574-0706(05)01004-9" TargetMode="External"/><Relationship Id="rId57" Type="http://schemas.openxmlformats.org/officeDocument/2006/relationships/hyperlink" Target="https://doi.org/10.1093/rfs/hhm014" TargetMode="External"/><Relationship Id="rId58" Type="http://schemas.openxmlformats.org/officeDocument/2006/relationships/hyperlink" Target="https://doi.org/10.2307/1907574" TargetMode="External"/><Relationship Id="rId59" Type="http://schemas.openxmlformats.org/officeDocument/2006/relationships/hyperlink" Target="https://doi.org/10.1111/j.1467-9868.2005.00503.x" TargetMode="External"/><Relationship Id="rId60" Type="http://schemas.openxmlformats.org/officeDocument/2006/relationships/hyperlink" Target="https://data.economie.gouv.fr/explore/assets/situations-mensuelles-budgetaires-series-longues/" TargetMode="External"/><Relationship Id="rId61" Type="http://schemas.openxmlformats.org/officeDocument/2006/relationships/hyperlink" Target="https://www.economie.gouv.fr/dgfip/la-situation-mensuelle-de-letat" TargetMode="External"/><Relationship Id="rId62" Type="http://schemas.openxmlformats.org/officeDocument/2006/relationships/hyperlink" Target="https://fred.stlouisfed.org/" TargetMode="External"/><Relationship Id="rId63" Type="http://schemas.openxmlformats.org/officeDocument/2006/relationships/hyperlink" Target="https://data.ecb.europa.eu/" TargetMode="External"/><Relationship Id="rId64" Type="http://schemas.openxmlformats.org/officeDocument/2006/relationships/hyperlink" Target="https://ec.europa.eu/eurostat" TargetMode="External"/><Relationship Id="rId65" Type="http://schemas.openxmlformats.org/officeDocument/2006/relationships/hyperlink" Target="https://finance.yahoo.com/" TargetMode="External"/><Relationship Id="rId66" Type="http://schemas.openxmlformats.org/officeDocument/2006/relationships/hyperlink" Target="https://www.policyuncertainty.com/"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87</Pages>
  <Words>22778</Words>
  <Characters>112601</Characters>
  <CharactersWithSpaces>132100</CharactersWithSpaces>
  <Paragraphs>3163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2026-10-02T10:16:24Z</dcterms:created>
  <dc:creator>Abdellah Elyamine DALI BRAHAM</dc:creator>
  <dc:description/>
  <dc:language>en-US</dc:language>
  <cp:lastModifiedBy/>
  <dcterms:modified xsi:type="dcterms:W3CDTF">2026-10-02T10:16:34Z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