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hapitre-1-état-de-lart"/>
    <w:p>
      <w:pPr>
        <w:pStyle w:val="Heading1"/>
      </w:pPr>
      <w:r>
        <w:t xml:space="preserve">Chapitre 1 – État de l’art</w:t>
      </w:r>
    </w:p>
    <w:bookmarkStart w:id="20" w:name="introduction-du-chapitre"/>
    <w:p>
      <w:pPr>
        <w:pStyle w:val="Heading2"/>
      </w:pPr>
      <w:r>
        <w:t xml:space="preserve">Introduction du chapitre</w:t>
      </w:r>
    </w:p>
    <w:p>
      <w:pPr>
        <w:pStyle w:val="FirstParagraph"/>
      </w:pPr>
      <w:r>
        <w:t xml:space="preserve">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pPr>
      <w:r>
        <w:t xml:space="preserve">Nous étudions trois indicateurs, plus ou moins liés aux finances publiques :</w:t>
      </w:r>
    </w:p>
    <w:p>
      <w:pPr>
        <w:numPr>
          <w:ilvl w:val="0"/>
          <w:numId w:val="1001"/>
        </w:numPr>
        <w:pStyle w:val="Compact"/>
      </w:pPr>
      <w:r>
        <w:rPr>
          <w:bCs/>
          <w:b/>
        </w:rPr>
        <w:t xml:space="preserve">Le spread OAT–Bund à 10 ans</w:t>
      </w:r>
      <w:r>
        <w:t xml:space="preserve"> </w:t>
      </w:r>
      <w:r>
        <w:t xml:space="preserve">: l’écart entre le taux auquel la France emprunte sur dix ans (OAT, Obligation assimilable du Trésor) et celui de l’Allemagne (Bund). Comme la politique monétaire est la même pour les deux pays, cet écart mesure surtout le risque propre à la France.</w:t>
      </w:r>
    </w:p>
    <w:p>
      <w:pPr>
        <w:numPr>
          <w:ilvl w:val="0"/>
          <w:numId w:val="1001"/>
        </w:numPr>
        <w:pStyle w:val="Compact"/>
      </w:pPr>
      <w:r>
        <w:rPr>
          <w:bCs/>
          <w:b/>
        </w:rPr>
        <w:t xml:space="preserve">Le taux OAT à 10 ans</w:t>
      </w:r>
      <w:r>
        <w:t xml:space="preserve"> </w:t>
      </w:r>
      <w:r>
        <w:t xml:space="preserve">: le coût d’emprunt de l’État français. Il dépend à la fois des finances publiques et de la politique de la BCE.</w:t>
      </w:r>
    </w:p>
    <w:p>
      <w:pPr>
        <w:numPr>
          <w:ilvl w:val="0"/>
          <w:numId w:val="1001"/>
        </w:numPr>
        <w:pStyle w:val="Compact"/>
      </w:pPr>
      <w:r>
        <w:rPr>
          <w:bCs/>
          <w:b/>
        </w:rPr>
        <w:t xml:space="preserve">Le rendement mensuel du CAC 40</w:t>
      </w:r>
      <w:r>
        <w:t xml:space="preserve"> </w:t>
      </w:r>
      <w:r>
        <w:t xml:space="preserve">: l’évolution de la valeur des grandes entreprises cotées à Paris.</w:t>
      </w:r>
    </w:p>
    <w:p>
      <w:pPr>
        <w:pStyle w:val="FirstParagraph"/>
      </w:pPr>
      <w:r>
        <w:t xml:space="preserve">Ces trois indicateurs vont du plus exposé au moins exposé aux finances publiques. Les comparer permet de voir où les dépenses apportent, ou non, de l’information.</w:t>
      </w:r>
    </w:p>
    <w:p>
      <w:pPr>
        <w:pStyle w:val="BodyText"/>
      </w:pPr>
      <w:r>
        <w:t xml:space="preserve">Notre terrain est la France, dans la zone euro.</w:t>
      </w:r>
      <w:r>
        <w:t xml:space="preserve"> </w:t>
      </w:r>
      <w:r>
        <w:rPr>
          <w:bCs/>
          <w:b/>
        </w:rPr>
        <w:t xml:space="preserve">Nous donnons donc la priorité aux études européennes.</w:t>
      </w:r>
      <w:r>
        <w:t xml:space="preserve"> </w:t>
      </w:r>
      <w:r>
        <w:t xml:space="preserve">Les grands travaux américains restent utiles, mais surtout comme cadre théorique ou comme référence de méthode : nous les présentons plus brièvement.</w:t>
      </w:r>
    </w:p>
    <w:p>
      <w:pPr>
        <w:pStyle w:val="BodyText"/>
      </w:pPr>
      <w:r>
        <w:t xml:space="preserve">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p>
    <w:bookmarkEnd w:id="20"/>
    <w:bookmarkStart w:id="26" w:name="cadre-théorique-ce-que-lon-peut-attendre"/>
    <w:p>
      <w:pPr>
        <w:pStyle w:val="Heading2"/>
      </w:pPr>
      <w:r>
        <w:t xml:space="preserve">1.1 Cadre théorique : ce que l’on peut attendre</w:t>
      </w:r>
    </w:p>
    <w:p>
      <w:pPr>
        <w:pStyle w:val="FirstParagraph"/>
      </w:pPr>
      <w:r>
        <w:t xml:space="preserve">La théorie ne promet pas grand-chose à une prévision fondée sur des données budgétaires publiques. Trois travaux, généraux même s’ils portent surtout sur les États-Unis, en donnent les raisons.</w:t>
      </w:r>
    </w:p>
    <w:bookmarkStart w:id="21" w:name="dépenses-publiques-et-taux-deux-visions"/>
    <w:p>
      <w:pPr>
        <w:pStyle w:val="Heading3"/>
      </w:pPr>
      <w:r>
        <w:t>1.1.1 Dépenses publiques et taux : deux visions.</w:t>
      </w:r>
    </w:p>
    <w:p>
      <w:pPr>
        <w:pStyle w:val="FirstParagraph"/>
      </w:pPr>
      <w:r>
        <w:t xml:space="preserve">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p>
    <w:bookmarkEnd w:id="21"/>
    <w:bookmarkStart w:id="22" w:name="lefficience-des-marchés-fama-1970"/>
    <w:p>
      <w:pPr>
        <w:pStyle w:val="Heading3"/>
      </w:pPr>
      <w:r>
        <w:t>1.1.2 L’efficience des marchés (Fama, 1970).</w:t>
      </w:r>
    </w:p>
    <w:p>
      <w:pPr>
        <w:pStyle w:val="FirstParagraph"/>
      </w:pPr>
      <w:r>
        <w:t xml:space="preserve">Selon l’hypothèse d’efficience, dans sa forme semi-forte, les prix reflètent déjà toute l’information publique. Aucune donnée publique ne devrait alors permettre de prévoir de façon régulière les variations des prix.</w:t>
      </w:r>
    </w:p>
    <w:p>
      <w:pPr>
        <w:pStyle w:val="BodyText"/>
      </w:pPr>
      <w:r>
        <w:t xml:space="preserve">Cela nous concerne directement. Les situations budgétaires de l’État sont publiques. Si le marché obligataire est efficient, elles sont intégrées dans le spread dès leur publication, et elles ne servent plus à prévoir le mois suivant.</w:t>
      </w:r>
    </w:p>
    <w:bookmarkEnd w:id="22"/>
    <w:bookmarkStart w:id="23" w:name="les-dépenses-sont-anticipées-ramey-2011"/>
    <w:p>
      <w:pPr>
        <w:pStyle w:val="Heading3"/>
      </w:pPr>
      <w:r>
        <w:t>1.1.3 Les dépenses sont anticipées (Ramey, 2011).</w:t>
      </w:r>
    </w:p>
    <w:p>
      <w:pPr>
        <w:pStyle w:val="FirstParagraph"/>
      </w:pPr>
      <w:r>
        <w:t xml:space="preserve">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pPr>
      <w:r>
        <w:t xml:space="preserve">C’est exactement le type de données que nous utilisons : l’exécution mensuelle du budget. Si les marchés réagissent aux annonces, ces données apportent peu d’information nouvelle. Ramey nous donne donc une raison claire de s’attendre à un pouvoir prédictif faible.</w:t>
      </w:r>
    </w:p>
    <w:bookmarkEnd w:id="23"/>
    <w:bookmarkStart w:id="24" w:name="X07aa42a22fbcb3dee6d214c760cc0c20eb897be"/>
    <w:p>
      <w:pPr>
        <w:pStyle w:val="Heading3"/>
      </w:pPr>
      <w:r>
        <w:t>1.1.4 Peu de prédicteurs résistent hors échantillon (Welch et Goyal, 2008).</w:t>
      </w:r>
    </w:p>
    <w:p>
      <w:pPr>
        <w:pStyle w:val="FirstParagraph"/>
      </w:pPr>
      <w:r>
        <w:t xml:space="preserve">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p>
    <w:bookmarkEnd w:id="24"/>
    <w:bookmarkStart w:id="25" w:name="ce-que-nous-en-retenons"/>
    <w:p>
      <w:pPr>
        <w:pStyle w:val="Heading3"/>
      </w:pPr>
      <w:r>
        <w:t>1.1.5 Ce que nous en retenons.</w:t>
      </w:r>
    </w:p>
    <w:p>
      <w:pPr>
        <w:numPr>
          <w:ilvl w:val="0"/>
          <w:numId w:val="1002"/>
        </w:numPr>
        <w:pStyle w:val="Compact"/>
      </w:pPr>
      <w:r>
        <w:t xml:space="preserve">Un pouvoir prédictif faible, voire nul, est plausible dès le départ. Un résultat négatif serait cohérent avec Fama et Ramey, et il aurait un sens.</w:t>
      </w:r>
    </w:p>
    <w:p>
      <w:pPr>
        <w:numPr>
          <w:ilvl w:val="0"/>
          <w:numId w:val="1002"/>
        </w:numPr>
        <w:pStyle w:val="Compact"/>
      </w:pPr>
      <w:r>
        <w:t xml:space="preserve">Il faut évaluer les modèles hors échantillon, sur des mois qu’ils n’ont jamais vus.</w:t>
      </w:r>
    </w:p>
    <w:p>
      <w:pPr>
        <w:numPr>
          <w:ilvl w:val="0"/>
          <w:numId w:val="1002"/>
        </w:numPr>
        <w:pStyle w:val="Compact"/>
      </w:pPr>
      <w:r>
        <w:t xml:space="preserve">La référence à battre est simple : la moyenne historique. Un modèle qui ne la bat pas n’a pas de pouvoir prédictif.</w:t>
      </w:r>
    </w:p>
    <w:bookmarkEnd w:id="25"/>
    <w:bookmarkEnd w:id="26"/>
    <w:bookmarkStart w:id="32" w:name="Xfb34faa81f8d303ea1b5fa46b3b15873b7555c9"/>
    <w:p>
      <w:pPr>
        <w:pStyle w:val="Heading2"/>
      </w:pPr>
      <w:r>
        <w:t xml:space="preserve">1.2 Finances publiques et spreads souverains en zone euro</w:t>
      </w:r>
    </w:p>
    <w:p>
      <w:pPr>
        <w:pStyle w:val="FirstParagraph"/>
      </w:pPr>
      <w:r>
        <w:t xml:space="preserve">En Europe, plusieurs travaux montrent que les finances publiques expliquent une partie des spreads face à l’Allemagne. Mais ils cherchent à expliquer, pas à prévoir, et l’effet change beaucoup selon les périodes.</w:t>
      </w:r>
    </w:p>
    <w:bookmarkStart w:id="27" w:name="pourquoi-le-spread"/>
    <w:p>
      <w:pPr>
        <w:pStyle w:val="Heading3"/>
      </w:pPr>
      <w:r>
        <w:t>1.2.1 Pourquoi le spread.</w:t>
      </w:r>
    </w:p>
    <w:p>
      <w:pPr>
        <w:pStyle w:val="FirstParagraph"/>
      </w:pPr>
      <w:r>
        <w:t xml:space="preserve">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p>
    <w:bookmarkEnd w:id="27"/>
    <w:bookmarkStart w:id="28" w:name="ce-que-montrent-les-travaux-européens"/>
    <w:p>
      <w:pPr>
        <w:pStyle w:val="Heading3"/>
      </w:pPr>
      <w:r>
        <w:t>1.2.2 Ce que montrent les travaux européens.</w:t>
      </w:r>
    </w:p>
    <w:p>
      <w:pPr>
        <w:pStyle w:val="FirstParagraph"/>
      </w:pPr>
      <w:r>
        <w:t xml:space="preserve">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pPr>
      <w:r>
        <w:t xml:space="preserve">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pPr>
      <w: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w:t>
      </w:r>
      <w:r>
        <w:t xml:space="preserve"> </w:t>
      </w:r>
      <w:r>
        <w:rPr>
          <w:bCs/>
          <w:b/>
        </w:rPr>
        <w:t xml:space="preserve">L’effet des finances publiques sur les spreads n’est donc pas stable dans le temps</w:t>
      </w:r>
      <w:r>
        <w:t xml:space="preserve"> </w:t>
      </w:r>
      <w:r>
        <w:t xml:space="preserve">: il apparaît surtout en période de tension.</w:t>
      </w:r>
    </w:p>
    <w:p>
      <w:pPr>
        <w:pStyle w:val="BodyText"/>
      </w:pPr>
      <w:r>
        <w:t xml:space="preserve">Favero (2013) est l’un des rares à</w:t>
      </w:r>
      <w:r>
        <w:t xml:space="preserve"> </w:t>
      </w:r>
      <w:r>
        <w:rPr>
          <w:bCs/>
          <w:b/>
        </w:rPr>
        <w:t xml:space="preserve">prévoir</w:t>
      </w:r>
      <w:r>
        <w:t xml:space="preserve"> </w:t>
      </w:r>
      <w:r>
        <w:t xml:space="preserve">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p>
    <w:bookmarkEnd w:id="28"/>
    <w:bookmarkStart w:id="29" w:name="le-cas-français"/>
    <w:p>
      <w:pPr>
        <w:pStyle w:val="Heading3"/>
      </w:pPr>
      <w:r>
        <w:t>1.2.3 Le cas français.</w:t>
      </w:r>
    </w:p>
    <w:p>
      <w:pPr>
        <w:pStyle w:val="FirstParagraph"/>
      </w:pPr>
      <w:r>
        <w:t xml:space="preserve">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pPr>
      <w:r>
        <w:t xml:space="preserve">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p>
    <w:bookmarkEnd w:id="29"/>
    <w:bookmarkStart w:id="30" w:name="X631363f92121cb0fbc005b65d04ad7aed35c764"/>
    <w:p>
      <w:pPr>
        <w:pStyle w:val="Heading3"/>
      </w:pPr>
      <w:r>
        <w:t>1.2.4 Les travaux fondateurs, surtout américains.</w:t>
      </w:r>
    </w:p>
    <w:p>
      <w:pPr>
        <w:pStyle w:val="FirstParagraph"/>
      </w:pPr>
      <w:r>
        <w:t xml:space="preserve">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p>
    <w:bookmarkEnd w:id="30"/>
    <w:bookmarkStart w:id="31" w:name="ce-que-nous-en-retenons-1"/>
    <w:p>
      <w:pPr>
        <w:pStyle w:val="Heading3"/>
      </w:pPr>
      <w:r>
        <w:t>1.2.5 Ce que nous en retenons.</w:t>
      </w:r>
    </w:p>
    <w:p>
      <w:pPr>
        <w:numPr>
          <w:ilvl w:val="0"/>
          <w:numId w:val="1003"/>
        </w:numPr>
        <w:pStyle w:val="Compact"/>
      </w:pPr>
      <w:r>
        <w:t xml:space="preserve">Le spread OAT–Bund est la cible la plus directement liée aux finances publiques françaises.</w:t>
      </w:r>
    </w:p>
    <w:p>
      <w:pPr>
        <w:numPr>
          <w:ilvl w:val="0"/>
          <w:numId w:val="1003"/>
        </w:numPr>
        <w:pStyle w:val="Compact"/>
      </w:pPr>
      <w:r>
        <w:t xml:space="preserve">L’aversion au risque et la liquidité comptent beaucoup : elles doivent être dans le modèle comme variables de contrôle.</w:t>
      </w:r>
    </w:p>
    <w:p>
      <w:pPr>
        <w:numPr>
          <w:ilvl w:val="0"/>
          <w:numId w:val="1003"/>
        </w:numPr>
        <w:pStyle w:val="Compact"/>
      </w:pPr>
      <w:r>
        <w:t xml:space="preserve">L’effet des finances publiques dépend de la période. Il faudra regarder séparément les périodes calmes et agitées.</w:t>
      </w:r>
    </w:p>
    <w:p>
      <w:pPr>
        <w:numPr>
          <w:ilvl w:val="0"/>
          <w:numId w:val="1003"/>
        </w:numPr>
        <w:pStyle w:val="Compact"/>
      </w:pPr>
      <w:r>
        <w:t xml:space="preserve">Presque tous ces travaux utilisent des modèles linéaires, des données annuelles ou trimestrielles, et cherchent à expliquer plutôt qu’à prévoir. Aucun ne teste le machine learning sur des données budgétaires mensuelles.</w:t>
      </w:r>
    </w:p>
    <w:bookmarkEnd w:id="31"/>
    <w:bookmarkEnd w:id="32"/>
    <w:bookmarkStart w:id="37" w:name="X27f0006f940c23a763f89cc3f723417490f25ae"/>
    <w:p>
      <w:pPr>
        <w:pStyle w:val="Heading2"/>
      </w:pPr>
      <w:r>
        <w:t xml:space="preserve">1.3 Machine learning et prévision des spreads</w:t>
      </w:r>
    </w:p>
    <w:p>
      <w:pPr>
        <w:pStyle w:val="FirstParagraph"/>
      </w:pPr>
      <w:r>
        <w:t xml:space="preserve">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bookmarkStart w:id="33" w:name="les-travaux-européens"/>
    <w:p>
      <w:pPr>
        <w:pStyle w:val="Heading3"/>
      </w:pPr>
      <w:r>
        <w:t>1.3.1 Les travaux européens.</w:t>
      </w:r>
    </w:p>
    <w:p>
      <w:pPr>
        <w:pStyle w:val="FirstParagraph"/>
      </w:pPr>
      <w:r>
        <w:t xml:space="preserve">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pPr>
      <w:r>
        <w:t xml:space="preserve">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pPr>
      <w:r>
        <w:t xml:space="preserve">Deux de leurs résultats comptent pour nous. D’abord,</w:t>
      </w:r>
      <w:r>
        <w:t xml:space="preserve"> </w:t>
      </w:r>
      <w:r>
        <w:rPr>
          <w:bCs/>
          <w:b/>
        </w:rPr>
        <w:t xml:space="preserve">c’est le spread passé qui domine les prévisions</w:t>
      </w:r>
      <w:r>
        <w:t xml:space="preserve">,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pPr>
      <w:r>
        <w:t xml:space="preserve">Enfin, Barbier-Gauchard et Sofianos (2025) appliquent le machine learning aux finances publiques elles-mêmes. Ils prévoient la dette publique de 17 pays de la zone euro, et XGBoost y fait mieux que les projections de la Commission européenne et du FMI.</w:t>
      </w:r>
    </w:p>
    <w:bookmarkEnd w:id="33"/>
    <w:bookmarkStart w:id="34" w:name="le-contexte-américain-en-bref"/>
    <w:p>
      <w:pPr>
        <w:pStyle w:val="Heading3"/>
      </w:pPr>
      <w:r>
        <w:t>1.3.2 Le contexte américain, en bref.</w:t>
      </w:r>
    </w:p>
    <w:p>
      <w:pPr>
        <w:pStyle w:val="FirstParagraph"/>
      </w:pPr>
      <w:r>
        <w:t xml:space="preserve">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p>
    <w:bookmarkEnd w:id="34"/>
    <w:bookmarkStart w:id="35" w:name="quels-modèles-avec-peu-de-données"/>
    <w:p>
      <w:pPr>
        <w:pStyle w:val="Heading3"/>
      </w:pPr>
      <w:r>
        <w:t>1.3.3 Quels modèles avec peu de données.</w:t>
      </w:r>
    </w:p>
    <w:p>
      <w:pPr>
        <w:pStyle w:val="FirstParagraph"/>
      </w:pPr>
      <w:r>
        <w:t xml:space="preserve">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p>
    <w:bookmarkEnd w:id="35"/>
    <w:bookmarkStart w:id="36" w:name="ce-que-nous-en-retenons-2"/>
    <w:p>
      <w:pPr>
        <w:pStyle w:val="Heading3"/>
      </w:pPr>
      <w:r>
        <w:t>1.3.4 Ce que nous en retenons.</w:t>
      </w:r>
    </w:p>
    <w:p>
      <w:pPr>
        <w:numPr>
          <w:ilvl w:val="0"/>
          <w:numId w:val="1004"/>
        </w:numPr>
        <w:pStyle w:val="Compact"/>
      </w:pPr>
      <w:r>
        <w:t xml:space="preserve">Il faut comparer le machine learning à des références simples : la moyenne historique, la variation nulle et un modèle linéaire.</w:t>
      </w:r>
    </w:p>
    <w:p>
      <w:pPr>
        <w:numPr>
          <w:ilvl w:val="0"/>
          <w:numId w:val="1004"/>
        </w:numPr>
        <w:pStyle w:val="Compact"/>
      </w:pPr>
      <w:r>
        <w:t xml:space="preserve">Le spread passé, principal prédicteur chez Bouillot et al. (2025), doit être dans tous les modèles. Sinon, on attribuerait aux dépenses ce qui vient en réalité du spread lui-même.</w:t>
      </w:r>
    </w:p>
    <w:p>
      <w:pPr>
        <w:numPr>
          <w:ilvl w:val="0"/>
          <w:numId w:val="1004"/>
        </w:numPr>
        <w:pStyle w:val="Compact"/>
      </w:pPr>
      <w:r>
        <w:t xml:space="preserve">La forêt aléatoire et XGBoost sont adaptés à notre volume de données ; le deep learning ne l’est pas.</w:t>
      </w:r>
    </w:p>
    <w:p>
      <w:pPr>
        <w:numPr>
          <w:ilvl w:val="0"/>
          <w:numId w:val="1004"/>
        </w:numPr>
        <w:pStyle w:val="Compact"/>
      </w:pPr>
      <w:r>
        <w:t xml:space="preserve">Aucun de ces travaux ne mesure séparément ce qu’apportent les dépenses publiques. C’est la question précise de ce mémoire.</w:t>
      </w:r>
    </w:p>
    <w:bookmarkEnd w:id="36"/>
    <w:bookmarkEnd w:id="37"/>
    <w:bookmarkStart w:id="42" w:name="X9ae88ff3dd35a976078ba2fe427ef8b5284b26c"/>
    <w:p>
      <w:pPr>
        <w:pStyle w:val="Heading2"/>
      </w:pPr>
      <w:r>
        <w:t xml:space="preserve">1.4 Données ouvertes et précautions de méthode</w:t>
      </w:r>
    </w:p>
    <w:p>
      <w:pPr>
        <w:pStyle w:val="FirstParagraph"/>
      </w:pPr>
      <w:r>
        <w:t xml:space="preserve">Les données publiques ouvertes sont gratuites, officielles et régulières. Pour la prévision, elles posent pourtant trois problèmes : le délai de publication, les révisions et la forme des données.</w:t>
      </w:r>
    </w:p>
    <w:bookmarkStart w:id="38" w:name="lopen-data-budgétaire"/>
    <w:p>
      <w:pPr>
        <w:pStyle w:val="Heading3"/>
      </w:pPr>
      <w:r>
        <w:t>1.4.1 L’open data budgétaire.</w:t>
      </w:r>
    </w:p>
    <w:p>
      <w:pPr>
        <w:pStyle w:val="FirstParagraph"/>
      </w:pPr>
      <w:r>
        <w:t xml:space="preserve">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pPr>
      <w:r>
        <w:t xml:space="preserve">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p>
    <w:bookmarkEnd w:id="38"/>
    <w:bookmarkStart w:id="39" w:name="calendrier-de-publication-et-révisions"/>
    <w:p>
      <w:pPr>
        <w:pStyle w:val="Heading3"/>
      </w:pPr>
      <w:r>
        <w:t>1.4.2 Calendrier de publication et révisions.</w:t>
      </w:r>
    </w:p>
    <w:p>
      <w:pPr>
        <w:pStyle w:val="FirstParagraph"/>
      </w:pPr>
      <w:r>
        <w:t xml:space="preserve">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pPr>
      <w:r>
        <w:t xml:space="preserve">Aux États-Unis, McCracken et Ng (2016) ont construit FRED-MD, une base mensuelle de plus d’une centaine d’indicateurs macroéconomiques. Il n’existe pas d’équivalent français qui intègre l’exécution budgétaire.</w:t>
      </w:r>
    </w:p>
    <w:bookmarkEnd w:id="39"/>
    <w:bookmarkStart w:id="40" w:name="éviter-de-se-tromper-soi-même"/>
    <w:p>
      <w:pPr>
        <w:pStyle w:val="Heading3"/>
      </w:pPr>
      <w:r>
        <w:t>1.4.3 Éviter de se tromper soi-même.</w:t>
      </w:r>
    </w:p>
    <w:p>
      <w:pPr>
        <w:pStyle w:val="FirstParagraph"/>
      </w:pPr>
      <w:r>
        <w:t xml:space="preserve">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p>
    <w:bookmarkEnd w:id="40"/>
    <w:bookmarkStart w:id="41" w:name="ce-que-nous-en-retenons-3"/>
    <w:p>
      <w:pPr>
        <w:pStyle w:val="Heading3"/>
      </w:pPr>
      <w:r>
        <w:t>1.4.4 Ce que nous en retenons.</w:t>
      </w:r>
    </w:p>
    <w:p>
      <w:pPr>
        <w:numPr>
          <w:ilvl w:val="0"/>
          <w:numId w:val="1005"/>
        </w:numPr>
        <w:pStyle w:val="Compact"/>
      </w:pPr>
      <w:r>
        <w:t xml:space="preserve">Les données budgétaires d’un mois ne peuvent servir qu’après leur publication : nous les décalons de deux mois.</w:t>
      </w:r>
    </w:p>
    <w:p>
      <w:pPr>
        <w:numPr>
          <w:ilvl w:val="0"/>
          <w:numId w:val="1005"/>
        </w:numPr>
        <w:pStyle w:val="Compact"/>
      </w:pPr>
      <w:r>
        <w:t xml:space="preserve">Les montants cumulés doivent être transformés pour enlever la saisonnalité.</w:t>
      </w:r>
    </w:p>
    <w:p>
      <w:pPr>
        <w:numPr>
          <w:ilvl w:val="0"/>
          <w:numId w:val="1005"/>
        </w:numPr>
        <w:pStyle w:val="Compact"/>
      </w:pPr>
      <w:r>
        <w:t xml:space="preserve">Les révisions seront discutées comme une limite.</w:t>
      </w:r>
    </w:p>
    <w:p>
      <w:pPr>
        <w:numPr>
          <w:ilvl w:val="0"/>
          <w:numId w:val="1005"/>
        </w:numPr>
        <w:pStyle w:val="Compact"/>
      </w:pPr>
      <w:r>
        <w:t xml:space="preserve">Construire un jeu de données mensuel français qui croise budget et marchés est déjà, en soi, une contribution.</w:t>
      </w:r>
    </w:p>
    <w:bookmarkEnd w:id="41"/>
    <w:bookmarkEnd w:id="42"/>
    <w:bookmarkStart w:id="45" w:name="synthèse-et-positionnement-du-mémoire"/>
    <w:p>
      <w:pPr>
        <w:pStyle w:val="Heading2"/>
      </w:pPr>
      <w:r>
        <w:t xml:space="preserve">1.5 Synthèse et positionnement du mémoire</w:t>
      </w:r>
    </w:p>
    <w:p>
      <w:pPr>
        <w:pStyle w:val="FirstParagraph"/>
      </w:pPr>
      <w:r>
        <w:t xml:space="preserve">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BodyText"/>
        <w:keepNext/>
        <w:spacing w:line="240" w:lineRule="auto" w:before="120" w:after="80"/>
        <w:jc w:val="left"/>
      </w:pPr>
      <w:r>
        <w:rPr>
          <w:bCs/>
          <w:b/>
          <w:sz w:val="22"/>
        </w:rPr>
        <w:t xml:space="preserve">Tableau 1.1 – Principaux travaux recensés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Rôle</w:t>
            </w:r>
          </w:p>
        </w:tc>
        <w:tc>
          <w:tcPr>
            <w:shd w:val="clear" w:color="auto" w:fill="E7E6E6"/>
          </w:tcPr>
          <w:p>
            <w:pPr>
              <w:pStyle w:val="Compact"/>
              <w:spacing w:line="240" w:lineRule="auto" w:after="40"/>
              <w:jc w:val="left"/>
            </w:pPr>
            <w:r>
              <w:rPr>
                <w:rFonts w:ascii="Times New Roman" w:hAnsi="Times New Roman"/>
                <w:b/>
                <w:sz w:val="18"/>
              </w:rPr>
              <w:t xml:space="preserve">Auteurs (année)</w:t>
            </w:r>
          </w:p>
        </w:tc>
        <w:tc>
          <w:tcPr>
            <w:shd w:val="clear" w:color="auto" w:fill="E7E6E6"/>
          </w:tcPr>
          <w:p>
            <w:pPr>
              <w:pStyle w:val="Compact"/>
              <w:spacing w:line="240" w:lineRule="auto" w:after="40"/>
              <w:jc w:val="left"/>
            </w:pPr>
            <w:r>
              <w:rPr>
                <w:rFonts w:ascii="Times New Roman" w:hAnsi="Times New Roman"/>
                <w:b/>
                <w:sz w:val="18"/>
              </w:rPr>
              <w:t xml:space="preserve">Pays et données</w:t>
            </w:r>
          </w:p>
        </w:tc>
        <w:tc>
          <w:tcPr>
            <w:shd w:val="clear" w:color="auto" w:fill="E7E6E6"/>
          </w:tcPr>
          <w:p>
            <w:pPr>
              <w:pStyle w:val="Compact"/>
              <w:spacing w:line="240" w:lineRule="auto" w:after="40"/>
              <w:jc w:val="left"/>
            </w:pPr>
            <w:r>
              <w:rPr>
                <w:rFonts w:ascii="Times New Roman" w:hAnsi="Times New Roman"/>
                <w:b/>
                <w:sz w:val="18"/>
              </w:rPr>
              <w:t xml:space="preserve">Méthode</w:t>
            </w:r>
          </w:p>
        </w:tc>
        <w:tc>
          <w:tcPr>
            <w:shd w:val="clear" w:color="auto" w:fill="E7E6E6"/>
          </w:tcPr>
          <w:p>
            <w:pPr>
              <w:pStyle w:val="Compact"/>
              <w:spacing w:line="240" w:lineRule="auto" w:after="40"/>
              <w:jc w:val="left"/>
            </w:pPr>
            <w:r>
              <w:rPr>
                <w:rFonts w:ascii="Times New Roman" w:hAnsi="Times New Roman"/>
                <w:b/>
                <w:sz w:val="18"/>
              </w:rPr>
              <w:t xml:space="preserve">Résultat principal</w:t>
            </w:r>
          </w:p>
        </w:tc>
        <w:tc>
          <w:tcPr>
            <w:shd w:val="clear" w:color="auto" w:fill="E7E6E6"/>
          </w:tcPr>
          <w:p>
            <w:pPr>
              <w:pStyle w:val="Compact"/>
              <w:spacing w:line="240" w:lineRule="auto" w:after="40"/>
              <w:jc w:val="left"/>
            </w:pPr>
            <w:r>
              <w:rPr>
                <w:rFonts w:ascii="Times New Roman" w:hAnsi="Times New Roman"/>
                <w:b/>
                <w:sz w:val="18"/>
              </w:rPr>
              <w:t xml:space="preserve">Limite pour ce mémoire</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Bouillot, Candelon et Kool (2025)</w:t>
            </w:r>
          </w:p>
        </w:tc>
        <w:tc>
          <w:tcPr/>
          <w:p>
            <w:pPr>
              <w:pStyle w:val="Compact"/>
              <w:spacing w:line="240" w:lineRule="auto" w:after="40"/>
              <w:jc w:val="left"/>
            </w:pPr>
            <w:r>
              <w:rPr>
                <w:rFonts w:ascii="Times New Roman" w:hAnsi="Times New Roman"/>
                <w:sz w:val="18"/>
              </w:rPr>
              <w:t xml:space="preserve">10 pays de la zone euro dont la France ; mensuel, 2008-2025</w:t>
            </w:r>
          </w:p>
        </w:tc>
        <w:tc>
          <w:tcPr/>
          <w:p>
            <w:pPr>
              <w:pStyle w:val="Compact"/>
              <w:spacing w:line="240" w:lineRule="auto" w:after="40"/>
              <w:jc w:val="left"/>
            </w:pPr>
            <w:r>
              <w:rPr>
                <w:rFonts w:ascii="Times New Roman" w:hAnsi="Times New Roman"/>
                <w:sz w:val="18"/>
              </w:rPr>
              <w:t xml:space="preserve">13 méthodes de ML, XGBoost en tête</w:t>
            </w:r>
          </w:p>
        </w:tc>
        <w:tc>
          <w:tcPr/>
          <w:p>
            <w:pPr>
              <w:pStyle w:val="Compact"/>
              <w:spacing w:line="240" w:lineRule="auto" w:after="40"/>
              <w:jc w:val="left"/>
            </w:pPr>
            <w:r>
              <w:rPr>
                <w:rFonts w:ascii="Times New Roman" w:hAnsi="Times New Roman"/>
                <w:sz w:val="18"/>
              </w:rPr>
              <w:t xml:space="preserve">Prévision à un mois ; le spread passé domine</w:t>
            </w:r>
          </w:p>
        </w:tc>
        <w:tc>
          <w:tcPr/>
          <w:p>
            <w:pPr>
              <w:pStyle w:val="Compact"/>
              <w:spacing w:line="240" w:lineRule="auto" w:after="40"/>
              <w:jc w:val="left"/>
            </w:pPr>
            <w:r>
              <w:rPr>
                <w:rFonts w:ascii="Times New Roman" w:hAnsi="Times New Roman"/>
                <w:sz w:val="18"/>
              </w:rPr>
              <w:t xml:space="preserve">Apport des finances publiques non isolé (1 des 50 variables principales) ; cible en niveau, sans comparaison à la marche aléatoire</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Belly et al. (2023)</w:t>
            </w:r>
          </w:p>
        </w:tc>
        <w:tc>
          <w:tcPr/>
          <w:p>
            <w:pPr>
              <w:pStyle w:val="Compact"/>
              <w:spacing w:line="240" w:lineRule="auto" w:after="40"/>
              <w:jc w:val="left"/>
            </w:pPr>
            <w:r>
              <w:rPr>
                <w:rFonts w:ascii="Times New Roman" w:hAnsi="Times New Roman"/>
                <w:sz w:val="18"/>
              </w:rPr>
              <w:t xml:space="preserve">10 pays de la zone euro ; mensuel, 2004-2019</w:t>
            </w:r>
          </w:p>
        </w:tc>
        <w:tc>
          <w:tcPr/>
          <w:p>
            <w:pPr>
              <w:pStyle w:val="Compact"/>
              <w:spacing w:line="240" w:lineRule="auto" w:after="40"/>
              <w:jc w:val="left"/>
            </w:pPr>
            <w:r>
              <w:rPr>
                <w:rFonts w:ascii="Times New Roman" w:hAnsi="Times New Roman"/>
                <w:sz w:val="18"/>
              </w:rPr>
              <w:t xml:space="preserve">ML contre économétrie</w:t>
            </w:r>
          </w:p>
        </w:tc>
        <w:tc>
          <w:tcPr/>
          <w:p>
            <w:pPr>
              <w:pStyle w:val="Compact"/>
              <w:spacing w:line="240" w:lineRule="auto" w:after="40"/>
              <w:jc w:val="left"/>
            </w:pPr>
            <w:r>
              <w:rPr>
                <w:rFonts w:ascii="Times New Roman" w:hAnsi="Times New Roman"/>
                <w:sz w:val="18"/>
              </w:rPr>
              <w:t xml:space="preserve">Le ML suit mieux la dynamique des spreads</w:t>
            </w:r>
          </w:p>
        </w:tc>
        <w:tc>
          <w:tcPr/>
          <w:p>
            <w:pPr>
              <w:pStyle w:val="Compact"/>
              <w:spacing w:line="240" w:lineRule="auto" w:after="40"/>
              <w:jc w:val="left"/>
            </w:pPr>
            <w:r>
              <w:rPr>
                <w:rFonts w:ascii="Times New Roman" w:hAnsi="Times New Roman"/>
                <w:sz w:val="18"/>
              </w:rPr>
              <w:t xml:space="preserve">Pas centré sur les dépenses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Favero (2013)</w:t>
            </w:r>
          </w:p>
        </w:tc>
        <w:tc>
          <w:tcPr/>
          <w:p>
            <w:pPr>
              <w:pStyle w:val="Compact"/>
              <w:spacing w:line="240" w:lineRule="auto" w:after="40"/>
              <w:jc w:val="left"/>
            </w:pPr>
            <w:r>
              <w:rPr>
                <w:rFonts w:ascii="Times New Roman" w:hAnsi="Times New Roman"/>
                <w:sz w:val="18"/>
              </w:rPr>
              <w:t xml:space="preserve">Zone euro ; spreads</w:t>
            </w:r>
          </w:p>
        </w:tc>
        <w:tc>
          <w:tcPr/>
          <w:p>
            <w:pPr>
              <w:pStyle w:val="Compact"/>
              <w:spacing w:line="240" w:lineRule="auto" w:after="40"/>
              <w:jc w:val="left"/>
            </w:pPr>
            <w:r>
              <w:rPr>
                <w:rFonts w:ascii="Times New Roman" w:hAnsi="Times New Roman"/>
                <w:sz w:val="18"/>
              </w:rPr>
              <w:t xml:space="preserve">VAR global</w:t>
            </w:r>
          </w:p>
        </w:tc>
        <w:tc>
          <w:tcPr/>
          <w:p>
            <w:pPr>
              <w:pStyle w:val="Compact"/>
              <w:spacing w:line="240" w:lineRule="auto" w:after="40"/>
              <w:jc w:val="left"/>
            </w:pPr>
            <w:r>
              <w:rPr>
                <w:rFonts w:ascii="Times New Roman" w:hAnsi="Times New Roman"/>
                <w:sz w:val="18"/>
              </w:rPr>
              <w:t xml:space="preserve">Meilleure prévision hors échantillon que les modèles classiques</w:t>
            </w:r>
          </w:p>
        </w:tc>
        <w:tc>
          <w:tcPr/>
          <w:p>
            <w:pPr>
              <w:pStyle w:val="Compact"/>
              <w:spacing w:line="240" w:lineRule="auto" w:after="40"/>
              <w:jc w:val="left"/>
            </w:pPr>
            <w:r>
              <w:rPr>
                <w:rFonts w:ascii="Times New Roman" w:hAnsi="Times New Roman"/>
                <w:sz w:val="18"/>
              </w:rPr>
              <w:t xml:space="preserve">Linéaire, pas de données d’exécution</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Afonso, Arghyrou et Kontonikas (2015)</w:t>
            </w:r>
          </w:p>
        </w:tc>
        <w:tc>
          <w:tcPr/>
          <w:p>
            <w:pPr>
              <w:pStyle w:val="Compact"/>
              <w:spacing w:line="240" w:lineRule="auto" w:after="40"/>
              <w:jc w:val="left"/>
            </w:pPr>
            <w:r>
              <w:rPr>
                <w:rFonts w:ascii="Times New Roman" w:hAnsi="Times New Roman"/>
                <w:sz w:val="18"/>
              </w:rPr>
              <w:t xml:space="preserve">Zone euro, 1999-2010</w:t>
            </w:r>
          </w:p>
        </w:tc>
        <w:tc>
          <w:tcPr/>
          <w:p>
            <w:pPr>
              <w:pStyle w:val="Compact"/>
              <w:spacing w:line="240" w:lineRule="auto" w:after="40"/>
              <w:jc w:val="left"/>
            </w:pPr>
            <w:r>
              <w:rPr>
                <w:rFonts w:ascii="Times New Roman" w:hAnsi="Times New Roman"/>
                <w:sz w:val="18"/>
              </w:rPr>
              <w:t xml:space="preserve">Panel</w:t>
            </w:r>
          </w:p>
        </w:tc>
        <w:tc>
          <w:tcPr/>
          <w:p>
            <w:pPr>
              <w:pStyle w:val="Compact"/>
              <w:spacing w:line="240" w:lineRule="auto" w:after="40"/>
              <w:jc w:val="left"/>
            </w:pPr>
            <w:r>
              <w:rPr>
                <w:rFonts w:ascii="Times New Roman" w:hAnsi="Times New Roman"/>
                <w:sz w:val="18"/>
              </w:rPr>
              <w:t xml:space="preserve">Déficits attendus sanctionnés ; dette prise en compte seulement après 2009</w:t>
            </w:r>
          </w:p>
        </w:tc>
        <w:tc>
          <w:tcPr/>
          <w:p>
            <w:pPr>
              <w:pStyle w:val="Compact"/>
              <w:spacing w:line="240" w:lineRule="auto" w:after="40"/>
              <w:jc w:val="left"/>
            </w:pPr>
            <w:r>
              <w:rPr>
                <w:rFonts w:ascii="Times New Roman" w:hAnsi="Times New Roman"/>
                <w:sz w:val="18"/>
              </w:rPr>
              <w:t xml:space="preserve">Explique, ne prévoit pas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Bernoth, von Hagen et Schuknecht (2012)</w:t>
            </w:r>
          </w:p>
        </w:tc>
        <w:tc>
          <w:tcPr/>
          <w:p>
            <w:pPr>
              <w:pStyle w:val="Compact"/>
              <w:spacing w:line="240" w:lineRule="auto" w:after="40"/>
              <w:jc w:val="left"/>
            </w:pPr>
            <w:r>
              <w:rPr>
                <w:rFonts w:ascii="Times New Roman" w:hAnsi="Times New Roman"/>
                <w:sz w:val="18"/>
              </w:rPr>
              <w:t xml:space="preserve">Europe ; spreads face à l’Allemagne</w:t>
            </w:r>
          </w:p>
        </w:tc>
        <w:tc>
          <w:tcPr/>
          <w:p>
            <w:pPr>
              <w:pStyle w:val="Compact"/>
              <w:spacing w:line="240" w:lineRule="auto" w:after="40"/>
              <w:jc w:val="left"/>
            </w:pPr>
            <w:r>
              <w:rPr>
                <w:rFonts w:ascii="Times New Roman" w:hAnsi="Times New Roman"/>
                <w:sz w:val="18"/>
              </w:rPr>
              <w:t xml:space="preserve">Panel</w:t>
            </w:r>
          </w:p>
        </w:tc>
        <w:tc>
          <w:tcPr/>
          <w:p>
            <w:pPr>
              <w:pStyle w:val="Compact"/>
              <w:spacing w:line="240" w:lineRule="auto" w:after="40"/>
              <w:jc w:val="left"/>
            </w:pPr>
            <w:r>
              <w:rPr>
                <w:rFonts w:ascii="Times New Roman" w:hAnsi="Times New Roman"/>
                <w:sz w:val="18"/>
              </w:rPr>
              <w:t xml:space="preserve">Dette et déficit expliquent une partie des spreads</w:t>
            </w:r>
          </w:p>
        </w:tc>
        <w:tc>
          <w:tcPr/>
          <w:p>
            <w:pPr>
              <w:pStyle w:val="Compact"/>
              <w:spacing w:line="240" w:lineRule="auto" w:after="40"/>
              <w:jc w:val="left"/>
            </w:pPr>
            <w:r>
              <w:rPr>
                <w:rFonts w:ascii="Times New Roman" w:hAnsi="Times New Roman"/>
                <w:sz w:val="18"/>
              </w:rPr>
              <w:t xml:space="preserve">Linéaire, données annuelles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Attinasi, Checherita et Nickel (2009)</w:t>
            </w:r>
          </w:p>
        </w:tc>
        <w:tc>
          <w:tcPr/>
          <w:p>
            <w:pPr>
              <w:pStyle w:val="Compact"/>
              <w:spacing w:line="240" w:lineRule="auto" w:after="40"/>
              <w:jc w:val="left"/>
            </w:pPr>
            <w:r>
              <w:rPr>
                <w:rFonts w:ascii="Times New Roman" w:hAnsi="Times New Roman"/>
                <w:sz w:val="18"/>
              </w:rPr>
              <w:t xml:space="preserve">Zone euro, 2007-2009</w:t>
            </w:r>
          </w:p>
        </w:tc>
        <w:tc>
          <w:tcPr/>
          <w:p>
            <w:pPr>
              <w:pStyle w:val="Compact"/>
              <w:spacing w:line="240" w:lineRule="auto" w:after="40"/>
              <w:jc w:val="left"/>
            </w:pPr>
            <w:r>
              <w:rPr>
                <w:rFonts w:ascii="Times New Roman" w:hAnsi="Times New Roman"/>
                <w:sz w:val="18"/>
              </w:rPr>
              <w:t xml:space="preserve">Panel dynamique</w:t>
            </w:r>
          </w:p>
        </w:tc>
        <w:tc>
          <w:tcPr/>
          <w:p>
            <w:pPr>
              <w:pStyle w:val="Compact"/>
              <w:spacing w:line="240" w:lineRule="auto" w:after="40"/>
              <w:jc w:val="left"/>
            </w:pPr>
            <w:r>
              <w:rPr>
                <w:rFonts w:ascii="Times New Roman" w:hAnsi="Times New Roman"/>
                <w:sz w:val="18"/>
              </w:rPr>
              <w:t xml:space="preserve">Risque, liquidité, positions budgétaires attendues et annonces de sauvetage bancaire expliquent les spreads</w:t>
            </w:r>
          </w:p>
        </w:tc>
        <w:tc>
          <w:tcPr/>
          <w:p>
            <w:pPr>
              <w:pStyle w:val="Compact"/>
              <w:spacing w:line="240" w:lineRule="auto" w:after="40"/>
              <w:jc w:val="left"/>
            </w:pPr>
            <w:r>
              <w:rPr>
                <w:rFonts w:ascii="Times New Roman" w:hAnsi="Times New Roman"/>
                <w:sz w:val="18"/>
              </w:rPr>
              <w:t xml:space="preserve">Période de crise seulement</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Garlanda-Longueville (2023)</w:t>
            </w:r>
          </w:p>
        </w:tc>
        <w:tc>
          <w:tcPr/>
          <w:p>
            <w:pPr>
              <w:pStyle w:val="Compact"/>
              <w:spacing w:line="240" w:lineRule="auto" w:after="40"/>
              <w:jc w:val="left"/>
            </w:pPr>
            <w:r>
              <w:rPr>
                <w:bCs/>
                <w:rFonts w:ascii="Times New Roman" w:hAnsi="Times New Roman"/>
                <w:b/>
                <w:sz w:val="18"/>
              </w:rPr>
              <w:t xml:space="preserve">France</w:t>
            </w:r>
            <w:r>
              <w:rPr>
                <w:rFonts w:ascii="Times New Roman" w:hAnsi="Times New Roman"/>
                <w:sz w:val="18"/>
              </w:rPr>
              <w:t xml:space="preserve"> </w:t>
            </w:r>
            <w:r>
              <w:rPr>
                <w:rFonts w:ascii="Times New Roman" w:hAnsi="Times New Roman"/>
                <w:sz w:val="18"/>
              </w:rPr>
              <w:t xml:space="preserve">; annonces du Covid</w:t>
            </w:r>
          </w:p>
        </w:tc>
        <w:tc>
          <w:tcPr/>
          <w:p>
            <w:pPr>
              <w:pStyle w:val="Compact"/>
              <w:spacing w:line="240" w:lineRule="auto" w:after="40"/>
              <w:jc w:val="left"/>
            </w:pPr>
            <w:r>
              <w:rPr>
                <w:rFonts w:ascii="Times New Roman" w:hAnsi="Times New Roman"/>
                <w:sz w:val="18"/>
              </w:rPr>
              <w:t xml:space="preserve">Étude d’événements</w:t>
            </w:r>
          </w:p>
        </w:tc>
        <w:tc>
          <w:tcPr/>
          <w:p>
            <w:pPr>
              <w:pStyle w:val="Compact"/>
              <w:spacing w:line="240" w:lineRule="auto" w:after="40"/>
              <w:jc w:val="left"/>
            </w:pPr>
            <w:r>
              <w:rPr>
                <w:rFonts w:ascii="Times New Roman" w:hAnsi="Times New Roman"/>
                <w:sz w:val="18"/>
              </w:rPr>
              <w:t xml:space="preserve">Les annonces budgétaires font bouger actions et spread</w:t>
            </w:r>
          </w:p>
        </w:tc>
        <w:tc>
          <w:tcPr/>
          <w:p>
            <w:pPr>
              <w:pStyle w:val="Compact"/>
              <w:spacing w:line="240" w:lineRule="auto" w:after="40"/>
              <w:jc w:val="left"/>
            </w:pPr>
            <w:r>
              <w:rPr>
                <w:rFonts w:ascii="Times New Roman" w:hAnsi="Times New Roman"/>
                <w:sz w:val="18"/>
              </w:rPr>
              <w:t xml:space="preserve">Annonces, pas dépenses exécutées</w:t>
            </w:r>
          </w:p>
        </w:tc>
      </w:tr>
      <w:tr>
        <w:tc>
          <w:tcPr/>
          <w:p>
            <w:pPr>
              <w:pStyle w:val="Compact"/>
              <w:spacing w:line="240" w:lineRule="auto" w:after="40"/>
              <w:jc w:val="left"/>
            </w:pPr>
            <w:r>
              <w:rPr>
                <w:rFonts w:ascii="Times New Roman" w:hAnsi="Times New Roman"/>
                <w:sz w:val="18"/>
              </w:rPr>
              <w:t xml:space="preserve">Noyau européen</w:t>
            </w:r>
          </w:p>
        </w:tc>
        <w:tc>
          <w:tcPr/>
          <w:p>
            <w:pPr>
              <w:pStyle w:val="Compact"/>
              <w:spacing w:line="240" w:lineRule="auto" w:after="40"/>
              <w:jc w:val="left"/>
            </w:pPr>
            <w:r>
              <w:rPr>
                <w:rFonts w:ascii="Times New Roman" w:hAnsi="Times New Roman"/>
                <w:sz w:val="18"/>
              </w:rPr>
              <w:t xml:space="preserve">Barbier-Gauchard et Sofianos (2025)</w:t>
            </w:r>
          </w:p>
        </w:tc>
        <w:tc>
          <w:tcPr/>
          <w:p>
            <w:pPr>
              <w:pStyle w:val="Compact"/>
              <w:spacing w:line="240" w:lineRule="auto" w:after="40"/>
              <w:jc w:val="left"/>
            </w:pPr>
            <w:r>
              <w:rPr>
                <w:rFonts w:ascii="Times New Roman" w:hAnsi="Times New Roman"/>
                <w:sz w:val="18"/>
              </w:rPr>
              <w:t xml:space="preserve">17 pays de la zone euro ; dette publique</w:t>
            </w:r>
          </w:p>
        </w:tc>
        <w:tc>
          <w:tcPr/>
          <w:p>
            <w:pPr>
              <w:pStyle w:val="Compact"/>
              <w:spacing w:line="240" w:lineRule="auto" w:after="40"/>
              <w:jc w:val="left"/>
            </w:pPr>
            <w:r>
              <w:rPr>
                <w:rFonts w:ascii="Times New Roman" w:hAnsi="Times New Roman"/>
                <w:sz w:val="18"/>
              </w:rPr>
              <w:t xml:space="preserve">ML (XGBoost)</w:t>
            </w:r>
          </w:p>
        </w:tc>
        <w:tc>
          <w:tcPr/>
          <w:p>
            <w:pPr>
              <w:pStyle w:val="Compact"/>
              <w:spacing w:line="240" w:lineRule="auto" w:after="40"/>
              <w:jc w:val="left"/>
            </w:pPr>
            <w:r>
              <w:rPr>
                <w:rFonts w:ascii="Times New Roman" w:hAnsi="Times New Roman"/>
                <w:sz w:val="18"/>
              </w:rPr>
              <w:t xml:space="preserve">Prévoit mieux la dette que la Commission et le FMI</w:t>
            </w:r>
          </w:p>
        </w:tc>
        <w:tc>
          <w:tcPr/>
          <w:p>
            <w:pPr>
              <w:pStyle w:val="Compact"/>
              <w:spacing w:line="240" w:lineRule="auto" w:after="40"/>
              <w:jc w:val="left"/>
            </w:pPr>
            <w:r>
              <w:rPr>
                <w:rFonts w:ascii="Times New Roman" w:hAnsi="Times New Roman"/>
                <w:sz w:val="18"/>
              </w:rPr>
              <w:t xml:space="preserve">Cible budgétaire, pas financière</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Fama (1970)</w:t>
            </w:r>
          </w:p>
        </w:tc>
        <w:tc>
          <w:tcPr/>
          <w:p>
            <w:pPr>
              <w:pStyle w:val="Compact"/>
              <w:spacing w:line="240" w:lineRule="auto" w:after="40"/>
              <w:jc w:val="left"/>
            </w:pPr>
            <w:r>
              <w:rPr>
                <w:rFonts w:ascii="Times New Roman" w:hAnsi="Times New Roman"/>
                <w:sz w:val="18"/>
              </w:rPr>
              <w:t xml:space="preserve">Général (études surtout américaines)</w:t>
            </w:r>
          </w:p>
        </w:tc>
        <w:tc>
          <w:tcPr/>
          <w:p>
            <w:pPr>
              <w:pStyle w:val="Compact"/>
              <w:spacing w:line="240" w:lineRule="auto" w:after="40"/>
              <w:jc w:val="left"/>
            </w:pPr>
            <w:r>
              <w:rPr>
                <w:rFonts w:ascii="Times New Roman" w:hAnsi="Times New Roman"/>
                <w:sz w:val="18"/>
              </w:rPr>
              <w:t xml:space="preserve">Synthèse théorique et empirique</w:t>
            </w:r>
          </w:p>
        </w:tc>
        <w:tc>
          <w:tcPr/>
          <w:p>
            <w:pPr>
              <w:pStyle w:val="Compact"/>
              <w:spacing w:line="240" w:lineRule="auto" w:after="40"/>
              <w:jc w:val="left"/>
            </w:pPr>
            <w:r>
              <w:rPr>
                <w:rFonts w:ascii="Times New Roman" w:hAnsi="Times New Roman"/>
                <w:sz w:val="18"/>
              </w:rPr>
              <w:t xml:space="preserve">Les prix intègrent l’information publique</w:t>
            </w:r>
          </w:p>
        </w:tc>
        <w:tc>
          <w:tcPr/>
          <w:p>
            <w:pPr>
              <w:pStyle w:val="Compact"/>
              <w:spacing w:line="240" w:lineRule="auto" w:after="40"/>
              <w:jc w:val="left"/>
            </w:pPr>
            <w:r>
              <w:rPr>
                <w:rFonts w:ascii="Times New Roman" w:hAnsi="Times New Roman"/>
                <w:sz w:val="18"/>
              </w:rPr>
              <w:t xml:space="preserve">Ne porte pas sur les données budgétaires</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Ramey (2011)</w:t>
            </w:r>
          </w:p>
        </w:tc>
        <w:tc>
          <w:tcPr/>
          <w:p>
            <w:pPr>
              <w:pStyle w:val="Compact"/>
              <w:spacing w:line="240" w:lineRule="auto" w:after="40"/>
              <w:jc w:val="left"/>
            </w:pPr>
            <w:r>
              <w:rPr>
                <w:rFonts w:ascii="Times New Roman" w:hAnsi="Times New Roman"/>
                <w:sz w:val="18"/>
              </w:rPr>
              <w:t xml:space="preserve">États-Unis ; trimestriel</w:t>
            </w:r>
          </w:p>
        </w:tc>
        <w:tc>
          <w:tcPr/>
          <w:p>
            <w:pPr>
              <w:pStyle w:val="Compact"/>
              <w:spacing w:line="240" w:lineRule="auto" w:after="40"/>
              <w:jc w:val="left"/>
            </w:pPr>
            <w:r>
              <w:rPr>
                <w:rFonts w:ascii="Times New Roman" w:hAnsi="Times New Roman"/>
                <w:sz w:val="18"/>
              </w:rPr>
              <w:t xml:space="preserve">VAR, chocs narratifs</w:t>
            </w:r>
          </w:p>
        </w:tc>
        <w:tc>
          <w:tcPr/>
          <w:p>
            <w:pPr>
              <w:pStyle w:val="Compact"/>
              <w:spacing w:line="240" w:lineRule="auto" w:after="40"/>
              <w:jc w:val="left"/>
            </w:pPr>
            <w:r>
              <w:rPr>
                <w:rFonts w:ascii="Times New Roman" w:hAnsi="Times New Roman"/>
                <w:sz w:val="18"/>
              </w:rPr>
              <w:t xml:space="preserve">Les chocs de dépenses sont anticipés</w:t>
            </w:r>
          </w:p>
        </w:tc>
        <w:tc>
          <w:tcPr/>
          <w:p>
            <w:pPr>
              <w:pStyle w:val="Compact"/>
              <w:spacing w:line="240" w:lineRule="auto" w:after="40"/>
              <w:jc w:val="left"/>
            </w:pPr>
            <w:r>
              <w:rPr>
                <w:rFonts w:ascii="Times New Roman" w:hAnsi="Times New Roman"/>
                <w:sz w:val="18"/>
              </w:rPr>
              <w:t xml:space="preserve">Explique, ne prévoit pas</w:t>
            </w:r>
          </w:p>
        </w:tc>
      </w:tr>
      <w:tr>
        <w:tc>
          <w:tcPr/>
          <w:p>
            <w:pPr>
              <w:pStyle w:val="Compact"/>
              <w:spacing w:line="240" w:lineRule="auto" w:after="40"/>
              <w:jc w:val="left"/>
            </w:pPr>
            <w:r>
              <w:rPr>
                <w:rFonts w:ascii="Times New Roman" w:hAnsi="Times New Roman"/>
                <w:sz w:val="18"/>
              </w:rPr>
              <w:t xml:space="preserve">Cadre théorique</w:t>
            </w:r>
          </w:p>
        </w:tc>
        <w:tc>
          <w:tcPr/>
          <w:p>
            <w:pPr>
              <w:pStyle w:val="Compact"/>
              <w:spacing w:line="240" w:lineRule="auto" w:after="40"/>
              <w:jc w:val="left"/>
            </w:pPr>
            <w:r>
              <w:rPr>
                <w:rFonts w:ascii="Times New Roman" w:hAnsi="Times New Roman"/>
                <w:sz w:val="18"/>
              </w:rPr>
              <w:t xml:space="preserve">Welch et Goyal (2008)</w:t>
            </w:r>
          </w:p>
        </w:tc>
        <w:tc>
          <w:tcPr/>
          <w:p>
            <w:pPr>
              <w:pStyle w:val="Compact"/>
              <w:spacing w:line="240" w:lineRule="auto" w:after="40"/>
              <w:jc w:val="left"/>
            </w:pPr>
            <w:r>
              <w:rPr>
                <w:rFonts w:ascii="Times New Roman" w:hAnsi="Times New Roman"/>
                <w:sz w:val="18"/>
              </w:rPr>
              <w:t xml:space="preserve">États-Unis ; actions</w:t>
            </w:r>
          </w:p>
        </w:tc>
        <w:tc>
          <w:tcPr/>
          <w:p>
            <w:pPr>
              <w:pStyle w:val="Compact"/>
              <w:spacing w:line="240" w:lineRule="auto" w:after="40"/>
              <w:jc w:val="left"/>
            </w:pPr>
            <w:r>
              <w:rPr>
                <w:rFonts w:ascii="Times New Roman" w:hAnsi="Times New Roman"/>
                <w:sz w:val="18"/>
              </w:rPr>
              <w:t xml:space="preserve">Régressions hors échantillon</w:t>
            </w:r>
          </w:p>
        </w:tc>
        <w:tc>
          <w:tcPr/>
          <w:p>
            <w:pPr>
              <w:pStyle w:val="Compact"/>
              <w:spacing w:line="240" w:lineRule="auto" w:after="40"/>
              <w:jc w:val="left"/>
            </w:pPr>
            <w:r>
              <w:rPr>
                <w:rFonts w:ascii="Times New Roman" w:hAnsi="Times New Roman"/>
                <w:sz w:val="18"/>
              </w:rPr>
              <w:t xml:space="preserve">Peu de prédicteurs battent la moyenne historique</w:t>
            </w:r>
          </w:p>
        </w:tc>
        <w:tc>
          <w:tcPr/>
          <w:p>
            <w:pPr>
              <w:pStyle w:val="Compact"/>
              <w:spacing w:line="240" w:lineRule="auto" w:after="40"/>
              <w:jc w:val="left"/>
            </w:pPr>
            <w:r>
              <w:rPr>
                <w:rFonts w:ascii="Times New Roman" w:hAnsi="Times New Roman"/>
                <w:sz w:val="18"/>
              </w:rPr>
              <w:t xml:space="preserve">Pas de ML, pas d’obligations</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Gu, Kelly et Xiu (2020)</w:t>
            </w:r>
          </w:p>
        </w:tc>
        <w:tc>
          <w:tcPr/>
          <w:p>
            <w:pPr>
              <w:pStyle w:val="Compact"/>
              <w:spacing w:line="240" w:lineRule="auto" w:after="40"/>
              <w:jc w:val="left"/>
            </w:pPr>
            <w:r>
              <w:rPr>
                <w:rFonts w:ascii="Times New Roman" w:hAnsi="Times New Roman"/>
                <w:sz w:val="18"/>
              </w:rPr>
              <w:t xml:space="preserve">États-Unis ; actions</w:t>
            </w:r>
          </w:p>
        </w:tc>
        <w:tc>
          <w:tcPr/>
          <w:p>
            <w:pPr>
              <w:pStyle w:val="Compact"/>
              <w:spacing w:line="240" w:lineRule="auto" w:after="40"/>
              <w:jc w:val="left"/>
            </w:pPr>
            <w:r>
              <w:rPr>
                <w:rFonts w:ascii="Times New Roman" w:hAnsi="Times New Roman"/>
                <w:sz w:val="18"/>
              </w:rPr>
              <w:t xml:space="preserve">ML (arbres, réseaux de neurones)</w:t>
            </w:r>
          </w:p>
        </w:tc>
        <w:tc>
          <w:tcPr/>
          <w:p>
            <w:pPr>
              <w:pStyle w:val="Compact"/>
              <w:spacing w:line="240" w:lineRule="auto" w:after="40"/>
              <w:jc w:val="left"/>
            </w:pPr>
            <w:r>
              <w:rPr>
                <w:rFonts w:ascii="Times New Roman" w:hAnsi="Times New Roman"/>
                <w:sz w:val="18"/>
              </w:rPr>
              <w:t xml:space="preserve">Gain grâce à la non-linéarité</w:t>
            </w:r>
          </w:p>
        </w:tc>
        <w:tc>
          <w:tcPr/>
          <w:p>
            <w:pPr>
              <w:pStyle w:val="Compact"/>
              <w:spacing w:line="240" w:lineRule="auto" w:after="40"/>
              <w:jc w:val="left"/>
            </w:pPr>
            <w:r>
              <w:rPr>
                <w:rFonts w:ascii="Times New Roman" w:hAnsi="Times New Roman"/>
                <w:sz w:val="18"/>
              </w:rPr>
              <w:t xml:space="preserve">Pas de variables budgétaires</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Bianchi, Büchner et Tamoni (2021)</w:t>
            </w:r>
          </w:p>
        </w:tc>
        <w:tc>
          <w:tcPr/>
          <w:p>
            <w:pPr>
              <w:pStyle w:val="Compact"/>
              <w:spacing w:line="240" w:lineRule="auto" w:after="40"/>
              <w:jc w:val="left"/>
            </w:pPr>
            <w:r>
              <w:rPr>
                <w:rFonts w:ascii="Times New Roman" w:hAnsi="Times New Roman"/>
                <w:sz w:val="18"/>
              </w:rPr>
              <w:t xml:space="preserve">États-Unis ; obligations d’État</w:t>
            </w:r>
          </w:p>
        </w:tc>
        <w:tc>
          <w:tcPr/>
          <w:p>
            <w:pPr>
              <w:pStyle w:val="Compact"/>
              <w:spacing w:line="240" w:lineRule="auto" w:after="40"/>
              <w:jc w:val="left"/>
            </w:pPr>
            <w:r>
              <w:rPr>
                <w:rFonts w:ascii="Times New Roman" w:hAnsi="Times New Roman"/>
                <w:sz w:val="18"/>
              </w:rPr>
              <w:t xml:space="preserve">ML, variables macroéconomiques</w:t>
            </w:r>
          </w:p>
        </w:tc>
        <w:tc>
          <w:tcPr/>
          <w:p>
            <w:pPr>
              <w:pStyle w:val="Compact"/>
              <w:spacing w:line="240" w:lineRule="auto" w:after="40"/>
              <w:jc w:val="left"/>
            </w:pPr>
            <w:r>
              <w:rPr>
                <w:rFonts w:ascii="Times New Roman" w:hAnsi="Times New Roman"/>
                <w:sz w:val="18"/>
              </w:rPr>
              <w:t xml:space="preserve">Meilleure prévision des rendements obligataires</w:t>
            </w:r>
          </w:p>
        </w:tc>
        <w:tc>
          <w:tcPr/>
          <w:p>
            <w:pPr>
              <w:pStyle w:val="Compact"/>
              <w:spacing w:line="240" w:lineRule="auto" w:after="40"/>
              <w:jc w:val="left"/>
            </w:pPr>
            <w:r>
              <w:rPr>
                <w:rFonts w:ascii="Times New Roman" w:hAnsi="Times New Roman"/>
                <w:sz w:val="18"/>
              </w:rPr>
              <w:t xml:space="preserve">Pas de données budgétaires, pas la France</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Giannone, Reichlin et Small (2008)</w:t>
            </w:r>
          </w:p>
        </w:tc>
        <w:tc>
          <w:tcPr/>
          <w:p>
            <w:pPr>
              <w:pStyle w:val="Compact"/>
              <w:spacing w:line="240" w:lineRule="auto" w:after="40"/>
              <w:jc w:val="left"/>
            </w:pPr>
            <w:r>
              <w:rPr>
                <w:rFonts w:ascii="Times New Roman" w:hAnsi="Times New Roman"/>
                <w:sz w:val="18"/>
              </w:rPr>
              <w:t xml:space="preserve">États-Unis ; mensuel</w:t>
            </w:r>
          </w:p>
        </w:tc>
        <w:tc>
          <w:tcPr/>
          <w:p>
            <w:pPr>
              <w:pStyle w:val="Compact"/>
              <w:spacing w:line="240" w:lineRule="auto" w:after="40"/>
              <w:jc w:val="left"/>
            </w:pPr>
            <w:r>
              <w:rPr>
                <w:rFonts w:ascii="Times New Roman" w:hAnsi="Times New Roman"/>
                <w:sz w:val="18"/>
              </w:rPr>
              <w:t xml:space="preserve">Modèle à facteurs</w:t>
            </w:r>
          </w:p>
        </w:tc>
        <w:tc>
          <w:tcPr/>
          <w:p>
            <w:pPr>
              <w:pStyle w:val="Compact"/>
              <w:spacing w:line="240" w:lineRule="auto" w:after="40"/>
              <w:jc w:val="left"/>
            </w:pPr>
            <w:r>
              <w:rPr>
                <w:rFonts w:ascii="Times New Roman" w:hAnsi="Times New Roman"/>
                <w:sz w:val="18"/>
              </w:rPr>
              <w:t xml:space="preserve">Le calendrier de publication fixe la valeur d’une donnée</w:t>
            </w:r>
          </w:p>
        </w:tc>
        <w:tc>
          <w:tcPr/>
          <w:p>
            <w:pPr>
              <w:pStyle w:val="Compact"/>
              <w:spacing w:line="240" w:lineRule="auto" w:after="40"/>
              <w:jc w:val="left"/>
            </w:pPr>
            <w:r>
              <w:rPr>
                <w:rFonts w:ascii="Times New Roman" w:hAnsi="Times New Roman"/>
                <w:sz w:val="18"/>
              </w:rPr>
              <w:t xml:space="preserve">Cible : le PIB</w:t>
            </w:r>
          </w:p>
        </w:tc>
      </w:tr>
      <w:tr>
        <w:tc>
          <w:tcPr/>
          <w:p>
            <w:pPr>
              <w:pStyle w:val="Compact"/>
              <w:spacing w:line="240" w:lineRule="auto" w:after="40"/>
              <w:jc w:val="left"/>
            </w:pPr>
            <w:r>
              <w:rPr>
                <w:rFonts w:ascii="Times New Roman" w:hAnsi="Times New Roman"/>
                <w:sz w:val="18"/>
              </w:rPr>
              <w:t xml:space="preserve">Méthode</w:t>
            </w:r>
          </w:p>
        </w:tc>
        <w:tc>
          <w:tcPr/>
          <w:p>
            <w:pPr>
              <w:pStyle w:val="Compact"/>
              <w:spacing w:line="240" w:lineRule="auto" w:after="40"/>
              <w:jc w:val="left"/>
            </w:pPr>
            <w:r>
              <w:rPr>
                <w:rFonts w:ascii="Times New Roman" w:hAnsi="Times New Roman"/>
                <w:sz w:val="18"/>
              </w:rPr>
              <w:t xml:space="preserve">Croushore (2011)</w:t>
            </w:r>
          </w:p>
        </w:tc>
        <w:tc>
          <w:tcPr/>
          <w:p>
            <w:pPr>
              <w:pStyle w:val="Compact"/>
              <w:spacing w:line="240" w:lineRule="auto" w:after="40"/>
              <w:jc w:val="left"/>
            </w:pPr>
            <w:r>
              <w:rPr>
                <w:rFonts w:ascii="Times New Roman" w:hAnsi="Times New Roman"/>
                <w:sz w:val="18"/>
              </w:rPr>
              <w:t xml:space="preserve">États-Unis ; données en temps réel</w:t>
            </w:r>
          </w:p>
        </w:tc>
        <w:tc>
          <w:tcPr/>
          <w:p>
            <w:pPr>
              <w:pStyle w:val="Compact"/>
              <w:spacing w:line="240" w:lineRule="auto" w:after="40"/>
              <w:jc w:val="left"/>
            </w:pPr>
            <w:r>
              <w:rPr>
                <w:rFonts w:ascii="Times New Roman" w:hAnsi="Times New Roman"/>
                <w:sz w:val="18"/>
              </w:rPr>
              <w:t xml:space="preserve">Synthèse</w:t>
            </w:r>
          </w:p>
        </w:tc>
        <w:tc>
          <w:tcPr/>
          <w:p>
            <w:pPr>
              <w:pStyle w:val="Compact"/>
              <w:spacing w:line="240" w:lineRule="auto" w:after="40"/>
              <w:jc w:val="left"/>
            </w:pPr>
            <w:r>
              <w:rPr>
                <w:rFonts w:ascii="Times New Roman" w:hAnsi="Times New Roman"/>
                <w:sz w:val="18"/>
              </w:rPr>
              <w:t xml:space="preserve">Les révisions faussent l’évaluation des modèles</w:t>
            </w:r>
          </w:p>
        </w:tc>
        <w:tc>
          <w:tcPr/>
          <w:p>
            <w:pPr>
              <w:pStyle w:val="Compact"/>
              <w:spacing w:line="240" w:lineRule="auto" w:after="40"/>
              <w:jc w:val="left"/>
            </w:pPr>
            <w:r>
              <w:rPr>
                <w:rFonts w:ascii="Times New Roman" w:hAnsi="Times New Roman"/>
                <w:sz w:val="18"/>
              </w:rPr>
              <w:t xml:space="preserve">Pas de marchés financiers</w:t>
            </w:r>
          </w:p>
        </w:tc>
      </w:tr>
    </w:tbl>
    <w:p>
      <w:pPr>
        <w:pStyle w:val="BodyText"/>
        <w:keepNext w:val="0"/>
        <w:spacing w:line="240" w:lineRule="auto" w:before="40" w:after="240"/>
        <w:jc w:val="left"/>
      </w:pPr>
      <w:r>
        <w:rPr>
          <w:iCs/>
          <w:i/>
          <w:sz w:val="20"/>
        </w:rPr>
        <w:t xml:space="preserve">Source : élaboration de l’auteur.</w:t>
      </w:r>
    </w:p>
    <w:bookmarkStart w:id="43" w:name="le-vide-identifié"/>
    <w:p>
      <w:pPr>
        <w:pStyle w:val="Heading3"/>
      </w:pPr>
      <w:r>
        <w:t>1.5.1 Le vide identifié.</w:t>
      </w:r>
    </w:p>
    <w:p>
      <w:pPr>
        <w:pStyle w:val="FirstParagraph"/>
      </w:pPr>
      <w:r>
        <w:t xml:space="preserve">La littérature se partage en deux blocs qui se croisent peu :</w:t>
      </w:r>
    </w:p>
    <w:p>
      <w:pPr>
        <w:numPr>
          <w:ilvl w:val="0"/>
          <w:numId w:val="1006"/>
        </w:numPr>
        <w:pStyle w:val="Compact"/>
      </w:pPr>
      <w:r>
        <w:rPr>
          <w:bCs/>
          <w:b/>
        </w:rPr>
        <w:t xml:space="preserve">Le bloc macro-budgétaire</w:t>
      </w:r>
      <w:r>
        <w:t xml:space="preserve"> </w:t>
      </w:r>
      <w:r>
        <w:t xml:space="preserve">relie finances publiques et taux souverains. Il utilise des modèles linéaires et des données annuelles ou trimestrielles, et il cherche à expliquer plutôt qu’à prévoir.</w:t>
      </w:r>
    </w:p>
    <w:p>
      <w:pPr>
        <w:numPr>
          <w:ilvl w:val="0"/>
          <w:numId w:val="1006"/>
        </w:numPr>
        <w:pStyle w:val="Compact"/>
      </w:pPr>
      <w:r>
        <w:rPr>
          <w:bCs/>
          <w:b/>
        </w:rPr>
        <w:t xml:space="preserve">Le bloc machine learning</w:t>
      </w:r>
      <w:r>
        <w:t xml:space="preserve"> </w:t>
      </w:r>
      <w:r>
        <w:t xml:space="preserve">montre des gains de prévision sur les marchés financiers. Mais il n’utilise pas les données d’exécution budgétaire.</w:t>
      </w:r>
    </w:p>
    <w:p>
      <w:pPr>
        <w:pStyle w:val="FirstParagraph"/>
      </w:pPr>
      <w:r>
        <w:t xml:space="preserve">Un troisième constat s’ajoute :</w:t>
      </w:r>
      <w:r>
        <w:t xml:space="preserve"> </w:t>
      </w:r>
      <w:r>
        <w:rPr>
          <w:bCs/>
          <w:b/>
        </w:rPr>
        <w:t xml:space="preserve">la France est peu étudiée.</w:t>
      </w:r>
      <w:r>
        <w:t xml:space="preserve"> </w:t>
      </w:r>
      <w:r>
        <w:t xml:space="preserve">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pPr>
      <w:r>
        <w:t xml:space="preserve">Bouillot, Candelon et Kool (2025) commencent à rapprocher les deux blocs. Notre travail s’en distingue sur trois points :</w:t>
      </w:r>
    </w:p>
    <w:p>
      <w:pPr>
        <w:numPr>
          <w:ilvl w:val="0"/>
          <w:numId w:val="1007"/>
        </w:numPr>
        <w:pStyle w:val="Compact"/>
      </w:pPr>
      <w:r>
        <w:rPr>
          <w:bCs/>
          <w:b/>
        </w:rPr>
        <w:t xml:space="preserve">Nous isolons l’apport des dépenses publiques.</w:t>
      </w:r>
      <w:r>
        <w:t xml:space="preserve"> </w:t>
      </w:r>
      <w:r>
        <w:t xml:space="preserve">Chez eux, les finances publiques sont mêlées à près de 5 000 variables. Ici, nous comparons explicitement le même modèle avec et sans dépenses.</w:t>
      </w:r>
    </w:p>
    <w:p>
      <w:pPr>
        <w:numPr>
          <w:ilvl w:val="0"/>
          <w:numId w:val="1007"/>
        </w:numPr>
        <w:pStyle w:val="Compact"/>
      </w:pPr>
      <w:r>
        <w:rPr>
          <w:bCs/>
          <w:b/>
        </w:rPr>
        <w:t xml:space="preserve">Nous utilisons les données détaillées d’exécution du budget français</w:t>
      </w:r>
      <w:r>
        <w:t xml:space="preserve">, par catégorie de dépense, en open data.</w:t>
      </w:r>
    </w:p>
    <w:p>
      <w:pPr>
        <w:numPr>
          <w:ilvl w:val="0"/>
          <w:numId w:val="1007"/>
        </w:numPr>
        <w:pStyle w:val="Compact"/>
      </w:pPr>
      <w:r>
        <w:rPr>
          <w:bCs/>
          <w:b/>
        </w:rPr>
        <w:t xml:space="preserve">Nous comparons trois indicateurs</w:t>
      </w:r>
      <w:r>
        <w:t xml:space="preserve"> </w:t>
      </w:r>
      <w:r>
        <w:t xml:space="preserve">plus ou moins exposés au risque souverain : le spread, le taux OAT et le CAC 40.</w:t>
      </w:r>
    </w:p>
    <w:bookmarkEnd w:id="43"/>
    <w:bookmarkStart w:id="44" w:name="problématique-et-hypothèses"/>
    <w:p>
      <w:pPr>
        <w:pStyle w:val="Heading3"/>
      </w:pPr>
      <w:r>
        <w:t>1.5.2 Problématique et hypothèses.</w:t>
      </w:r>
    </w:p>
    <w:p>
      <w:pPr>
        <w:pStyle w:val="FirstParagraph"/>
      </w:pPr>
      <w:r>
        <w:t xml:space="preserve">Notre problématique est la suivante :</w:t>
      </w:r>
      <w:r>
        <w:t xml:space="preserve"> </w:t>
      </w:r>
      <w:r>
        <w:rPr>
          <w:bCs/>
          <w:b/>
        </w:rPr>
        <w:t xml:space="preserve">peut-on prédire des indicateurs des marchés financiers à partir des données de dépenses publiques ouvertes en utilisant des techniques de machine learning ?</w:t>
      </w:r>
    </w:p>
    <w:p>
      <w:pPr>
        <w:pStyle w:val="BodyText"/>
      </w:pPr>
      <w:r>
        <w:t xml:space="preserve">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pPr>
      <w:r>
        <w:t xml:space="preserve">Nous formulons quatre hypothèses :</w:t>
      </w:r>
    </w:p>
    <w:p>
      <w:pPr>
        <w:numPr>
          <w:ilvl w:val="0"/>
          <w:numId w:val="1008"/>
        </w:numPr>
        <w:pStyle w:val="Compact"/>
      </w:pPr>
      <w:r>
        <w:rPr>
          <w:bCs/>
          <w:b/>
        </w:rPr>
        <w:t xml:space="preserve">H1.</w:t>
      </w:r>
      <w:r>
        <w:t xml:space="preserve"> </w:t>
      </w:r>
      <w:r>
        <w:t xml:space="preserve">Pour au moins un des trois indicateurs, un modèle qui intègre les dépenses publiques prévoit mieux qu’un modèle qui n’utilise que les variables de contrôle.</w:t>
      </w:r>
    </w:p>
    <w:p>
      <w:pPr>
        <w:numPr>
          <w:ilvl w:val="0"/>
          <w:numId w:val="1008"/>
        </w:numPr>
        <w:pStyle w:val="Compact"/>
      </w:pPr>
      <w:r>
        <w:rPr>
          <w:bCs/>
          <w:b/>
        </w:rPr>
        <w:t xml:space="preserve">H2.</w:t>
      </w:r>
      <w:r>
        <w:t xml:space="preserve"> </w:t>
      </w:r>
      <w:r>
        <w:t xml:space="preserve">L’apport des dépenses diminue du spread au taux OAT, puis au CAC 40, à mesure que l’indicateur est moins exposé au risque souverain.</w:t>
      </w:r>
    </w:p>
    <w:p>
      <w:pPr>
        <w:numPr>
          <w:ilvl w:val="0"/>
          <w:numId w:val="1008"/>
        </w:numPr>
        <w:pStyle w:val="Compact"/>
      </w:pPr>
      <w:r>
        <w:rPr>
          <w:bCs/>
          <w:b/>
        </w:rPr>
        <w:t xml:space="preserve">H3.</w:t>
      </w:r>
      <w:r>
        <w:t xml:space="preserve"> </w:t>
      </w:r>
      <w:r>
        <w:t xml:space="preserve">Les modèles de machine learning (forêt aléatoire, XGBoost) prévoient mieux que les modèles linéaires.</w:t>
      </w:r>
    </w:p>
    <w:p>
      <w:pPr>
        <w:numPr>
          <w:ilvl w:val="0"/>
          <w:numId w:val="1008"/>
        </w:numPr>
        <w:pStyle w:val="Compact"/>
      </w:pPr>
      <w:r>
        <w:rPr>
          <w:bCs/>
          <w:b/>
        </w:rPr>
        <w:t xml:space="preserve">H4.</w:t>
      </w:r>
      <w:r>
        <w:t xml:space="preserve"> </w:t>
      </w:r>
      <w:r>
        <w:t xml:space="preserve">Parmi les dépenses, la charge de la dette et les dépenses d’intervention sont les plus prédictives.</w:t>
      </w:r>
    </w:p>
    <w:p>
      <w:pPr>
        <w:pStyle w:val="FirstParagraph"/>
      </w:pPr>
      <w:r>
        <w:t xml:space="preserve">En suivant Fama (1970) et Ramey (2011), un rejet de H1 reste un résultat plausible, et il nous apprendrait quelque chose.</w:t>
      </w:r>
    </w:p>
    <w:p>
      <w:r>
        <w:br w:type="page"/>
      </w:r>
    </w:p>
    <w:bookmarkEnd w:id="44"/>
    <w:bookmarkEnd w:id="45"/>
    <w:bookmarkEnd w:id="46"/>
    <w:bookmarkStart w:id="70" w:name="chapitre-2-données-et-méthodologie"/>
    <w:p>
      <w:pPr>
        <w:pStyle w:val="Heading1"/>
      </w:pPr>
      <w:r>
        <w:t xml:space="preserve">Chapitre 2 – Données et méthodologie</w:t>
      </w:r>
    </w:p>
    <w:bookmarkStart w:id="47" w:name="introduction-du-chapitre-1"/>
    <w:p>
      <w:pPr>
        <w:pStyle w:val="Heading2"/>
      </w:pPr>
      <w:r>
        <w:t xml:space="preserve">Introduction du chapitre</w:t>
      </w:r>
    </w:p>
    <w:p>
      <w:pPr>
        <w:pStyle w:val="FirstParagraph"/>
      </w:pPr>
      <w:r>
        <w:t xml:space="preserve">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pPr>
      <w:r>
        <w:t xml:space="preserve">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pPr>
      <w:r>
        <w:t xml:space="preserve">Le code et les données sont publiés sur GitHub. Chaque tableau et chaque figure de ce mémoire peut donc être recalculé à partir des fichiers bruts.</w:t>
      </w:r>
    </w:p>
    <w:bookmarkEnd w:id="47"/>
    <w:bookmarkStart w:id="48" w:name="sources-des-données"/>
    <w:p>
      <w:pPr>
        <w:pStyle w:val="Heading2"/>
      </w:pPr>
      <w:r>
        <w:t xml:space="preserve">2.1 Sources des données</w:t>
      </w:r>
    </w:p>
    <w:p>
      <w:pPr>
        <w:pStyle w:val="FirstParagraph"/>
      </w:pPr>
      <w:r>
        <w:t xml:space="preserve">Le sujet impose des données ouvertes. Toutes nos sources sont donc publiques et gratuites. Elles couvrent la période de janvier 2013 à août 2026, en fréquence mensuelle.</w:t>
      </w:r>
    </w:p>
    <w:p>
      <w:pPr>
        <w:pStyle w:val="BodyText"/>
        <w:keepNext/>
        <w:spacing w:line="240" w:lineRule="auto" w:before="120" w:after="80"/>
        <w:jc w:val="left"/>
      </w:pPr>
      <w:r>
        <w:rPr>
          <w:bCs/>
          <w:b/>
          <w:sz w:val="22"/>
        </w:rPr>
        <w:t xml:space="preserve">Tableau 2.1 – Sources des données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Donnée</w:t>
            </w:r>
          </w:p>
        </w:tc>
        <w:tc>
          <w:tcPr>
            <w:shd w:val="clear" w:color="auto" w:fill="E7E6E6"/>
          </w:tcPr>
          <w:p>
            <w:pPr>
              <w:pStyle w:val="Compact"/>
              <w:spacing w:line="240" w:lineRule="auto" w:after="40"/>
              <w:jc w:val="left"/>
            </w:pPr>
            <w:r>
              <w:rPr>
                <w:rFonts w:ascii="Times New Roman" w:hAnsi="Times New Roman"/>
                <w:b/>
                <w:sz w:val="20"/>
              </w:rPr>
              <w:t xml:space="preserve">Source</w:t>
            </w:r>
          </w:p>
        </w:tc>
        <w:tc>
          <w:tcPr>
            <w:shd w:val="clear" w:color="auto" w:fill="E7E6E6"/>
          </w:tcPr>
          <w:p>
            <w:pPr>
              <w:pStyle w:val="Compact"/>
              <w:spacing w:line="240" w:lineRule="auto" w:after="40"/>
              <w:jc w:val="left"/>
            </w:pPr>
            <w:r>
              <w:rPr>
                <w:rFonts w:ascii="Times New Roman" w:hAnsi="Times New Roman"/>
                <w:b/>
                <w:sz w:val="20"/>
              </w:rPr>
              <w:t xml:space="preserve">Fréquence</w:t>
            </w:r>
          </w:p>
        </w:tc>
        <w:tc>
          <w:tcPr>
            <w:shd w:val="clear" w:color="auto" w:fill="E7E6E6"/>
          </w:tcPr>
          <w:p>
            <w:pPr>
              <w:pStyle w:val="Compact"/>
              <w:spacing w:line="240" w:lineRule="auto" w:after="40"/>
              <w:jc w:val="left"/>
            </w:pPr>
            <w:r>
              <w:rPr>
                <w:rFonts w:ascii="Times New Roman" w:hAnsi="Times New Roman"/>
                <w:b/>
                <w:sz w:val="20"/>
              </w:rPr>
              <w:t xml:space="preserve">Usage</w:t>
            </w:r>
          </w:p>
        </w:tc>
      </w:tr>
      <w:tr>
        <w:tc>
          <w:tcPr/>
          <w:p>
            <w:pPr>
              <w:pStyle w:val="Compact"/>
              <w:spacing w:line="240" w:lineRule="auto" w:after="40"/>
              <w:jc w:val="left"/>
            </w:pPr>
            <w:r>
              <w:rPr>
                <w:rFonts w:ascii="Times New Roman" w:hAnsi="Times New Roman"/>
                <w:sz w:val="20"/>
              </w:rPr>
              <w:t xml:space="preserve">Situations mensuelles budgétaires de l’État (séries longues)</w:t>
            </w:r>
          </w:p>
        </w:tc>
        <w:tc>
          <w:tcPr/>
          <w:p>
            <w:pPr>
              <w:pStyle w:val="Compact"/>
              <w:spacing w:line="240" w:lineRule="auto" w:after="40"/>
              <w:jc w:val="left"/>
            </w:pPr>
            <w:r>
              <w:rPr>
                <w:rFonts w:ascii="Times New Roman" w:hAnsi="Times New Roman"/>
                <w:sz w:val="20"/>
              </w:rPr>
              <w:t xml:space="preserve">DGFiP, data.economie.gouv.fr</w:t>
            </w:r>
          </w:p>
        </w:tc>
        <w:tc>
          <w:tcPr/>
          <w:p>
            <w:pPr>
              <w:pStyle w:val="Compact"/>
              <w:spacing w:line="240" w:lineRule="auto" w:after="40"/>
              <w:jc w:val="left"/>
            </w:pPr>
            <w:r>
              <w:rPr>
                <w:rFonts w:ascii="Times New Roman" w:hAnsi="Times New Roman"/>
                <w:sz w:val="20"/>
              </w:rPr>
              <w:t xml:space="preserve">Mensuelle, cumul depuis janvier</w:t>
            </w:r>
          </w:p>
        </w:tc>
        <w:tc>
          <w:tcPr/>
          <w:p>
            <w:pPr>
              <w:pStyle w:val="Compact"/>
              <w:spacing w:line="240" w:lineRule="auto" w:after="40"/>
              <w:jc w:val="left"/>
            </w:pPr>
            <w:r>
              <w:rPr>
                <w:rFonts w:ascii="Times New Roman" w:hAnsi="Times New Roman"/>
                <w:sz w:val="20"/>
              </w:rPr>
              <w:t xml:space="preserve">Variables de dépenses, recettes et solde</w:t>
            </w:r>
          </w:p>
        </w:tc>
      </w:tr>
      <w:tr>
        <w:tc>
          <w:tcPr/>
          <w:p>
            <w:pPr>
              <w:pStyle w:val="Compact"/>
              <w:spacing w:line="240" w:lineRule="auto" w:after="40"/>
              <w:jc w:val="left"/>
            </w:pPr>
            <w:r>
              <w:rPr>
                <w:rFonts w:ascii="Times New Roman" w:hAnsi="Times New Roman"/>
                <w:sz w:val="20"/>
              </w:rPr>
              <w:t xml:space="preserve">Budget voté (lois de finances initiales)</w:t>
            </w:r>
          </w:p>
        </w:tc>
        <w:tc>
          <w:tcPr/>
          <w:p>
            <w:pPr>
              <w:pStyle w:val="Compact"/>
              <w:spacing w:line="240" w:lineRule="auto" w:after="40"/>
              <w:jc w:val="left"/>
            </w:pPr>
            <w:r>
              <w:rPr>
                <w:rFonts w:ascii="Times New Roman" w:hAnsi="Times New Roman"/>
                <w:sz w:val="20"/>
              </w:rPr>
              <w:t xml:space="preserve">DGFiP, data.economie.gouv.fr</w:t>
            </w:r>
          </w:p>
        </w:tc>
        <w:tc>
          <w:tcPr/>
          <w:p>
            <w:pPr>
              <w:pStyle w:val="Compact"/>
              <w:spacing w:line="240" w:lineRule="auto" w:after="40"/>
              <w:jc w:val="left"/>
            </w:pPr>
            <w:r>
              <w:rPr>
                <w:rFonts w:ascii="Times New Roman" w:hAnsi="Times New Roman"/>
                <w:sz w:val="20"/>
              </w:rPr>
              <w:t xml:space="preserve">Annuelle</w:t>
            </w:r>
          </w:p>
        </w:tc>
        <w:tc>
          <w:tcPr/>
          <w:p>
            <w:pPr>
              <w:pStyle w:val="Compact"/>
              <w:spacing w:line="240" w:lineRule="auto" w:after="40"/>
              <w:jc w:val="left"/>
            </w:pPr>
            <w:r>
              <w:rPr>
                <w:rFonts w:ascii="Times New Roman" w:hAnsi="Times New Roman"/>
                <w:sz w:val="20"/>
              </w:rPr>
              <w:t xml:space="preserve">Surprise budgétaire (extension E4)</w:t>
            </w:r>
          </w:p>
        </w:tc>
      </w:tr>
      <w:tr>
        <w:tc>
          <w:tcPr/>
          <w:p>
            <w:pPr>
              <w:pStyle w:val="Compact"/>
              <w:spacing w:line="240" w:lineRule="auto" w:after="40"/>
              <w:jc w:val="left"/>
            </w:pPr>
            <w:r>
              <w:rPr>
                <w:rFonts w:ascii="Times New Roman" w:hAnsi="Times New Roman"/>
                <w:sz w:val="20"/>
              </w:rPr>
              <w:t xml:space="preserve">Taux à 10 ans France (OAT) et Allemagne (Bund)</w:t>
            </w:r>
          </w:p>
        </w:tc>
        <w:tc>
          <w:tcPr/>
          <w:p>
            <w:pPr>
              <w:pStyle w:val="Compact"/>
              <w:spacing w:line="240" w:lineRule="auto" w:after="40"/>
              <w:jc w:val="left"/>
            </w:pPr>
            <w:r>
              <w:rPr>
                <w:rFonts w:ascii="Times New Roman" w:hAnsi="Times New Roman"/>
                <w:sz w:val="20"/>
              </w:rPr>
              <w:t xml:space="preserve">OCDE, via FRED</w:t>
            </w:r>
          </w:p>
        </w:tc>
        <w:tc>
          <w:tcPr/>
          <w:p>
            <w:pPr>
              <w:pStyle w:val="Compact"/>
              <w:spacing w:line="240" w:lineRule="auto" w:after="40"/>
              <w:jc w:val="left"/>
            </w:pPr>
            <w:r>
              <w:rPr>
                <w:rFonts w:ascii="Times New Roman" w:hAnsi="Times New Roman"/>
                <w:sz w:val="20"/>
              </w:rPr>
              <w:t xml:space="preserve">Mensuelle (moyenne)</w:t>
            </w:r>
          </w:p>
        </w:tc>
        <w:tc>
          <w:tcPr/>
          <w:p>
            <w:pPr>
              <w:pStyle w:val="Compact"/>
              <w:spacing w:line="240" w:lineRule="auto" w:after="40"/>
              <w:jc w:val="left"/>
            </w:pPr>
            <w:r>
              <w:rPr>
                <w:rFonts w:ascii="Times New Roman" w:hAnsi="Times New Roman"/>
                <w:sz w:val="20"/>
              </w:rPr>
              <w:t xml:space="preserve">Cibles et contrôles</w:t>
            </w:r>
          </w:p>
        </w:tc>
      </w:tr>
      <w:tr>
        <w:tc>
          <w:tcPr/>
          <w:p>
            <w:pPr>
              <w:pStyle w:val="Compact"/>
              <w:spacing w:line="240" w:lineRule="auto" w:after="40"/>
              <w:jc w:val="left"/>
            </w:pPr>
            <w:r>
              <w:rPr>
                <w:rFonts w:ascii="Times New Roman" w:hAnsi="Times New Roman"/>
                <w:sz w:val="20"/>
              </w:rPr>
              <w:t xml:space="preserve">CAC 40</w:t>
            </w:r>
          </w:p>
        </w:tc>
        <w:tc>
          <w:tcPr/>
          <w:p>
            <w:pPr>
              <w:pStyle w:val="Compact"/>
              <w:spacing w:line="240" w:lineRule="auto" w:after="40"/>
              <w:jc w:val="left"/>
            </w:pPr>
            <w:r>
              <w:rPr>
                <w:rFonts w:ascii="Times New Roman" w:hAnsi="Times New Roman"/>
                <w:sz w:val="20"/>
              </w:rPr>
              <w:t xml:space="preserve">Yahoo Finance</w:t>
            </w:r>
          </w:p>
        </w:tc>
        <w:tc>
          <w:tcPr/>
          <w:p>
            <w:pPr>
              <w:pStyle w:val="Compact"/>
              <w:spacing w:line="240" w:lineRule="auto" w:after="40"/>
              <w:jc w:val="left"/>
            </w:pPr>
            <w:r>
              <w:rPr>
                <w:rFonts w:ascii="Times New Roman" w:hAnsi="Times New Roman"/>
                <w:sz w:val="20"/>
              </w:rPr>
              <w:t xml:space="preserve">Quotidienne, ramenée au dernier cours du mois</w:t>
            </w:r>
          </w:p>
        </w:tc>
        <w:tc>
          <w:tcPr/>
          <w:p>
            <w:pPr>
              <w:pStyle w:val="Compact"/>
              <w:spacing w:line="240" w:lineRule="auto" w:after="40"/>
              <w:jc w:val="left"/>
            </w:pPr>
            <w:r>
              <w:rPr>
                <w:rFonts w:ascii="Times New Roman" w:hAnsi="Times New Roman"/>
                <w:sz w:val="20"/>
              </w:rPr>
              <w:t xml:space="preserve">Cible et contrôle</w:t>
            </w:r>
          </w:p>
        </w:tc>
      </w:tr>
      <w:tr>
        <w:tc>
          <w:tcPr/>
          <w:p>
            <w:pPr>
              <w:pStyle w:val="Compact"/>
              <w:spacing w:line="240" w:lineRule="auto" w:after="40"/>
              <w:jc w:val="left"/>
            </w:pPr>
            <w:r>
              <w:rPr>
                <w:rFonts w:ascii="Times New Roman" w:hAnsi="Times New Roman"/>
                <w:sz w:val="20"/>
              </w:rPr>
              <w:t xml:space="preserve">Taux directeurs de la BCE (refinancement, facilité de dépôt)</w:t>
            </w:r>
          </w:p>
        </w:tc>
        <w:tc>
          <w:tcPr/>
          <w:p>
            <w:pPr>
              <w:pStyle w:val="Compact"/>
              <w:spacing w:line="240" w:lineRule="auto" w:after="40"/>
              <w:jc w:val="left"/>
            </w:pPr>
            <w:r>
              <w:rPr>
                <w:rFonts w:ascii="Times New Roman" w:hAnsi="Times New Roman"/>
                <w:sz w:val="20"/>
              </w:rPr>
              <w:t xml:space="preserve">BCE</w:t>
            </w:r>
          </w:p>
        </w:tc>
        <w:tc>
          <w:tcPr/>
          <w:p>
            <w:pPr>
              <w:pStyle w:val="Compact"/>
              <w:spacing w:line="240" w:lineRule="auto" w:after="40"/>
              <w:jc w:val="left"/>
            </w:pPr>
            <w:r>
              <w:rPr>
                <w:rFonts w:ascii="Times New Roman" w:hAnsi="Times New Roman"/>
                <w:sz w:val="20"/>
              </w:rPr>
              <w:t xml:space="preserve">À chaque décision, prolongés jusqu’à la suivante</w:t>
            </w:r>
          </w:p>
        </w:tc>
        <w:tc>
          <w:tcPr/>
          <w:p>
            <w:pPr>
              <w:pStyle w:val="Compact"/>
              <w:spacing w:line="240" w:lineRule="auto" w:after="40"/>
              <w:jc w:val="left"/>
            </w:pPr>
            <w:r>
              <w:rPr>
                <w:rFonts w:ascii="Times New Roman" w:hAnsi="Times New Roman"/>
                <w:sz w:val="20"/>
              </w:rPr>
              <w:t xml:space="preserve">Contrôles</w:t>
            </w:r>
          </w:p>
        </w:tc>
      </w:tr>
      <w:tr>
        <w:tc>
          <w:tcPr/>
          <w:p>
            <w:pPr>
              <w:pStyle w:val="Compact"/>
              <w:spacing w:line="240" w:lineRule="auto" w:after="40"/>
              <w:jc w:val="left"/>
            </w:pPr>
            <w:r>
              <w:rPr>
                <w:rFonts w:ascii="Times New Roman" w:hAnsi="Times New Roman"/>
                <w:sz w:val="20"/>
              </w:rPr>
              <w:t xml:space="preserve">VIX (volatilité implicite)</w:t>
            </w:r>
          </w:p>
        </w:tc>
        <w:tc>
          <w:tcPr/>
          <w:p>
            <w:pPr>
              <w:pStyle w:val="Compact"/>
              <w:spacing w:line="240" w:lineRule="auto" w:after="40"/>
              <w:jc w:val="left"/>
            </w:pPr>
            <w:r>
              <w:rPr>
                <w:rFonts w:ascii="Times New Roman" w:hAnsi="Times New Roman"/>
                <w:sz w:val="20"/>
              </w:rPr>
              <w:t xml:space="preserve">FRED</w:t>
            </w:r>
          </w:p>
        </w:tc>
        <w:tc>
          <w:tcPr/>
          <w:p>
            <w:pPr>
              <w:pStyle w:val="Compact"/>
              <w:spacing w:line="240" w:lineRule="auto" w:after="40"/>
              <w:jc w:val="left"/>
            </w:pPr>
            <w:r>
              <w:rPr>
                <w:rFonts w:ascii="Times New Roman" w:hAnsi="Times New Roman"/>
                <w:sz w:val="20"/>
              </w:rPr>
              <w:t xml:space="preserve">Quotidienne, moyenne mensuelle</w:t>
            </w:r>
          </w:p>
        </w:tc>
        <w:tc>
          <w:tcPr/>
          <w:p>
            <w:pPr>
              <w:pStyle w:val="Compact"/>
              <w:spacing w:line="240" w:lineRule="auto" w:after="40"/>
              <w:jc w:val="left"/>
            </w:pPr>
            <w:r>
              <w:rPr>
                <w:rFonts w:ascii="Times New Roman" w:hAnsi="Times New Roman"/>
                <w:sz w:val="20"/>
              </w:rPr>
              <w:t xml:space="preserve">Contrôle : aversion au risque</w:t>
            </w:r>
          </w:p>
        </w:tc>
      </w:tr>
      <w:tr>
        <w:tc>
          <w:tcPr/>
          <w:p>
            <w:pPr>
              <w:pStyle w:val="Compact"/>
              <w:spacing w:line="240" w:lineRule="auto" w:after="40"/>
              <w:jc w:val="left"/>
            </w:pPr>
            <w:r>
              <w:rPr>
                <w:rFonts w:ascii="Times New Roman" w:hAnsi="Times New Roman"/>
                <w:sz w:val="20"/>
              </w:rPr>
              <w:t xml:space="preserve">Indice des prix harmonisé France</w:t>
            </w:r>
          </w:p>
        </w:tc>
        <w:tc>
          <w:tcPr/>
          <w:p>
            <w:pPr>
              <w:pStyle w:val="Compact"/>
              <w:spacing w:line="240" w:lineRule="auto" w:after="40"/>
              <w:jc w:val="left"/>
            </w:pPr>
            <w:r>
              <w:rPr>
                <w:rFonts w:ascii="Times New Roman" w:hAnsi="Times New Roman"/>
                <w:sz w:val="20"/>
              </w:rPr>
              <w:t xml:space="preserve">Eurostat, via FRED</w:t>
            </w:r>
          </w:p>
        </w:tc>
        <w:tc>
          <w:tcPr/>
          <w:p>
            <w:pPr>
              <w:pStyle w:val="Compact"/>
              <w:spacing w:line="240" w:lineRule="auto" w:after="40"/>
              <w:jc w:val="left"/>
            </w:pPr>
            <w:r>
              <w:rPr>
                <w:rFonts w:ascii="Times New Roman" w:hAnsi="Times New Roman"/>
                <w:sz w:val="20"/>
              </w:rPr>
              <w:t xml:space="preserve">Mensuelle</w:t>
            </w:r>
          </w:p>
        </w:tc>
        <w:tc>
          <w:tcPr/>
          <w:p>
            <w:pPr>
              <w:pStyle w:val="Compact"/>
              <w:spacing w:line="240" w:lineRule="auto" w:after="40"/>
              <w:jc w:val="left"/>
            </w:pPr>
            <w:r>
              <w:rPr>
                <w:rFonts w:ascii="Times New Roman" w:hAnsi="Times New Roman"/>
                <w:sz w:val="20"/>
              </w:rPr>
              <w:t xml:space="preserve">Contrôle : inflation sur un an</w:t>
            </w:r>
          </w:p>
        </w:tc>
      </w:tr>
      <w:tr>
        <w:tc>
          <w:tcPr/>
          <w:p>
            <w:pPr>
              <w:pStyle w:val="Compact"/>
              <w:spacing w:line="240" w:lineRule="auto" w:after="40"/>
              <w:jc w:val="left"/>
            </w:pPr>
            <w:r>
              <w:rPr>
                <w:rFonts w:ascii="Times New Roman" w:hAnsi="Times New Roman"/>
                <w:sz w:val="20"/>
              </w:rPr>
              <w:t xml:space="preserve">Notations souveraines de la France</w:t>
            </w:r>
          </w:p>
        </w:tc>
        <w:tc>
          <w:tcPr/>
          <w:p>
            <w:pPr>
              <w:pStyle w:val="Compact"/>
              <w:spacing w:line="240" w:lineRule="auto" w:after="40"/>
              <w:jc w:val="left"/>
            </w:pPr>
            <w:r>
              <w:rPr>
                <w:rFonts w:ascii="Times New Roman" w:hAnsi="Times New Roman"/>
                <w:sz w:val="20"/>
              </w:rPr>
              <w:t xml:space="preserve">Communiqués des agences (Fitch, Moody’s, S&amp;P)</w:t>
            </w:r>
          </w:p>
        </w:tc>
        <w:tc>
          <w:tcPr/>
          <w:p>
            <w:pPr>
              <w:pStyle w:val="Compact"/>
              <w:spacing w:line="240" w:lineRule="auto" w:after="40"/>
              <w:jc w:val="left"/>
            </w:pPr>
            <w:r>
              <w:rPr>
                <w:rFonts w:ascii="Times New Roman" w:hAnsi="Times New Roman"/>
                <w:sz w:val="20"/>
              </w:rPr>
              <w:t xml:space="preserve">À chaque décision</w:t>
            </w:r>
          </w:p>
        </w:tc>
        <w:tc>
          <w:tcPr/>
          <w:p>
            <w:pPr>
              <w:pStyle w:val="Compact"/>
              <w:spacing w:line="240" w:lineRule="auto" w:after="40"/>
              <w:jc w:val="left"/>
            </w:pPr>
            <w:r>
              <w:rPr>
                <w:rFonts w:ascii="Times New Roman" w:hAnsi="Times New Roman"/>
                <w:sz w:val="20"/>
              </w:rPr>
              <w:t xml:space="preserve">Contrôle (extension E13)</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pPr>
      <w:r>
        <w:t xml:space="preserve">Quatre caractéristiques de ces données comptent pour la suite :</w:t>
      </w:r>
    </w:p>
    <w:p>
      <w:pPr>
        <w:numPr>
          <w:ilvl w:val="0"/>
          <w:numId w:val="1009"/>
        </w:numPr>
        <w:pStyle w:val="Compact"/>
      </w:pPr>
      <w:r>
        <w:rPr>
          <w:bCs/>
          <w:b/>
        </w:rPr>
        <w:t xml:space="preserve">Les taux de l’OCDE sont des moyennes mensuelles</w:t>
      </w:r>
      <w:r>
        <w:t xml:space="preserve">, pas des valeurs de fin de mois. Or la variation d’une moyenne à la suivante est un peu corrélée d’un mois sur l’autre, par simple construction. Le CAC 40, lui, est pris au dernier jour du mois.</w:t>
      </w:r>
    </w:p>
    <w:p>
      <w:pPr>
        <w:numPr>
          <w:ilvl w:val="0"/>
          <w:numId w:val="1009"/>
        </w:numPr>
        <w:pStyle w:val="Compact"/>
      </w:pPr>
      <w:r>
        <w:rPr>
          <w:bCs/>
          <w:b/>
        </w:rPr>
        <w:t xml:space="preserve">Le CAC 40 est un indice de prix</w:t>
      </w:r>
      <w:r>
        <w:t xml:space="preserve">, qui ne compte pas les dividendes.</w:t>
      </w:r>
    </w:p>
    <w:p>
      <w:pPr>
        <w:numPr>
          <w:ilvl w:val="0"/>
          <w:numId w:val="1009"/>
        </w:numPr>
        <w:pStyle w:val="Compact"/>
      </w:pPr>
      <w:r>
        <w:rPr>
          <w:bCs/>
          <w:b/>
        </w:rPr>
        <w:t xml:space="preserve">Les séries budgétaires sont la dernière version publiée.</w:t>
      </w:r>
      <w:r>
        <w:t xml:space="preserve"> </w:t>
      </w:r>
      <w:r>
        <w:t xml:space="preserve">Les chiffres de décembre, par exemple, sont d’abord provisoires puis révisés. Nous utilisons donc des valeurs un peu différentes de celles que le marché voyait en temps réel.</w:t>
      </w:r>
    </w:p>
    <w:p>
      <w:pPr>
        <w:numPr>
          <w:ilvl w:val="0"/>
          <w:numId w:val="1009"/>
        </w:numPr>
        <w:pStyle w:val="Compact"/>
      </w:pPr>
      <w:r>
        <w:rPr>
          <w:bCs/>
          <w:b/>
        </w:rPr>
        <w:t xml:space="preserve">Le budget voté pour 2026 n’est pas dans les fichiers ouverts.</w:t>
      </w:r>
      <w:r>
        <w:t xml:space="preserve"> </w:t>
      </w:r>
      <w:r>
        <w:t xml:space="preserve">L’extension qui l’utilise (E4) s’arrête donc en février 2026.</w:t>
      </w:r>
    </w:p>
    <w:bookmarkEnd w:id="48"/>
    <w:bookmarkStart w:id="53" w:name="construction-du-jeu-de-données"/>
    <w:p>
      <w:pPr>
        <w:pStyle w:val="Heading2"/>
      </w:pPr>
      <w:r>
        <w:t xml:space="preserve">2.2 Construction du jeu de données</w:t>
      </w:r>
    </w:p>
    <w:p>
      <w:pPr>
        <w:pStyle w:val="FirstParagraph"/>
      </w:pPr>
      <w:r>
        <w:t xml:space="preserve">Le jeu de données final compte</w:t>
      </w:r>
      <w:r>
        <w:t xml:space="preserve"> </w:t>
      </w:r>
      <w:r>
        <w:rPr>
          <w:bCs/>
          <w:b/>
        </w:rPr>
        <w:t xml:space="preserve">150 mois, de mars 2014 à août 2026</w:t>
      </w:r>
      <w:r>
        <w:t xml:space="preserve">, dont 149 avec une cible (le dernier mois n’a pas encore de « mois suivant »). Une ligne correspond à la fin d’un mois t. Elle ne contient que ce qui était connu à cette date : c’est la règle qui guide toutes les étapes ci-dessous.</w:t>
      </w:r>
    </w:p>
    <w:bookmarkStart w:id="49" w:name="des-cumuls-aux-flux-mensuels"/>
    <w:p>
      <w:pPr>
        <w:pStyle w:val="Heading3"/>
      </w:pPr>
      <w:r>
        <w:t>2.2.1 Des cumuls aux flux mensuels.</w:t>
      </w:r>
    </w:p>
    <w:p>
      <w:pPr>
        <w:pStyle w:val="FirstParagraph"/>
      </w:pPr>
      <w:r>
        <w:t xml:space="preserve">La DGFiP publie des montants</w:t>
      </w:r>
      <w:r>
        <w:t xml:space="preserve"> </w:t>
      </w:r>
      <w:r>
        <w:rPr>
          <w:bCs/>
          <w:b/>
        </w:rPr>
        <w:t xml:space="preserve">cumulés depuis le 1er janvier</w:t>
      </w:r>
      <w:r>
        <w:t xml:space="preserve"> </w:t>
      </w:r>
      <w:r>
        <w:t xml:space="preserve">: le chiffre de mars additionne janvier, février et mars. Pour retrouver ce qui a été dépensé dans le mois, nous soustrayons le cumul du mois précédent. En janvier, le flux est simplement le cumul, puisque le compteur repart de zéro.</w:t>
      </w:r>
    </w:p>
    <w:bookmarkEnd w:id="49"/>
    <w:bookmarkStart w:id="50" w:name="neutraliser-la-saisonnalité"/>
    <w:p>
      <w:pPr>
        <w:pStyle w:val="Heading3"/>
      </w:pPr>
      <w:r>
        <w:t>2.2.2 Neutraliser la saisonnalité.</w:t>
      </w:r>
    </w:p>
    <w:p>
      <w:pPr>
        <w:pStyle w:val="FirstParagraph"/>
      </w:pPr>
      <w:r>
        <w:t xml:space="preserve">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numPr>
          <w:ilvl w:val="0"/>
          <w:numId w:val="1010"/>
        </w:numPr>
        <w:pStyle w:val="Compact"/>
      </w:pPr>
      <w:r>
        <w:rPr>
          <w:bCs/>
          <w:b/>
        </w:rPr>
        <w:t xml:space="preserve">La somme des 12 derniers mois</w:t>
      </w:r>
      <w:r>
        <w:t xml:space="preserve"> </w:t>
      </w:r>
      <w:r>
        <w:t xml:space="preserve">(en milliards d’euros). Elle donne le niveau annuel, sans effet de saison.</w:t>
      </w:r>
    </w:p>
    <w:p>
      <w:pPr>
        <w:numPr>
          <w:ilvl w:val="0"/>
          <w:numId w:val="1010"/>
        </w:numPr>
        <w:pStyle w:val="Compact"/>
      </w:pPr>
      <w:r>
        <w:rPr>
          <w:bCs/>
          <w:b/>
        </w:rPr>
        <w:t xml:space="preserve">L’écart du cumul depuis janvier par rapport au même mois de l’année précédente, rapporté au total annuel</w:t>
      </w:r>
      <w:r>
        <w:t xml:space="preserve"> </w:t>
      </w:r>
      <w:r>
        <w:t xml:space="preserve">(en %). Une valeur de +1,2 en mai veut dire que, fin mai, l’État a dépensé l’équivalent de 1,2 % d’une année de plus que fin mai de l’année précédente. Comme on compare toujours le même mois, la saison s’annule.</w:t>
      </w:r>
    </w:p>
    <w:p>
      <w:pPr>
        <w:pStyle w:val="FirstParagraph"/>
      </w:pPr>
      <w:r>
        <w:t xml:space="preserve">Nous n’avons pas utilisé un simple taux de croissance du cumul. En janvier, le cumul est presque nul, et le taux prend des valeurs absurdes : de -902 % à +1 789 % pour l’impôt sur les sociétés. Diviser par le total annuel règle ce problème.</w:t>
      </w:r>
    </w:p>
    <w:p>
      <w:pPr>
        <w:pStyle w:val="BodyText"/>
      </w:pPr>
      <w:r>
        <w:t xml:space="preserve">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pPr>
      <w:r>
        <w:t xml:space="preserve">Nous avons exclu les opérations financières. Ce sont des prises de participation ou des soutiens exceptionnels, très irréguliers, et non une dépense économique courante. Leur écart annuel atteignait -462 %.</w:t>
      </w:r>
    </w:p>
    <w:bookmarkEnd w:id="50"/>
    <w:bookmarkStart w:id="51" w:name="respecter-le-calendrier-de-publication"/>
    <w:p>
      <w:pPr>
        <w:pStyle w:val="Heading3"/>
      </w:pPr>
      <w:r>
        <w:t>2.2.3 Respecter le calendrier de publication.</w:t>
      </w:r>
    </w:p>
    <w:p>
      <w:pPr>
        <w:pStyle w:val="FirstParagraph"/>
      </w:pPr>
      <w: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w:t>
      </w:r>
      <w:r>
        <w:t xml:space="preserve"> </w:t>
      </w:r>
      <w:r>
        <w:rPr>
          <w:bCs/>
          <w:b/>
        </w:rPr>
        <w:t xml:space="preserve">Toutes les variables budgétaires sont décalées de deux mois.</w:t>
      </w:r>
      <w:r>
        <w:t xml:space="preserve"> </w:t>
      </w:r>
      <w:r>
        <w:t xml:space="preserve">Pour les années 2014 à 2022, nous n’avons pas retrouvé les dates exactes, car les archives ne sont plus en ligne : nous supposons le même calendrier.</w:t>
      </w:r>
    </w:p>
    <w:p>
      <w:pPr>
        <w:pStyle w:val="BodyText"/>
      </w:pPr>
      <w:r>
        <w:t xml:space="preserve">Le même raisonnement vaut pour l’inflation. L’INSEE publie une estimation provisoire à la fin du mois, puis l’indice définitif vers le milieu du mois suivant (pour août 2026 : le 28 août, puis le 15 septembre). Nos données sont les valeurs définitives.</w:t>
      </w:r>
      <w:r>
        <w:t xml:space="preserve"> </w:t>
      </w:r>
      <w:r>
        <w:rPr>
          <w:bCs/>
          <w:b/>
        </w:rPr>
        <w:t xml:space="preserve">L’inflation est donc décalée d’un mois.</w:t>
      </w:r>
    </w:p>
    <w:p>
      <w:pPr>
        <w:pStyle w:val="BodyText"/>
      </w:pPr>
      <w:r>
        <w:t xml:space="preserve">Sans ces décalages, le modèle utiliserait des chiffres que personne ne connaissait encore au moment de la prévision. Ses performances seraient alors gonflées artificiellement. C’est le biais d’anticipation, bien connu pour les données macroéconomiques (Croushore, 2011).</w:t>
      </w:r>
    </w:p>
    <w:bookmarkEnd w:id="51"/>
    <w:bookmarkStart w:id="52" w:name="vérification-de-la-qualité-des-données"/>
    <w:p>
      <w:pPr>
        <w:pStyle w:val="Heading3"/>
      </w:pPr>
      <w:r>
        <w:t>2.2.4 Vérification de la qualité des données.</w:t>
      </w:r>
    </w:p>
    <w:p>
      <w:pPr>
        <w:pStyle w:val="FirstParagraph"/>
      </w:pPr>
      <w:r>
        <w:t xml:space="preserve">Premier contrôle : à partir des fichiers mensuels, nous avons recalculé le solde de chaque année. Il correspond aux chiffres officiels, à 0,1 milliard près :</w:t>
      </w:r>
    </w:p>
    <w:p>
      <w:pPr>
        <w:pStyle w:val="BodyText"/>
        <w:keepNext/>
        <w:spacing w:line="240" w:lineRule="auto" w:before="120" w:after="80"/>
        <w:jc w:val="left"/>
      </w:pPr>
      <w:r>
        <w:rPr>
          <w:bCs/>
          <w:b/>
          <w:sz w:val="22"/>
        </w:rPr>
        <w:t xml:space="preserve">Tableau 2.2 – Soldes annuels reconstitués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Année</w:t>
            </w:r>
          </w:p>
        </w:tc>
        <w:tc>
          <w:tcPr>
            <w:shd w:val="clear" w:color="auto" w:fill="E7E6E6"/>
          </w:tcPr>
          <w:p>
            <w:pPr>
              <w:pStyle w:val="Compact"/>
              <w:spacing w:line="240" w:lineRule="auto" w:after="40"/>
              <w:jc w:val="left"/>
            </w:pPr>
            <w:r>
              <w:rPr>
                <w:rFonts w:ascii="Times New Roman" w:hAnsi="Times New Roman"/>
                <w:b/>
                <w:sz w:val="20"/>
              </w:rPr>
              <w:t xml:space="preserve">Solde reconstitué (Md€)</w:t>
            </w:r>
          </w:p>
        </w:tc>
      </w:tr>
      <w:tr>
        <w:tc>
          <w:tcPr/>
          <w:p>
            <w:pPr>
              <w:pStyle w:val="Compact"/>
              <w:spacing w:line="240" w:lineRule="auto" w:after="40"/>
              <w:jc w:val="left"/>
            </w:pPr>
            <w:r>
              <w:rPr>
                <w:rFonts w:ascii="Times New Roman" w:hAnsi="Times New Roman"/>
                <w:sz w:val="20"/>
              </w:rPr>
              <w:t xml:space="preserve">2014</w:t>
            </w:r>
          </w:p>
        </w:tc>
        <w:tc>
          <w:tcPr/>
          <w:p>
            <w:pPr>
              <w:pStyle w:val="Compact"/>
              <w:spacing w:line="240" w:lineRule="auto" w:after="40"/>
              <w:jc w:val="left"/>
            </w:pPr>
            <w:r>
              <w:rPr>
                <w:rFonts w:ascii="Times New Roman" w:hAnsi="Times New Roman"/>
                <w:sz w:val="20"/>
              </w:rPr>
              <w:t xml:space="preserve">-85,6</w:t>
            </w:r>
          </w:p>
        </w:tc>
      </w:tr>
      <w:tr>
        <w:tc>
          <w:tcPr/>
          <w:p>
            <w:pPr>
              <w:pStyle w:val="Compact"/>
              <w:spacing w:line="240" w:lineRule="auto" w:after="40"/>
              <w:jc w:val="left"/>
            </w:pPr>
            <w:r>
              <w:rPr>
                <w:rFonts w:ascii="Times New Roman" w:hAnsi="Times New Roman"/>
                <w:sz w:val="20"/>
              </w:rPr>
              <w:t xml:space="preserve">2020</w:t>
            </w:r>
          </w:p>
        </w:tc>
        <w:tc>
          <w:tcPr/>
          <w:p>
            <w:pPr>
              <w:pStyle w:val="Compact"/>
              <w:spacing w:line="240" w:lineRule="auto" w:after="40"/>
              <w:jc w:val="left"/>
            </w:pPr>
            <w:r>
              <w:rPr>
                <w:rFonts w:ascii="Times New Roman" w:hAnsi="Times New Roman"/>
                <w:sz w:val="20"/>
              </w:rPr>
              <w:t xml:space="preserve">-178,1</w:t>
            </w:r>
          </w:p>
        </w:tc>
      </w:tr>
      <w:tr>
        <w:tc>
          <w:tcPr/>
          <w:p>
            <w:pPr>
              <w:pStyle w:val="Compact"/>
              <w:spacing w:line="240" w:lineRule="auto" w:after="40"/>
              <w:jc w:val="left"/>
            </w:pPr>
            <w:r>
              <w:rPr>
                <w:rFonts w:ascii="Times New Roman" w:hAnsi="Times New Roman"/>
                <w:sz w:val="20"/>
              </w:rPr>
              <w:t xml:space="preserve">2023</w:t>
            </w:r>
          </w:p>
        </w:tc>
        <w:tc>
          <w:tcPr/>
          <w:p>
            <w:pPr>
              <w:pStyle w:val="Compact"/>
              <w:spacing w:line="240" w:lineRule="auto" w:after="40"/>
              <w:jc w:val="left"/>
            </w:pPr>
            <w:r>
              <w:rPr>
                <w:rFonts w:ascii="Times New Roman" w:hAnsi="Times New Roman"/>
                <w:sz w:val="20"/>
              </w:rPr>
              <w:t xml:space="preserve">-173,0</w:t>
            </w:r>
          </w:p>
        </w:tc>
      </w:tr>
      <w:tr>
        <w:tc>
          <w:tcPr/>
          <w:p>
            <w:pPr>
              <w:pStyle w:val="Compact"/>
              <w:spacing w:line="240" w:lineRule="auto" w:after="40"/>
              <w:jc w:val="left"/>
            </w:pPr>
            <w:r>
              <w:rPr>
                <w:rFonts w:ascii="Times New Roman" w:hAnsi="Times New Roman"/>
                <w:sz w:val="20"/>
              </w:rPr>
              <w:t xml:space="preserve">2024</w:t>
            </w:r>
          </w:p>
        </w:tc>
        <w:tc>
          <w:tcPr/>
          <w:p>
            <w:pPr>
              <w:pStyle w:val="Compact"/>
              <w:spacing w:line="240" w:lineRule="auto" w:after="40"/>
              <w:jc w:val="left"/>
            </w:pPr>
            <w:r>
              <w:rPr>
                <w:rFonts w:ascii="Times New Roman" w:hAnsi="Times New Roman"/>
                <w:sz w:val="20"/>
              </w:rPr>
              <w:t xml:space="preserve">-155,9</w:t>
            </w:r>
          </w:p>
        </w:tc>
      </w:tr>
    </w:tbl>
    <w:p>
      <w:pPr>
        <w:pStyle w:val="BodyText"/>
        <w:keepNext w:val="0"/>
        <w:spacing w:line="240" w:lineRule="auto" w:before="40" w:after="240"/>
        <w:jc w:val="left"/>
      </w:pPr>
      <w:r>
        <w:rPr>
          <w:iCs/>
          <w:i/>
          <w:sz w:val="20"/>
        </w:rPr>
        <w:t xml:space="preserve">Source : calculs de l’auteur à partir des situations mensuelles budgétaires (DGFiP).</w:t>
      </w:r>
    </w:p>
    <w:p>
      <w:pPr>
        <w:pStyle w:val="BodyText"/>
      </w:pPr>
      <w:r>
        <w:t xml:space="preserve">Second contrôle : un script de vérification (</w:t>
      </w:r>
      <w:r>
        <w:rPr>
          <w:rStyle w:val="VerbatimChar"/>
        </w:rPr>
        <w:t xml:space="preserve">tests/verifications.py</w:t>
      </w:r>
      <w:r>
        <w:t xml:space="preserve">, 31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p>
    <w:bookmarkEnd w:id="52"/>
    <w:bookmarkEnd w:id="53"/>
    <w:bookmarkStart w:id="55" w:name="variables-cibles-et-stationnarité"/>
    <w:p>
      <w:pPr>
        <w:pStyle w:val="Heading2"/>
      </w:pPr>
      <w:r>
        <w:t xml:space="preserve">2.3 Variables cibles et stationnarité</w:t>
      </w:r>
    </w:p>
    <w:p>
      <w:pPr>
        <w:pStyle w:val="FirstParagraph"/>
      </w:pPr>
      <w:r>
        <w:t xml:space="preserve">Nous cherchons à prévoir trois indicateurs</w:t>
      </w:r>
      <w:r>
        <w:t xml:space="preserve"> </w:t>
      </w:r>
      <w:r>
        <w:rPr>
          <w:bCs/>
          <w:b/>
        </w:rPr>
        <w:t xml:space="preserve">pour le mois suivant (t+1)</w:t>
      </w:r>
      <w:r>
        <w:t xml:space="preserve">. Nous les avons choisis avant d’explorer les données. Si nous avions retenu les cibles les plus corrélées aux dépenses, nous aurions trouvé un lien par construction, même sans lien réel.</w:t>
      </w:r>
    </w:p>
    <w:p>
      <w:pPr>
        <w:pStyle w:val="BodyText"/>
        <w:keepNext/>
        <w:spacing w:line="240" w:lineRule="auto" w:before="120" w:after="80"/>
        <w:jc w:val="left"/>
      </w:pPr>
      <w:r>
        <w:rPr>
          <w:bCs/>
          <w:b/>
          <w:sz w:val="22"/>
        </w:rPr>
        <w:t xml:space="preserve">Tableau 2.3 – Variables cibles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Cible</w:t>
            </w:r>
          </w:p>
        </w:tc>
        <w:tc>
          <w:tcPr>
            <w:shd w:val="clear" w:color="auto" w:fill="E7E6E6"/>
          </w:tcPr>
          <w:p>
            <w:pPr>
              <w:pStyle w:val="Compact"/>
              <w:spacing w:line="240" w:lineRule="auto" w:after="40"/>
              <w:jc w:val="left"/>
            </w:pPr>
            <w:r>
              <w:rPr>
                <w:rFonts w:ascii="Times New Roman" w:hAnsi="Times New Roman"/>
                <w:b/>
                <w:sz w:val="18"/>
              </w:rPr>
              <w:t xml:space="preserve">Définition</w:t>
            </w:r>
          </w:p>
        </w:tc>
        <w:tc>
          <w:tcPr>
            <w:shd w:val="clear" w:color="auto" w:fill="E7E6E6"/>
          </w:tcPr>
          <w:p>
            <w:pPr>
              <w:pStyle w:val="Compact"/>
              <w:spacing w:line="240" w:lineRule="auto" w:after="40"/>
              <w:jc w:val="left"/>
            </w:pPr>
            <w:r>
              <w:rPr>
                <w:rFonts w:ascii="Times New Roman" w:hAnsi="Times New Roman"/>
                <w:b/>
                <w:sz w:val="18"/>
              </w:rPr>
              <w:t xml:space="preserve">Unité</w:t>
            </w:r>
          </w:p>
        </w:tc>
        <w:tc>
          <w:tcPr>
            <w:shd w:val="clear" w:color="auto" w:fill="E7E6E6"/>
          </w:tcPr>
          <w:p>
            <w:pPr>
              <w:pStyle w:val="Compact"/>
              <w:spacing w:line="240" w:lineRule="auto" w:after="40"/>
              <w:jc w:val="left"/>
            </w:pPr>
            <w:r>
              <w:rPr>
                <w:rFonts w:ascii="Times New Roman" w:hAnsi="Times New Roman"/>
                <w:b/>
                <w:sz w:val="18"/>
              </w:rPr>
              <w:t xml:space="preserve">Moyenne</w:t>
            </w:r>
          </w:p>
        </w:tc>
        <w:tc>
          <w:tcPr>
            <w:shd w:val="clear" w:color="auto" w:fill="E7E6E6"/>
          </w:tcPr>
          <w:p>
            <w:pPr>
              <w:pStyle w:val="Compact"/>
              <w:spacing w:line="240" w:lineRule="auto" w:after="40"/>
              <w:jc w:val="left"/>
            </w:pPr>
            <w:r>
              <w:rPr>
                <w:rFonts w:ascii="Times New Roman" w:hAnsi="Times New Roman"/>
                <w:b/>
                <w:sz w:val="18"/>
              </w:rPr>
              <w:t xml:space="preserve">Écart-type</w:t>
            </w:r>
          </w:p>
        </w:tc>
      </w:tr>
      <w:tr>
        <w:tc>
          <w:tcPr/>
          <w:p>
            <w:pPr>
              <w:pStyle w:val="Compact"/>
              <w:spacing w:line="240" w:lineRule="auto" w:after="40"/>
              <w:jc w:val="left"/>
            </w:pPr>
            <w:r>
              <w:rPr>
                <w:rFonts w:ascii="Times New Roman" w:hAnsi="Times New Roman"/>
                <w:sz w:val="18"/>
              </w:rPr>
              <w:t xml:space="preserve">Variation du spread OAT–Bund (cible principale)</w:t>
            </w:r>
          </w:p>
        </w:tc>
        <w:tc>
          <w:tcPr/>
          <w:p>
            <w:pPr>
              <w:pStyle w:val="Compact"/>
              <w:spacing w:line="240" w:lineRule="auto" w:after="40"/>
              <w:jc w:val="left"/>
            </w:pPr>
            <w:r>
              <w:rPr>
                <w:rFonts w:ascii="Times New Roman" w:hAnsi="Times New Roman"/>
                <w:sz w:val="18"/>
              </w:rPr>
              <w:t xml:space="preserve">Spread(t+1) − spread(t), où spread = OAT 10 ans − Bund 10 ans</w:t>
            </w:r>
          </w:p>
        </w:tc>
        <w:tc>
          <w:tcPr/>
          <w:p>
            <w:pPr>
              <w:pStyle w:val="Compact"/>
              <w:spacing w:line="240" w:lineRule="auto" w:after="40"/>
              <w:jc w:val="left"/>
            </w:pPr>
            <w:r>
              <w:rPr>
                <w:rFonts w:ascii="Times New Roman" w:hAnsi="Times New Roman"/>
                <w:sz w:val="18"/>
              </w:rPr>
              <w:t xml:space="preserve">points de base</w:t>
            </w:r>
          </w:p>
        </w:tc>
        <w:tc>
          <w:tcPr/>
          <w:p>
            <w:pPr>
              <w:pStyle w:val="Compact"/>
              <w:spacing w:line="240" w:lineRule="auto" w:after="40"/>
              <w:jc w:val="left"/>
            </w:pPr>
            <w:r>
              <w:rPr>
                <w:rFonts w:ascii="Times New Roman" w:hAnsi="Times New Roman"/>
                <w:sz w:val="18"/>
              </w:rPr>
              <w:t xml:space="preserve">0,12</w:t>
            </w:r>
          </w:p>
        </w:tc>
        <w:tc>
          <w:tcPr/>
          <w:p>
            <w:pPr>
              <w:pStyle w:val="Compact"/>
              <w:spacing w:line="240" w:lineRule="auto" w:after="40"/>
              <w:jc w:val="left"/>
            </w:pPr>
            <w:r>
              <w:rPr>
                <w:rFonts w:ascii="Times New Roman" w:hAnsi="Times New Roman"/>
                <w:sz w:val="18"/>
              </w:rPr>
              <w:t xml:space="preserve">5,27</w:t>
            </w:r>
          </w:p>
        </w:tc>
      </w:tr>
      <w:tr>
        <w:tc>
          <w:tcPr/>
          <w:p>
            <w:pPr>
              <w:pStyle w:val="Compact"/>
              <w:spacing w:line="240" w:lineRule="auto" w:after="40"/>
              <w:jc w:val="left"/>
            </w:pPr>
            <w:r>
              <w:rPr>
                <w:rFonts w:ascii="Times New Roman" w:hAnsi="Times New Roman"/>
                <w:sz w:val="18"/>
              </w:rPr>
              <w:t xml:space="preserve">Variation du taux OAT 10 ans</w:t>
            </w:r>
          </w:p>
        </w:tc>
        <w:tc>
          <w:tcPr/>
          <w:p>
            <w:pPr>
              <w:pStyle w:val="Compact"/>
              <w:spacing w:line="240" w:lineRule="auto" w:after="40"/>
              <w:jc w:val="left"/>
            </w:pPr>
            <w:r>
              <w:rPr>
                <w:rFonts w:ascii="Times New Roman" w:hAnsi="Times New Roman"/>
                <w:sz w:val="18"/>
              </w:rPr>
              <w:t xml:space="preserve">OAT(t+1) − OAT(t)</w:t>
            </w:r>
          </w:p>
        </w:tc>
        <w:tc>
          <w:tcPr/>
          <w:p>
            <w:pPr>
              <w:pStyle w:val="Compact"/>
              <w:spacing w:line="240" w:lineRule="auto" w:after="40"/>
              <w:jc w:val="left"/>
            </w:pPr>
            <w:r>
              <w:rPr>
                <w:rFonts w:ascii="Times New Roman" w:hAnsi="Times New Roman"/>
                <w:sz w:val="18"/>
              </w:rPr>
              <w:t xml:space="preserve">points de base</w:t>
            </w:r>
          </w:p>
        </w:tc>
        <w:tc>
          <w:tcPr/>
          <w:p>
            <w:pPr>
              <w:pStyle w:val="Compact"/>
              <w:spacing w:line="240" w:lineRule="auto" w:after="40"/>
              <w:jc w:val="left"/>
            </w:pPr>
            <w:r>
              <w:rPr>
                <w:rFonts w:ascii="Times New Roman" w:hAnsi="Times New Roman"/>
                <w:sz w:val="18"/>
              </w:rPr>
              <w:t xml:space="preserve">1,24</w:t>
            </w:r>
          </w:p>
        </w:tc>
        <w:tc>
          <w:tcPr/>
          <w:p>
            <w:pPr>
              <w:pStyle w:val="Compact"/>
              <w:spacing w:line="240" w:lineRule="auto" w:after="40"/>
              <w:jc w:val="left"/>
            </w:pPr>
            <w:r>
              <w:rPr>
                <w:rFonts w:ascii="Times New Roman" w:hAnsi="Times New Roman"/>
                <w:sz w:val="18"/>
              </w:rPr>
              <w:t xml:space="preserve">16,99</w:t>
            </w:r>
          </w:p>
        </w:tc>
      </w:tr>
      <w:tr>
        <w:tc>
          <w:tcPr/>
          <w:p>
            <w:pPr>
              <w:pStyle w:val="Compact"/>
              <w:spacing w:line="240" w:lineRule="auto" w:after="40"/>
              <w:jc w:val="left"/>
            </w:pPr>
            <w:r>
              <w:rPr>
                <w:rFonts w:ascii="Times New Roman" w:hAnsi="Times New Roman"/>
                <w:sz w:val="18"/>
              </w:rPr>
              <w:t xml:space="preserve">Rendement du CAC 40</w:t>
            </w:r>
          </w:p>
        </w:tc>
        <w:tc>
          <w:tcPr/>
          <w:p>
            <w:pPr>
              <w:pStyle w:val="Compact"/>
              <w:spacing w:line="240" w:lineRule="auto" w:after="40"/>
              <w:jc w:val="left"/>
            </w:pPr>
            <w:r>
              <w:rPr>
                <w:rFonts w:ascii="Times New Roman" w:hAnsi="Times New Roman"/>
                <w:sz w:val="18"/>
              </w:rPr>
              <w:t xml:space="preserve">CAC(t+1) / CAC(t) − 1</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0,53</w:t>
            </w:r>
          </w:p>
        </w:tc>
        <w:tc>
          <w:tcPr/>
          <w:p>
            <w:pPr>
              <w:pStyle w:val="Compact"/>
              <w:spacing w:line="240" w:lineRule="auto" w:after="40"/>
              <w:jc w:val="left"/>
            </w:pPr>
            <w:r>
              <w:rPr>
                <w:rFonts w:ascii="Times New Roman" w:hAnsi="Times New Roman"/>
                <w:sz w:val="18"/>
              </w:rPr>
              <w:t xml:space="preserve">4,55</w:t>
            </w:r>
          </w:p>
        </w:tc>
      </w:tr>
    </w:tbl>
    <w:p>
      <w:pPr>
        <w:pStyle w:val="BodyText"/>
        <w:keepNext w:val="0"/>
        <w:spacing w:line="240" w:lineRule="auto" w:before="40" w:after="240"/>
        <w:jc w:val="left"/>
      </w:pPr>
      <w:r>
        <w:rPr>
          <w:iCs/>
          <w:i/>
          <w:sz w:val="20"/>
        </w:rPr>
        <w:t xml:space="preserve">Source : calculs de l’auteur (OCDE via FRED, Yahoo Finance), mars 2014 – juillet 2026.</w:t>
      </w:r>
    </w:p>
    <w:p>
      <w:pPr>
        <w:pStyle w:val="BodyText"/>
      </w:pPr>
      <w:r>
        <w:t xml:space="preserve">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bookmarkStart w:id="54" w:name="X1f226371d223a388ad860388f2edd529dc4d91f"/>
    <w:p>
      <w:pPr>
        <w:pStyle w:val="Heading3"/>
      </w:pPr>
      <w:r>
        <w:t>Pourquoi prédire des variations plutôt que des niveaux.</w:t>
      </w:r>
    </w:p>
    <w:p>
      <w:pPr>
        <w:pStyle w:val="FirstParagraph"/>
      </w:pPr>
      <w:r>
        <w:t xml:space="preserve">Le test de Dickey-Fuller augmenté (ADF) confirme que les trois cibles, en variations, sont stationnaires, alors que les niveaux ne le sont pas :</w:t>
      </w:r>
    </w:p>
    <w:p>
      <w:pPr>
        <w:pStyle w:val="BodyText"/>
        <w:keepNext/>
        <w:spacing w:line="240" w:lineRule="auto" w:before="120" w:after="80"/>
        <w:jc w:val="left"/>
      </w:pPr>
      <w:r>
        <w:rPr>
          <w:bCs/>
          <w:b/>
          <w:sz w:val="22"/>
        </w:rPr>
        <w:t xml:space="preserve">Tableau 2.4 – Test de stationnarité (Dickey-Fuller augmenté)</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Série</w:t>
            </w:r>
          </w:p>
        </w:tc>
        <w:tc>
          <w:tcPr>
            <w:shd w:val="clear" w:color="auto" w:fill="E7E6E6"/>
          </w:tcPr>
          <w:p>
            <w:pPr>
              <w:pStyle w:val="Compact"/>
              <w:spacing w:line="240" w:lineRule="auto" w:after="40"/>
              <w:jc w:val="left"/>
            </w:pPr>
            <w:r>
              <w:rPr>
                <w:rFonts w:ascii="Times New Roman" w:hAnsi="Times New Roman"/>
                <w:b/>
                <w:sz w:val="20"/>
              </w:rPr>
              <w:t xml:space="preserve">p-value ADF</w:t>
            </w:r>
          </w:p>
        </w:tc>
        <w:tc>
          <w:tcPr>
            <w:shd w:val="clear" w:color="auto" w:fill="E7E6E6"/>
          </w:tcPr>
          <w:p>
            <w:pPr>
              <w:pStyle w:val="Compact"/>
              <w:spacing w:line="240" w:lineRule="auto" w:after="40"/>
              <w:jc w:val="left"/>
            </w:pPr>
            <w:r>
              <w:rPr>
                <w:rFonts w:ascii="Times New Roman" w:hAnsi="Times New Roman"/>
                <w:b/>
                <w:sz w:val="20"/>
              </w:rPr>
              <w:t xml:space="preserve">Stationnaire</w:t>
            </w:r>
          </w:p>
        </w:tc>
      </w:tr>
      <w:tr>
        <w:tc>
          <w:tcPr/>
          <w:p>
            <w:pPr>
              <w:pStyle w:val="Compact"/>
              <w:spacing w:line="240" w:lineRule="auto" w:after="40"/>
              <w:jc w:val="left"/>
            </w:pPr>
            <w:r>
              <w:rPr>
                <w:rFonts w:ascii="Times New Roman" w:hAnsi="Times New Roman"/>
                <w:sz w:val="20"/>
              </w:rPr>
              <w:t xml:space="preserve">Variation du spread, variation de l’OAT, rendement du CAC 40</w:t>
            </w:r>
          </w:p>
        </w:tc>
        <w:tc>
          <w:tcPr/>
          <w:p>
            <w:pPr>
              <w:pStyle w:val="Compact"/>
              <w:spacing w:line="240" w:lineRule="auto" w:after="40"/>
              <w:jc w:val="left"/>
            </w:pPr>
            <w:r>
              <w:rPr>
                <w:rFonts w:ascii="Times New Roman" w:hAnsi="Times New Roman"/>
                <w:sz w:val="20"/>
              </w:rPr>
              <w:t xml:space="preserve">&lt; 0,001</w:t>
            </w:r>
          </w:p>
        </w:tc>
        <w:tc>
          <w:tcPr/>
          <w:p>
            <w:pPr>
              <w:pStyle w:val="Compact"/>
              <w:spacing w:line="240" w:lineRule="auto" w:after="40"/>
              <w:jc w:val="left"/>
            </w:pPr>
            <w:r>
              <w:rPr>
                <w:rFonts w:ascii="Times New Roman" w:hAnsi="Times New Roman"/>
                <w:sz w:val="20"/>
              </w:rPr>
              <w:t xml:space="preserve">oui</w:t>
            </w:r>
          </w:p>
        </w:tc>
      </w:tr>
      <w:tr>
        <w:tc>
          <w:tcPr/>
          <w:p>
            <w:pPr>
              <w:pStyle w:val="Compact"/>
              <w:spacing w:line="240" w:lineRule="auto" w:after="40"/>
              <w:jc w:val="left"/>
            </w:pPr>
            <w:r>
              <w:rPr>
                <w:rFonts w:ascii="Times New Roman" w:hAnsi="Times New Roman"/>
                <w:sz w:val="20"/>
              </w:rPr>
              <w:t xml:space="preserve">Niveau du spread</w:t>
            </w:r>
          </w:p>
        </w:tc>
        <w:tc>
          <w:tcPr/>
          <w:p>
            <w:pPr>
              <w:pStyle w:val="Compact"/>
              <w:spacing w:line="240" w:lineRule="auto" w:after="40"/>
              <w:jc w:val="left"/>
            </w:pPr>
            <w:r>
              <w:rPr>
                <w:rFonts w:ascii="Times New Roman" w:hAnsi="Times New Roman"/>
                <w:sz w:val="20"/>
              </w:rPr>
              <w:t xml:space="preserve">0,31</w:t>
            </w:r>
          </w:p>
        </w:tc>
        <w:tc>
          <w:tcPr/>
          <w:p>
            <w:pPr>
              <w:pStyle w:val="Compact"/>
              <w:spacing w:line="240" w:lineRule="auto" w:after="40"/>
              <w:jc w:val="left"/>
            </w:pPr>
            <w:r>
              <w:rPr>
                <w:rFonts w:ascii="Times New Roman" w:hAnsi="Times New Roman"/>
                <w:sz w:val="20"/>
              </w:rPr>
              <w:t xml:space="preserve">non</w:t>
            </w:r>
          </w:p>
        </w:tc>
      </w:tr>
      <w:tr>
        <w:tc>
          <w:tcPr/>
          <w:p>
            <w:pPr>
              <w:pStyle w:val="Compact"/>
              <w:spacing w:line="240" w:lineRule="auto" w:after="40"/>
              <w:jc w:val="left"/>
            </w:pPr>
            <w:r>
              <w:rPr>
                <w:rFonts w:ascii="Times New Roman" w:hAnsi="Times New Roman"/>
                <w:sz w:val="20"/>
              </w:rPr>
              <w:t xml:space="preserve">Niveau de l’OAT</w:t>
            </w:r>
          </w:p>
        </w:tc>
        <w:tc>
          <w:tcPr/>
          <w:p>
            <w:pPr>
              <w:pStyle w:val="Compact"/>
              <w:spacing w:line="240" w:lineRule="auto" w:after="40"/>
              <w:jc w:val="left"/>
            </w:pPr>
            <w:r>
              <w:rPr>
                <w:rFonts w:ascii="Times New Roman" w:hAnsi="Times New Roman"/>
                <w:sz w:val="20"/>
              </w:rPr>
              <w:t xml:space="preserve">0,94</w:t>
            </w:r>
          </w:p>
        </w:tc>
        <w:tc>
          <w:tcPr/>
          <w:p>
            <w:pPr>
              <w:pStyle w:val="Compact"/>
              <w:spacing w:line="240" w:lineRule="auto" w:after="40"/>
              <w:jc w:val="left"/>
            </w:pPr>
            <w:r>
              <w:rPr>
                <w:rFonts w:ascii="Times New Roman" w:hAnsi="Times New Roman"/>
                <w:sz w:val="20"/>
              </w:rPr>
              <w:t xml:space="preserve">non</w:t>
            </w:r>
          </w:p>
        </w:tc>
      </w:tr>
    </w:tbl>
    <w:p>
      <w:pPr>
        <w:pStyle w:val="BodyText"/>
        <w:keepNext w:val="0"/>
        <w:spacing w:line="240" w:lineRule="auto" w:before="40" w:after="240"/>
        <w:jc w:val="left"/>
      </w:pPr>
      <w:r>
        <w:rPr>
          <w:iCs/>
          <w:i/>
          <w:sz w:val="20"/>
        </w:rPr>
        <w:t xml:space="preserve">Source : calculs de l’auteur.</w:t>
      </w:r>
    </w:p>
    <w:p>
      <w:pPr>
        <w:pStyle w:val="BodyText"/>
      </w:pPr>
      <w:r>
        <w:t xml:space="preserve">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pPr>
      <w:r>
        <w:t xml:space="preserve">Nous testons aussi une version plus simple dans les extensions : deviner seulement si le spread va monter ou baisser. Sur notre échantillon, il a monté dans 52 % des mois.</w:t>
      </w:r>
    </w:p>
    <w:bookmarkEnd w:id="54"/>
    <w:bookmarkEnd w:id="55"/>
    <w:bookmarkStart w:id="57" w:name="variables-explicatives"/>
    <w:p>
      <w:pPr>
        <w:pStyle w:val="Heading2"/>
      </w:pPr>
      <w:r>
        <w:t xml:space="preserve">2.4 Variables explicatives</w:t>
      </w:r>
    </w:p>
    <w:p>
      <w:pPr>
        <w:pStyle w:val="FirstParagraph"/>
      </w:pPr>
      <w:r>
        <w:t xml:space="preserve">Nous n’avons pas choisi les variables une par une selon leurs corrélations. Nous avons construit trois jeux emboités, chacun contenant le précédent. Le test central du mémoire compare M0 et M1 : la seule différence entre les deux, ce sont les dépenses. Si M1 prévoit mieux, l’amélioration vient donc des dépenses,</w:t>
      </w:r>
      <w:r>
        <w:t xml:space="preserve"> </w:t>
      </w:r>
      <w:r>
        <w:rPr>
          <w:bCs/>
          <w:b/>
        </w:rPr>
        <w:t xml:space="preserve">en plus</w:t>
      </w:r>
      <w:r>
        <w:t xml:space="preserve"> </w:t>
      </w:r>
      <w:r>
        <w:t xml:space="preserve">de ce que les marchés savent déjà.</w:t>
      </w:r>
    </w:p>
    <w:p>
      <w:pPr>
        <w:pStyle w:val="BodyText"/>
        <w:keepNext/>
        <w:spacing w:line="240" w:lineRule="auto" w:before="120" w:after="80"/>
        <w:jc w:val="left"/>
      </w:pPr>
      <w:r>
        <w:rPr>
          <w:bCs/>
          <w:b/>
          <w:sz w:val="22"/>
        </w:rPr>
        <w:t xml:space="preserve">Tableau 2.5 – Jeux de variables emboîtés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Jeu</w:t>
            </w:r>
          </w:p>
        </w:tc>
        <w:tc>
          <w:tcPr>
            <w:shd w:val="clear" w:color="auto" w:fill="E7E6E6"/>
          </w:tcPr>
          <w:p>
            <w:pPr>
              <w:pStyle w:val="Compact"/>
              <w:spacing w:line="240" w:lineRule="auto" w:after="40"/>
              <w:jc w:val="left"/>
            </w:pPr>
            <w:r>
              <w:rPr>
                <w:rFonts w:ascii="Times New Roman" w:hAnsi="Times New Roman"/>
                <w:b/>
                <w:sz w:val="20"/>
              </w:rPr>
              <w:t xml:space="preserve">Contenu</w:t>
            </w:r>
          </w:p>
        </w:tc>
        <w:tc>
          <w:tcPr>
            <w:shd w:val="clear" w:color="auto" w:fill="E7E6E6"/>
          </w:tcPr>
          <w:p>
            <w:pPr>
              <w:pStyle w:val="Compact"/>
              <w:spacing w:line="240" w:lineRule="auto" w:after="40"/>
              <w:jc w:val="left"/>
            </w:pPr>
            <w:r>
              <w:rPr>
                <w:rFonts w:ascii="Times New Roman" w:hAnsi="Times New Roman"/>
                <w:b/>
                <w:sz w:val="20"/>
              </w:rPr>
              <w:t xml:space="preserve">Nombre de variables</w:t>
            </w:r>
          </w:p>
        </w:tc>
      </w:tr>
      <w:tr>
        <w:tc>
          <w:tcPr/>
          <w:p>
            <w:pPr>
              <w:pStyle w:val="Compact"/>
              <w:spacing w:line="240" w:lineRule="auto" w:after="40"/>
              <w:jc w:val="left"/>
            </w:pPr>
            <w:r>
              <w:rPr>
                <w:bCs/>
                <w:rFonts w:ascii="Times New Roman" w:hAnsi="Times New Roman"/>
                <w:b/>
                <w:sz w:val="20"/>
              </w:rPr>
              <w:t xml:space="preserve">M0 « marchés »</w:t>
            </w:r>
          </w:p>
        </w:tc>
        <w:tc>
          <w:tcPr/>
          <w:p>
            <w:pPr>
              <w:pStyle w:val="Compact"/>
              <w:spacing w:line="240" w:lineRule="auto" w:after="40"/>
              <w:jc w:val="left"/>
            </w:pPr>
            <w:r>
              <w:rPr>
                <w:rFonts w:ascii="Times New Roman" w:hAnsi="Times New Roman"/>
                <w:sz w:val="20"/>
              </w:rPr>
              <w:t xml:space="preserve">Variation du spread (t et t-1), niveau du spread, variation de l’OAT (t et t-1), rendement du CAC 40 (t et t-1), VIX et sa variation, inflation sur un an (du mois précédent), taux de la facilité de dépôt de la BCE</w:t>
            </w:r>
          </w:p>
        </w:tc>
        <w:tc>
          <w:tcPr/>
          <w:p>
            <w:pPr>
              <w:pStyle w:val="Compact"/>
              <w:spacing w:line="240" w:lineRule="auto" w:after="40"/>
              <w:jc w:val="left"/>
            </w:pPr>
            <w:r>
              <w:rPr>
                <w:rFonts w:ascii="Times New Roman" w:hAnsi="Times New Roman"/>
                <w:sz w:val="20"/>
              </w:rPr>
              <w:t xml:space="preserve">11</w:t>
            </w:r>
          </w:p>
        </w:tc>
      </w:tr>
      <w:tr>
        <w:tc>
          <w:tcPr/>
          <w:p>
            <w:pPr>
              <w:pStyle w:val="Compact"/>
              <w:spacing w:line="240" w:lineRule="auto" w:after="40"/>
              <w:jc w:val="left"/>
            </w:pPr>
            <w:r>
              <w:rPr>
                <w:bCs/>
                <w:rFonts w:ascii="Times New Roman" w:hAnsi="Times New Roman"/>
                <w:b/>
                <w:sz w:val="20"/>
              </w:rPr>
              <w:t xml:space="preserve">M1 « + dépenses »</w:t>
            </w:r>
          </w:p>
        </w:tc>
        <w:tc>
          <w:tcPr/>
          <w:p>
            <w:pPr>
              <w:pStyle w:val="Compact"/>
              <w:spacing w:line="240" w:lineRule="auto" w:after="40"/>
              <w:jc w:val="left"/>
            </w:pPr>
            <w:r>
              <w:rPr>
                <w:rFonts w:ascii="Times New Roman" w:hAnsi="Times New Roman"/>
                <w:sz w:val="20"/>
              </w:rPr>
              <w:t xml:space="preserve">M0 + écart annuel des dépenses totales, de personnel, de fonctionnement, de charge de la dette, d’investissement, d’intervention et des prélèvements sur recettes (décalés de 2 mois)</w:t>
            </w:r>
          </w:p>
        </w:tc>
        <w:tc>
          <w:tcPr/>
          <w:p>
            <w:pPr>
              <w:pStyle w:val="Compact"/>
              <w:spacing w:line="240" w:lineRule="auto" w:after="40"/>
              <w:jc w:val="left"/>
            </w:pPr>
            <w:r>
              <w:rPr>
                <w:rFonts w:ascii="Times New Roman" w:hAnsi="Times New Roman"/>
                <w:sz w:val="20"/>
              </w:rPr>
              <w:t xml:space="preserve">18</w:t>
            </w:r>
          </w:p>
        </w:tc>
      </w:tr>
      <w:tr>
        <w:tc>
          <w:tcPr/>
          <w:p>
            <w:pPr>
              <w:pStyle w:val="Compact"/>
              <w:spacing w:line="240" w:lineRule="auto" w:after="40"/>
              <w:jc w:val="left"/>
            </w:pPr>
            <w:r>
              <w:rPr>
                <w:bCs/>
                <w:rFonts w:ascii="Times New Roman" w:hAnsi="Times New Roman"/>
                <w:b/>
                <w:sz w:val="20"/>
              </w:rPr>
              <w:t xml:space="preserve">M2 « + budget complet »</w:t>
            </w:r>
          </w:p>
        </w:tc>
        <w:tc>
          <w:tcPr/>
          <w:p>
            <w:pPr>
              <w:pStyle w:val="Compact"/>
              <w:spacing w:line="240" w:lineRule="auto" w:after="40"/>
              <w:jc w:val="left"/>
            </w:pPr>
            <w:r>
              <w:rPr>
                <w:rFonts w:ascii="Times New Roman" w:hAnsi="Times New Roman"/>
                <w:sz w:val="20"/>
              </w:rPr>
              <w:t xml:space="preserve">M1 + recettes totales, recettes fiscales et variation du solde sur un an</w:t>
            </w:r>
          </w:p>
        </w:tc>
        <w:tc>
          <w:tcPr/>
          <w:p>
            <w:pPr>
              <w:pStyle w:val="Compact"/>
              <w:spacing w:line="240" w:lineRule="auto" w:after="40"/>
              <w:jc w:val="left"/>
            </w:pPr>
            <w:r>
              <w:rPr>
                <w:rFonts w:ascii="Times New Roman" w:hAnsi="Times New Roman"/>
                <w:sz w:val="20"/>
              </w:rPr>
              <w:t xml:space="preserve">21</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Les recettes et le solde sont à part, dans M2. Le titre du mémoire parle des</w:t>
      </w:r>
      <w:r>
        <w:t xml:space="preserve"> </w:t>
      </w:r>
      <w:r>
        <w:rPr>
          <w:bCs/>
          <w:b/>
        </w:rPr>
        <w:t xml:space="preserve">dépenses</w:t>
      </w:r>
      <w:r>
        <w:t xml:space="preserve"> </w:t>
      </w:r>
      <w:r>
        <w:t xml:space="preserve">: M1 répond à cette question précise, et M2 vérifie simplement si le reste du budget change la conclusion.</w:t>
      </w:r>
    </w:p>
    <w:bookmarkStart w:id="56" w:name="Xb5a0d5c40b39e96c1362bbbf57c87622419a65d"/>
    <w:p>
      <w:pPr>
        <w:pStyle w:val="Heading3"/>
      </w:pPr>
      <w:r>
        <w:t>Deux pièges mis en évidence par l’analyse exploratoire.</w:t>
      </w:r>
    </w:p>
    <w:p>
      <w:pPr>
        <w:pStyle w:val="FirstParagraph"/>
      </w:pPr>
      <w:r>
        <w:rPr>
          <w:bCs/>
          <w:b/>
        </w:rPr>
        <w:t xml:space="preserve">Premier piège : les variables en niveau.</w:t>
      </w:r>
      <w:r>
        <w:t xml:space="preserve"> </w:t>
      </w:r>
      <w:r>
        <w:t xml:space="preserve">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 ADF supérieure à 0,7).</w:t>
      </w:r>
      <w:r>
        <w:t xml:space="preserve"> </w:t>
      </w:r>
      <w:r>
        <w:rPr>
          <w:bCs/>
          <w:b/>
        </w:rPr>
        <w:t xml:space="preserve">Nos modèles utilisent donc les écarts annuels, pas les niveaux.</w:t>
      </w:r>
      <w:r>
        <w:t xml:space="preserve"> </w:t>
      </w:r>
      <w:r>
        <w:t xml:space="preserve">Ces écarts sont beaucoup plus proches de la stationnarité (p-values ADF entre 0,01 et 0,06).</w:t>
      </w:r>
    </w:p>
    <w:p>
      <w:pPr>
        <w:pStyle w:val="BodyText"/>
      </w:pPr>
      <w:r>
        <w:rPr>
          <w:bCs/>
          <w:b/>
        </w:rPr>
        <w:t xml:space="preserve">Second piège : l’inflation.</w:t>
      </w:r>
      <w:r>
        <w:t xml:space="preserve"> </w:t>
      </w:r>
      <w:r>
        <w:t xml:space="preserve">À première vue, les dépenses de personnel, de fonctionnement et la charge de la dette annoncent la variation de l’OAT (corrélations de Spearman de 0,17 à 0,23). Mais en 2022-2023, l’inflation a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w:t>
      </w:r>
      <w:r>
        <w:t xml:space="preserve"> </w:t>
      </w:r>
      <w:r>
        <w:rPr>
          <w:bCs/>
          <w:b/>
        </w:rPr>
        <w:t xml:space="preserve">Nous avons donc mis l’inflation dans M0</w:t>
      </w:r>
      <w:r>
        <w:t xml:space="preserve">, pour ne pas attribuer aux dépenses un effet qui vient en réalité de l’inflation.</w:t>
      </w:r>
    </w:p>
    <w:bookmarkEnd w:id="56"/>
    <w:bookmarkEnd w:id="57"/>
    <w:bookmarkStart w:id="59" w:name="modèles-retenus"/>
    <w:p>
      <w:pPr>
        <w:pStyle w:val="Heading2"/>
      </w:pPr>
      <w:r>
        <w:t xml:space="preserve">2.5 Modèles retenus</w:t>
      </w:r>
    </w:p>
    <w:p>
      <w:pPr>
        <w:pStyle w:val="FirstParagraph"/>
      </w:pPr>
      <w:r>
        <w:t xml:space="preserve">Nous traitons le problème comme une</w:t>
      </w:r>
      <w:r>
        <w:t xml:space="preserve"> </w:t>
      </w:r>
      <w:r>
        <w:rPr>
          <w:bCs/>
          <w:b/>
        </w:rPr>
        <w:t xml:space="preserve">régression</w:t>
      </w:r>
      <w:r>
        <w:t xml:space="preserve"> </w:t>
      </w:r>
      <w:r>
        <w:t xml:space="preserve">: le modèle prédit un nombre, qui donne à la fois le sens et l’ampleur du mouvement. C’est aussi le choix des travaux de référence (Gu, Kelly et Xiu, 2020 ; Bouillot, Candelon et Kool, 2025). Nous comparons cinq approches, des plus simples aux plus flexibles :</w:t>
      </w:r>
    </w:p>
    <w:p>
      <w:pPr>
        <w:pStyle w:val="BodyText"/>
        <w:keepNext/>
        <w:spacing w:line="240" w:lineRule="auto" w:before="120" w:after="80"/>
        <w:jc w:val="left"/>
      </w:pPr>
      <w:r>
        <w:rPr>
          <w:bCs/>
          <w:b/>
          <w:sz w:val="22"/>
        </w:rPr>
        <w:t xml:space="preserve">Tableau 2.6 – Modèles comparés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Modèle</w:t>
            </w:r>
          </w:p>
        </w:tc>
        <w:tc>
          <w:tcPr>
            <w:shd w:val="clear" w:color="auto" w:fill="E7E6E6"/>
          </w:tcPr>
          <w:p>
            <w:pPr>
              <w:pStyle w:val="Compact"/>
              <w:spacing w:line="240" w:lineRule="auto" w:after="40"/>
              <w:jc w:val="left"/>
            </w:pPr>
            <w:r>
              <w:rPr>
                <w:rFonts w:ascii="Times New Roman" w:hAnsi="Times New Roman"/>
                <w:b/>
                <w:sz w:val="20"/>
              </w:rPr>
              <w:t xml:space="preserve">Rôle</w:t>
            </w:r>
          </w:p>
        </w:tc>
        <w:tc>
          <w:tcPr>
            <w:shd w:val="clear" w:color="auto" w:fill="E7E6E6"/>
          </w:tcPr>
          <w:p>
            <w:pPr>
              <w:pStyle w:val="Compact"/>
              <w:spacing w:line="240" w:lineRule="auto" w:after="40"/>
              <w:jc w:val="left"/>
            </w:pPr>
            <w:r>
              <w:rPr>
                <w:rFonts w:ascii="Times New Roman" w:hAnsi="Times New Roman"/>
                <w:b/>
                <w:sz w:val="20"/>
              </w:rPr>
              <w:t xml:space="preserve">Justification</w:t>
            </w:r>
          </w:p>
        </w:tc>
      </w:tr>
      <w:tr>
        <w:tc>
          <w:tcPr/>
          <w:p>
            <w:pPr>
              <w:pStyle w:val="Compact"/>
              <w:spacing w:line="240" w:lineRule="auto" w:after="40"/>
              <w:jc w:val="left"/>
            </w:pPr>
            <w:r>
              <w:rPr>
                <w:rFonts w:ascii="Times New Roman" w:hAnsi="Times New Roman"/>
                <w:sz w:val="20"/>
              </w:rPr>
              <w:t xml:space="preserve">Moyenne historique</w:t>
            </w:r>
          </w:p>
        </w:tc>
        <w:tc>
          <w:tcPr/>
          <w:p>
            <w:pPr>
              <w:pStyle w:val="Compact"/>
              <w:spacing w:line="240" w:lineRule="auto" w:after="40"/>
              <w:jc w:val="left"/>
            </w:pPr>
            <w:r>
              <w:rPr>
                <w:rFonts w:ascii="Times New Roman" w:hAnsi="Times New Roman"/>
                <w:sz w:val="20"/>
              </w:rPr>
              <w:t xml:space="preserve">Référence minimale</w:t>
            </w:r>
          </w:p>
        </w:tc>
        <w:tc>
          <w:tcPr/>
          <w:p>
            <w:pPr>
              <w:pStyle w:val="Compact"/>
              <w:spacing w:line="240" w:lineRule="auto" w:after="40"/>
              <w:jc w:val="left"/>
            </w:pPr>
            <w:r>
              <w:rPr>
                <w:rFonts w:ascii="Times New Roman" w:hAnsi="Times New Roman"/>
                <w:sz w:val="20"/>
              </w:rPr>
              <w:t xml:space="preserve">Un modèle qui ne la bat pas n’a pas de pouvoir prédictif (Welch et Goyal, 2008 ; Campbell et Thompson, 2008)</w:t>
            </w:r>
          </w:p>
        </w:tc>
      </w:tr>
      <w:tr>
        <w:tc>
          <w:tcPr/>
          <w:p>
            <w:pPr>
              <w:pStyle w:val="Compact"/>
              <w:spacing w:line="240" w:lineRule="auto" w:after="40"/>
              <w:jc w:val="left"/>
            </w:pPr>
            <w:r>
              <w:rPr>
                <w:rFonts w:ascii="Times New Roman" w:hAnsi="Times New Roman"/>
                <w:sz w:val="20"/>
              </w:rPr>
              <w:t xml:space="preserve">Marche aléatoire (variation nulle)</w:t>
            </w:r>
          </w:p>
        </w:tc>
        <w:tc>
          <w:tcPr/>
          <w:p>
            <w:pPr>
              <w:pStyle w:val="Compact"/>
              <w:spacing w:line="240" w:lineRule="auto" w:after="40"/>
              <w:jc w:val="left"/>
            </w:pPr>
            <w:r>
              <w:rPr>
                <w:rFonts w:ascii="Times New Roman" w:hAnsi="Times New Roman"/>
                <w:sz w:val="20"/>
              </w:rPr>
              <w:t xml:space="preserve">Seconde référence</w:t>
            </w:r>
          </w:p>
        </w:tc>
        <w:tc>
          <w:tcPr/>
          <w:p>
            <w:pPr>
              <w:pStyle w:val="Compact"/>
              <w:spacing w:line="240" w:lineRule="auto" w:after="40"/>
              <w:jc w:val="left"/>
            </w:pPr>
            <w:r>
              <w:rPr>
                <w:rFonts w:ascii="Times New Roman" w:hAnsi="Times New Roman"/>
                <w:sz w:val="20"/>
              </w:rPr>
              <w:t xml:space="preserve">Prédit que le taux ou l’indice ne bougera pas ; référence classique pour les séries financières</w:t>
            </w:r>
          </w:p>
        </w:tc>
      </w:tr>
      <w:tr>
        <w:tc>
          <w:tcPr/>
          <w:p>
            <w:pPr>
              <w:pStyle w:val="Compact"/>
              <w:spacing w:line="240" w:lineRule="auto" w:after="40"/>
              <w:jc w:val="left"/>
            </w:pPr>
            <w:r>
              <w:rPr>
                <w:rFonts w:ascii="Times New Roman" w:hAnsi="Times New Roman"/>
                <w:sz w:val="20"/>
              </w:rPr>
              <w:t xml:space="preserve">Ridge (régression linéaire régularisée)</w:t>
            </w:r>
          </w:p>
        </w:tc>
        <w:tc>
          <w:tcPr/>
          <w:p>
            <w:pPr>
              <w:pStyle w:val="Compact"/>
              <w:spacing w:line="240" w:lineRule="auto" w:after="40"/>
              <w:jc w:val="left"/>
            </w:pPr>
            <w:r>
              <w:rPr>
                <w:rFonts w:ascii="Times New Roman" w:hAnsi="Times New Roman"/>
                <w:sz w:val="20"/>
              </w:rPr>
              <w:t xml:space="preserve">Approche économétrique</w:t>
            </w:r>
          </w:p>
        </w:tc>
        <w:tc>
          <w:tcPr/>
          <w:p>
            <w:pPr>
              <w:pStyle w:val="Compact"/>
              <w:spacing w:line="240" w:lineRule="auto" w:after="40"/>
              <w:jc w:val="left"/>
            </w:pPr>
            <w:r>
              <w:rPr>
                <w:rFonts w:ascii="Times New Roman" w:hAnsi="Times New Roman"/>
                <w:sz w:val="20"/>
              </w:rPr>
              <w:t xml:space="preserve">Représente la tradition linéaire ; la régularisation limite le surapprentissage avec 18 variables</w:t>
            </w:r>
          </w:p>
        </w:tc>
      </w:tr>
      <w:tr>
        <w:tc>
          <w:tcPr/>
          <w:p>
            <w:pPr>
              <w:pStyle w:val="Compact"/>
              <w:spacing w:line="240" w:lineRule="auto" w:after="40"/>
              <w:jc w:val="left"/>
            </w:pPr>
            <w:r>
              <w:rPr>
                <w:rFonts w:ascii="Times New Roman" w:hAnsi="Times New Roman"/>
                <w:sz w:val="20"/>
              </w:rPr>
              <w:t xml:space="preserve">Forêt aléatoire</w:t>
            </w:r>
          </w:p>
        </w:tc>
        <w:tc>
          <w:tcPr/>
          <w:p>
            <w:pPr>
              <w:pStyle w:val="Compact"/>
              <w:spacing w:line="240" w:lineRule="auto" w:after="40"/>
              <w:jc w:val="left"/>
            </w:pPr>
            <w:r>
              <w:rPr>
                <w:rFonts w:ascii="Times New Roman" w:hAnsi="Times New Roman"/>
                <w:sz w:val="20"/>
              </w:rPr>
              <w:t xml:space="preserve">Machine learning robuste</w:t>
            </w:r>
          </w:p>
        </w:tc>
        <w:tc>
          <w:tcPr/>
          <w:p>
            <w:pPr>
              <w:pStyle w:val="Compact"/>
              <w:spacing w:line="240" w:lineRule="auto" w:after="40"/>
              <w:jc w:val="left"/>
            </w:pPr>
            <w:r>
              <w:rPr>
                <w:rFonts w:ascii="Times New Roman" w:hAnsi="Times New Roman"/>
                <w:sz w:val="20"/>
              </w:rPr>
              <w:t xml:space="preserve">Capte les effets non linéaires, stable sur de petits échantillons (Breiman, 2001 ; Medeiros et al., 2021)</w:t>
            </w:r>
          </w:p>
        </w:tc>
      </w:tr>
      <w:tr>
        <w:tc>
          <w:tcPr/>
          <w:p>
            <w:pPr>
              <w:pStyle w:val="Compact"/>
              <w:spacing w:line="240" w:lineRule="auto" w:after="40"/>
              <w:jc w:val="left"/>
            </w:pPr>
            <w:r>
              <w:rPr>
                <w:rFonts w:ascii="Times New Roman" w:hAnsi="Times New Roman"/>
                <w:sz w:val="20"/>
              </w:rPr>
              <w:t xml:space="preserve">XGBoost</w:t>
            </w:r>
          </w:p>
        </w:tc>
        <w:tc>
          <w:tcPr/>
          <w:p>
            <w:pPr>
              <w:pStyle w:val="Compact"/>
              <w:spacing w:line="240" w:lineRule="auto" w:after="40"/>
              <w:jc w:val="left"/>
            </w:pPr>
            <w:r>
              <w:rPr>
                <w:rFonts w:ascii="Times New Roman" w:hAnsi="Times New Roman"/>
                <w:sz w:val="20"/>
              </w:rPr>
              <w:t xml:space="preserve">Machine learning de référence</w:t>
            </w:r>
          </w:p>
        </w:tc>
        <w:tc>
          <w:tcPr/>
          <w:p>
            <w:pPr>
              <w:pStyle w:val="Compact"/>
              <w:spacing w:line="240" w:lineRule="auto" w:after="40"/>
              <w:jc w:val="left"/>
            </w:pPr>
            <w:r>
              <w:rPr>
                <w:rFonts w:ascii="Times New Roman" w:hAnsi="Times New Roman"/>
                <w:sz w:val="20"/>
              </w:rPr>
              <w:t xml:space="preserve">Meilleur modèle chez Bouillot et al. (2025) pour les spreads européens (Chen et Guestrin, 2016)</w:t>
            </w:r>
          </w:p>
        </w:tc>
      </w:tr>
    </w:tbl>
    <w:p>
      <w:pPr>
        <w:pStyle w:val="BodyText"/>
        <w:keepNext w:val="0"/>
        <w:spacing w:line="240" w:lineRule="auto" w:before="40" w:after="240"/>
        <w:jc w:val="left"/>
      </w:pPr>
      <w:r>
        <w:rPr>
          <w:iCs/>
          <w:i/>
          <w:sz w:val="20"/>
        </w:rPr>
        <w:t xml:space="preserve">Source : élaboration de l’auteur.</w:t>
      </w:r>
    </w:p>
    <w:p>
      <w:pPr>
        <w:pStyle w:val="BodyText"/>
      </w:pPr>
      <w:r>
        <w:rPr>
          <w:bCs/>
          <w:b/>
        </w:rPr>
        <w:t xml:space="preserve">Nous n’utilisons pas de deep learning.</w:t>
      </w:r>
      <w:r>
        <w:t xml:space="preserve"> </w:t>
      </w:r>
      <w:r>
        <w:t xml:space="preserve">Avec environ 150 mois de données, un réseau de neurones apprendrait surtout le bruit. Les études qui l’emploient avec succès, comme Fischer et Krauss (2018), travaillent sur des données quotidiennes de centaines d’actions, soit des centaines de milliers d’observations.</w:t>
      </w:r>
    </w:p>
    <w:bookmarkStart w:id="58" w:name="hyperparamètres"/>
    <w:p>
      <w:pPr>
        <w:pStyle w:val="Heading3"/>
      </w:pPr>
      <w:r>
        <w:t>Hyperparamètres.</w:t>
      </w:r>
    </w:p>
    <w:p>
      <w:pPr>
        <w:pStyle w:val="FirstParagraph"/>
      </w:pPr>
      <w:r>
        <w:t xml:space="preserve">Nous n’avons pas cherché les meilleurs hyperparamètres sur la période de test. Quand on essaie beaucoup de réglages, on finit toujours par en trouver un qui « marche », mais par hasard. Nous avons donc retenu des valeurs usuelles :</w:t>
      </w:r>
    </w:p>
    <w:p>
      <w:pPr>
        <w:numPr>
          <w:ilvl w:val="0"/>
          <w:numId w:val="1011"/>
        </w:numPr>
        <w:pStyle w:val="Compact"/>
      </w:pPr>
      <w:r>
        <w:rPr>
          <w:bCs/>
          <w:b/>
        </w:rPr>
        <w:t xml:space="preserve">Ridge</w:t>
      </w:r>
      <w:r>
        <w:t xml:space="preserve"> </w:t>
      </w:r>
      <w:r>
        <w:t xml:space="preserve">: paramètre de régularisation choisi automatiquement sur les données d’entraînement, parmi 40 valeurs entre 0,01 et 1 000 000. La grille initiale s’arrêtait à 1 000 ; lors de la revue du code, nous avons constaté que cette borne était atteinte la plupart des mois pour le CAC 40, et nous l’avons élargie (le R² de Ridge change d’au plus 1,2 point).</w:t>
      </w:r>
    </w:p>
    <w:p>
      <w:pPr>
        <w:numPr>
          <w:ilvl w:val="0"/>
          <w:numId w:val="1011"/>
        </w:numPr>
        <w:pStyle w:val="Compact"/>
      </w:pPr>
      <w:r>
        <w:rPr>
          <w:bCs/>
          <w:b/>
        </w:rPr>
        <w:t xml:space="preserve">Forêt aléatoire</w:t>
      </w:r>
      <w:r>
        <w:t xml:space="preserve"> </w:t>
      </w:r>
      <w:r>
        <w:t xml:space="preserve">: 300 arbres, profondeur maximale 4, au moins 5 observations par feuille, 50 % des variables tirées à chaque division.</w:t>
      </w:r>
    </w:p>
    <w:p>
      <w:pPr>
        <w:numPr>
          <w:ilvl w:val="0"/>
          <w:numId w:val="1011"/>
        </w:numPr>
        <w:pStyle w:val="Compact"/>
      </w:pPr>
      <w:r>
        <w:rPr>
          <w:bCs/>
          <w:b/>
        </w:rPr>
        <w:t xml:space="preserve">XGBoost</w:t>
      </w:r>
      <w:r>
        <w:t xml:space="preserve"> </w:t>
      </w:r>
      <w:r>
        <w:t xml:space="preserve">: 200 arbres, profondeur maximale 2, taux d’apprentissage 0,05, sous-échantillonnage de 80 % des observations et des variables.</w:t>
      </w:r>
    </w:p>
    <w:p>
      <w:pPr>
        <w:pStyle w:val="FirstParagraph"/>
      </w:pPr>
      <w:r>
        <w:t xml:space="preserve">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p>
    <w:bookmarkEnd w:id="58"/>
    <w:bookmarkEnd w:id="59"/>
    <w:bookmarkStart w:id="67" w:name="protocole-dévaluation"/>
    <w:p>
      <w:pPr>
        <w:pStyle w:val="Heading2"/>
      </w:pPr>
      <w:r>
        <w:t xml:space="preserve">2.6 Protocole d’évaluation</w:t>
      </w:r>
    </w:p>
    <w:p>
      <w:pPr>
        <w:pStyle w:val="FirstParagraph"/>
      </w:pPr>
      <w:r>
        <w:t xml:space="preserve">Nous évaluons les modèles comme s’ils avaient été utilisés en vrai, mois après mois : chaque prévision n’utilise que les données disponibles au moment où elle est faite.</w:t>
      </w:r>
    </w:p>
    <w:bookmarkStart w:id="60" w:name="validation-glissante"/>
    <w:p>
      <w:pPr>
        <w:pStyle w:val="Heading3"/>
      </w:pPr>
      <w:r>
        <w:t>2.6.1 Validation glissante.</w:t>
      </w:r>
    </w:p>
    <w:p>
      <w:pPr>
        <w:pStyle w:val="FirstParagraph"/>
      </w:pPr>
      <w:r>
        <w:t xml:space="preserve">Une validation croisée classique tire les mois au hasard. Le modèle pourrait alors apprendre sur 2024 pour prévoir 2021, ce qui n’a aucun sens pour une prévision. Nous utilisons donc une</w:t>
      </w:r>
      <w:r>
        <w:t xml:space="preserve"> </w:t>
      </w:r>
      <w:r>
        <w:rPr>
          <w:bCs/>
          <w:b/>
        </w:rPr>
        <w:t xml:space="preserve">validation glissante à fenêtre croissante</w:t>
      </w:r>
      <w:r>
        <w:t xml:space="preserve"> </w:t>
      </w:r>
      <w:r>
        <w:t xml:space="preserve">:</w:t>
      </w:r>
    </w:p>
    <w:p>
      <w:pPr>
        <w:numPr>
          <w:ilvl w:val="0"/>
          <w:numId w:val="1012"/>
        </w:numPr>
        <w:pStyle w:val="Compact"/>
      </w:pPr>
      <w:r>
        <w:t xml:space="preserve">Le modèle est entraîné sur mars 2014 – décembre 2019 (70 mois) et prédit janvier 2020.</w:t>
      </w:r>
    </w:p>
    <w:p>
      <w:pPr>
        <w:numPr>
          <w:ilvl w:val="0"/>
          <w:numId w:val="1012"/>
        </w:numPr>
        <w:pStyle w:val="Compact"/>
      </w:pPr>
      <w:r>
        <w:t xml:space="preserve">Il est réentraîné en ajoutant janvier 2020, puis prédit février 2020.</w:t>
      </w:r>
    </w:p>
    <w:p>
      <w:pPr>
        <w:numPr>
          <w:ilvl w:val="0"/>
          <w:numId w:val="1012"/>
        </w:numPr>
        <w:pStyle w:val="Compact"/>
      </w:pPr>
      <w:r>
        <w:t xml:space="preserve">L’opération est répétée chaque mois jusqu’à juillet 2026.</w:t>
      </w:r>
    </w:p>
    <w:p>
      <w:pPr>
        <w:pStyle w:val="FirstParagraph"/>
      </w:pPr>
      <w:r>
        <w:t xml:space="preserve">La période de test compte</w:t>
      </w:r>
      <w:r>
        <w:t xml:space="preserve"> </w:t>
      </w:r>
      <w:r>
        <w:rPr>
          <w:bCs/>
          <w:b/>
        </w:rPr>
        <w:t xml:space="preserve">79 mois</w:t>
      </w:r>
      <w:r>
        <w:t xml:space="preserve">, de janvier 2020 à juillet 2026. Elle traverse des contextes très différents : le Covid-19, la hausse des taux de la BCE à partir de 2022, puis les tensions politiques et budgétaires françaises de 2024 à 2026.</w:t>
      </w:r>
    </w:p>
    <w:bookmarkEnd w:id="60"/>
    <w:bookmarkStart w:id="64" w:name="mesures-de-performance"/>
    <w:p>
      <w:pPr>
        <w:pStyle w:val="Heading3"/>
      </w:pPr>
      <w:r>
        <w:t>2.6.2 Mesures de performance.</w:t>
      </w:r>
    </w:p>
    <w:p>
      <w:pPr>
        <w:pStyle w:val="FirstParagraph"/>
        <w:keepNext/>
        <w:spacing w:line="240" w:lineRule="auto" w:before="120" w:after="80"/>
        <w:jc w:val="left"/>
      </w:pPr>
      <w:r>
        <w:rPr>
          <w:bCs/>
          <w:b/>
          <w:sz w:val="22"/>
        </w:rPr>
        <w:t xml:space="preserve">Tableau 2.7 – Mesures de performance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Mesure</w:t>
            </w:r>
          </w:p>
        </w:tc>
        <w:tc>
          <w:tcPr>
            <w:shd w:val="clear" w:color="auto" w:fill="E7E6E6"/>
          </w:tcPr>
          <w:p>
            <w:pPr>
              <w:pStyle w:val="Compact"/>
              <w:spacing w:line="240" w:lineRule="auto" w:after="40"/>
              <w:jc w:val="left"/>
            </w:pPr>
            <w:r>
              <w:rPr>
                <w:rFonts w:ascii="Times New Roman" w:hAnsi="Times New Roman"/>
                <w:b/>
                <w:sz w:val="20"/>
              </w:rPr>
              <w:t xml:space="preserve">Ce qu’elle mesure</w:t>
            </w:r>
          </w:p>
        </w:tc>
      </w:tr>
      <w:tr>
        <w:tc>
          <w:tcPr/>
          <w:p>
            <w:pPr>
              <w:pStyle w:val="Compact"/>
              <w:spacing w:line="240" w:lineRule="auto" w:after="40"/>
              <w:jc w:val="left"/>
            </w:pPr>
            <w:r>
              <w:rPr>
                <w:rFonts w:ascii="Times New Roman" w:hAnsi="Times New Roman"/>
                <w:sz w:val="20"/>
              </w:rPr>
              <w:t xml:space="preserve">RMSE (racine de l’erreur quadratique moyenne)</w:t>
            </w:r>
          </w:p>
        </w:tc>
        <w:tc>
          <w:tcPr/>
          <w:p>
            <w:pPr>
              <w:pStyle w:val="Compact"/>
              <w:spacing w:line="240" w:lineRule="auto" w:after="40"/>
              <w:jc w:val="left"/>
            </w:pPr>
            <w:r>
              <w:rPr>
                <w:rFonts w:ascii="Times New Roman" w:hAnsi="Times New Roman"/>
                <w:sz w:val="20"/>
              </w:rPr>
              <w:t xml:space="preserve">L’erreur typique, dans l’unité de la cible ; pénalise les grosses erreurs</w:t>
            </w:r>
          </w:p>
        </w:tc>
      </w:tr>
      <w:tr>
        <w:tc>
          <w:tcPr/>
          <w:p>
            <w:pPr>
              <w:pStyle w:val="Compact"/>
              <w:spacing w:line="240" w:lineRule="auto" w:after="40"/>
              <w:jc w:val="left"/>
            </w:pPr>
            <w:r>
              <w:rPr>
                <w:rFonts w:ascii="Times New Roman" w:hAnsi="Times New Roman"/>
                <w:sz w:val="20"/>
              </w:rPr>
              <w:t xml:space="preserve">MAE (erreur absolue moyenne)</w:t>
            </w:r>
          </w:p>
        </w:tc>
        <w:tc>
          <w:tcPr/>
          <w:p>
            <w:pPr>
              <w:pStyle w:val="Compact"/>
              <w:spacing w:line="240" w:lineRule="auto" w:after="40"/>
              <w:jc w:val="left"/>
            </w:pPr>
            <w:r>
              <w:rPr>
                <w:rFonts w:ascii="Times New Roman" w:hAnsi="Times New Roman"/>
                <w:sz w:val="20"/>
              </w:rPr>
              <w:t xml:space="preserve">L’erreur moyenne, moins sensible aux mois extrêmes</w:t>
            </w:r>
          </w:p>
        </w:tc>
      </w:tr>
      <w:tr>
        <w:tc>
          <w:tcPr/>
          <w:p>
            <w:pPr>
              <w:pStyle w:val="Compact"/>
              <w:spacing w:line="240" w:lineRule="auto" w:after="40"/>
              <w:jc w:val="left"/>
            </w:pPr>
            <w:r>
              <w:rPr>
                <w:rFonts w:ascii="Times New Roman" w:hAnsi="Times New Roman"/>
                <w:sz w:val="20"/>
              </w:rPr>
              <w:t xml:space="preserve">R² hors échantillon</w:t>
            </w:r>
          </w:p>
        </w:tc>
        <w:tc>
          <w:tcPr/>
          <w:p>
            <w:pPr>
              <w:pStyle w:val="Compact"/>
              <w:spacing w:line="240" w:lineRule="auto" w:after="40"/>
              <w:jc w:val="left"/>
            </w:pPr>
            <w:r>
              <w:rPr>
                <w:rFonts w:ascii="Times New Roman" w:hAnsi="Times New Roman"/>
                <w:sz w:val="20"/>
              </w:rPr>
              <w:t xml:space="preserve">Le gain par rapport à la moyenne historique : positif si le modèle fait mieux, négatif sinon (Campbell et Thompson, 2008)</w:t>
            </w:r>
          </w:p>
        </w:tc>
      </w:tr>
      <w:tr>
        <w:tc>
          <w:tcPr/>
          <w:p>
            <w:pPr>
              <w:pStyle w:val="Compact"/>
              <w:spacing w:line="240" w:lineRule="auto" w:after="40"/>
              <w:jc w:val="left"/>
            </w:pPr>
            <w:r>
              <w:rPr>
                <w:rFonts w:ascii="Times New Roman" w:hAnsi="Times New Roman"/>
                <w:sz w:val="20"/>
              </w:rPr>
              <w:t xml:space="preserve">Taux de bonne direction</w:t>
            </w:r>
          </w:p>
        </w:tc>
        <w:tc>
          <w:tcPr/>
          <w:p>
            <w:pPr>
              <w:pStyle w:val="Compact"/>
              <w:spacing w:line="240" w:lineRule="auto" w:after="40"/>
              <w:jc w:val="left"/>
            </w:pPr>
            <w:r>
              <w:rPr>
                <w:rFonts w:ascii="Times New Roman" w:hAnsi="Times New Roman"/>
                <w:sz w:val="20"/>
              </w:rPr>
              <w:t xml:space="preserve">La part des mois où le sens du mouvement est correctement anticipé</w:t>
            </w:r>
          </w:p>
        </w:tc>
      </w:tr>
    </w:tbl>
    <w:p>
      <w:pPr>
        <w:pStyle w:val="BodyText"/>
        <w:keepNext w:val="0"/>
        <w:spacing w:line="240" w:lineRule="auto" w:before="40" w:after="240"/>
        <w:jc w:val="left"/>
      </w:pPr>
      <w:r>
        <w:rPr>
          <w:iCs/>
          <w:i/>
          <w:sz w:val="20"/>
        </w:rPr>
        <w:t xml:space="preserve">Source : élaboration de l’auteur.</w:t>
      </w:r>
    </w:p>
    <w:p>
      <w:pPr>
        <w:pStyle w:val="BodyText"/>
      </w:pPr>
      <w:r>
        <w:t xml:space="preserve">Notre mesure principale est le R² hors échantillon. Il compare les erreurs du modèle à celles de la moyenne historique :</w:t>
      </w:r>
    </w:p>
    <w:p>
      <w:pPr>
        <w:pStyle w:val="BodyText"/>
      </w:pPr>
      <w:r>
        <w:drawing>
          <wp:inline>
            <wp:extent cx="2699999" cy="1009010"/>
            <wp:effectExtent b="0" l="0" r="0" t="0"/>
            <wp:docPr descr="" title="" id="62" name="Picture"/>
            <a:graphic>
              <a:graphicData uri="http://schemas.openxmlformats.org/drawingml/2006/picture">
                <pic:pic>
                  <pic:nvPicPr>
                    <pic:cNvPr descr="/home/claude/public-spending-market-prediction/redaction/outils/formule_r2.png" id="63" name="Picture"/>
                    <pic:cNvPicPr>
                      <a:picLocks noChangeArrowheads="1" noChangeAspect="1"/>
                    </pic:cNvPicPr>
                  </pic:nvPicPr>
                  <pic:blipFill>
                    <a:blip r:embed="rId61"/>
                    <a:stretch>
                      <a:fillRect/>
                    </a:stretch>
                  </pic:blipFill>
                  <pic:spPr bwMode="auto">
                    <a:xfrm>
                      <a:off x="0" y="0"/>
                      <a:ext cx="2699999" cy="1009010"/>
                    </a:xfrm>
                    <a:prstGeom prst="rect">
                      <a:avLst/>
                    </a:prstGeom>
                    <a:noFill/>
                    <a:ln w="9525">
                      <a:noFill/>
                      <a:headEnd/>
                      <a:tailEnd/>
                    </a:ln>
                  </pic:spPr>
                </pic:pic>
              </a:graphicData>
            </a:graphic>
          </wp:inline>
        </w:drawing>
      </w:r>
    </w:p>
    <w:p>
      <w:pPr>
        <w:pStyle w:val="BodyText"/>
      </w:pPr>
      <w:r>
        <w:t xml:space="preserve">où</w:t>
      </w:r>
      <w:r>
        <w:t xml:space="preserve"> </w:t>
      </w:r>
      <w:r>
        <w:rPr>
          <w:iCs/>
          <w:i/>
        </w:rPr>
        <w:t xml:space="preserve">y</w:t>
      </w:r>
      <w:r>
        <w:rPr>
          <w:vertAlign w:val="subscript"/>
        </w:rPr>
        <w:t xml:space="preserve">t</w:t>
      </w:r>
      <w:r>
        <w:t xml:space="preserve"> </w:t>
      </w:r>
      <w:r>
        <w:t xml:space="preserve">est la valeur observée,</w:t>
      </w:r>
      <w:r>
        <w:t xml:space="preserve"> </w:t>
      </w:r>
      <w:r>
        <w:rPr>
          <w:iCs/>
          <w:i/>
        </w:rPr>
        <w:t xml:space="preserve">ŷ</w:t>
      </w:r>
      <w:r>
        <w:rPr>
          <w:vertAlign w:val="subscript"/>
        </w:rPr>
        <w:t xml:space="preserve">t</w:t>
      </w:r>
      <w:r>
        <w:t xml:space="preserve"> </w:t>
      </w:r>
      <w:r>
        <w:t xml:space="preserve">la prévision du modèle et</w:t>
      </w:r>
      <w:r>
        <w:t xml:space="preserve"> </w:t>
      </w:r>
      <w:r>
        <w:rPr>
          <w:iCs/>
          <w:i/>
        </w:rPr>
        <w:t xml:space="preserve">ȳ</w:t>
      </w:r>
      <w:r>
        <w:rPr>
          <w:vertAlign w:val="subscript"/>
        </w:rPr>
        <w:t xml:space="preserve">t</w:t>
      </w:r>
      <w:r>
        <w:t xml:space="preserve"> </w:t>
      </w:r>
      <w:r>
        <w:t xml:space="preserve">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p>
    <w:bookmarkEnd w:id="64"/>
    <w:bookmarkStart w:id="65" w:name="tests-statistiques"/>
    <w:p>
      <w:pPr>
        <w:pStyle w:val="Heading3"/>
      </w:pPr>
      <w:r>
        <w:t>2.6.3 Tests statistiques.</w:t>
      </w:r>
    </w:p>
    <w:p>
      <w:pPr>
        <w:pStyle w:val="FirstParagraph"/>
      </w:pPr>
      <w:r>
        <w:t xml:space="preserve">Un modèle peut faire un peu mieux qu’un autre par pur hasard. Pour le savoir, nous utilisons le</w:t>
      </w:r>
      <w:r>
        <w:t xml:space="preserve"> </w:t>
      </w:r>
      <w:r>
        <w:rPr>
          <w:bCs/>
          <w:b/>
        </w:rPr>
        <w:t xml:space="preserve">test de Diebold et Mariano (1995)</w:t>
      </w:r>
      <w:r>
        <w:t xml:space="preserve">, avec la correction de Harvey, Leybourne et Newbold (1997) pour les petits échantillons. Il nous dit si l’écart d’erreurs entre deux modèles est assez grand pour ne pas être dû au hasard. Nous l’appliquons à trois comparaisons :</w:t>
      </w:r>
    </w:p>
    <w:p>
      <w:pPr>
        <w:numPr>
          <w:ilvl w:val="0"/>
          <w:numId w:val="1013"/>
        </w:numPr>
        <w:pStyle w:val="Compact"/>
      </w:pPr>
      <w:r>
        <w:t xml:space="preserve">M1 contre M0 pour chaque modèle (test de l’hypothèse H1) ;</w:t>
      </w:r>
    </w:p>
    <w:p>
      <w:pPr>
        <w:numPr>
          <w:ilvl w:val="0"/>
          <w:numId w:val="1013"/>
        </w:numPr>
        <w:pStyle w:val="Compact"/>
      </w:pPr>
      <w:r>
        <w:t xml:space="preserve">chaque modèle contre la moyenne historique ;</w:t>
      </w:r>
    </w:p>
    <w:p>
      <w:pPr>
        <w:numPr>
          <w:ilvl w:val="0"/>
          <w:numId w:val="1013"/>
        </w:numPr>
        <w:pStyle w:val="Compact"/>
      </w:pPr>
      <w:r>
        <w:t xml:space="preserve">forêt aléatoire et XGBoost contre Ridge (hypothèse H3).</w:t>
      </w:r>
    </w:p>
    <w:bookmarkEnd w:id="65"/>
    <w:bookmarkStart w:id="66" w:name="importance-des-variables"/>
    <w:p>
      <w:pPr>
        <w:pStyle w:val="Heading3"/>
      </w:pPr>
      <w:r>
        <w:t>2.6.4 Importance des variables.</w:t>
      </w:r>
    </w:p>
    <w:p>
      <w:pPr>
        <w:pStyle w:val="FirstParagraph"/>
      </w:pPr>
      <w:r>
        <w:t xml:space="preserve">Pour savoir quelles dépenses le modèle utilise le plus (hypothèse H4), nous calculons les</w:t>
      </w:r>
      <w:r>
        <w:t xml:space="preserve"> </w:t>
      </w:r>
      <w:r>
        <w:rPr>
          <w:bCs/>
          <w:b/>
        </w:rPr>
        <w:t xml:space="preserve">valeurs SHAP</w:t>
      </w:r>
      <w:r>
        <w:t xml:space="preserve"> </w:t>
      </w:r>
      <w:r>
        <w:t xml:space="preserve">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p>
    <w:bookmarkEnd w:id="66"/>
    <w:bookmarkEnd w:id="67"/>
    <w:bookmarkStart w:id="69" w:name="Xe43980d90f80326a1c3dbbdccb49a1d499f6c02"/>
    <w:p>
      <w:pPr>
        <w:pStyle w:val="Heading2"/>
      </w:pPr>
      <w:r>
        <w:t xml:space="preserve">2.7 Extensions pré-enregistrées et correction des tests multiples</w:t>
      </w:r>
    </w:p>
    <w:p>
      <w:pPr>
        <w:pStyle w:val="FirstParagraph"/>
      </w:pPr>
      <w:r>
        <w:t xml:space="preserve">Un résultat pourrait dépendre d’un choix particulier : l’horizon, le modèle, la période. Pour le vérifier, nous avons décliné le protocole principal en vingt extensions.</w:t>
      </w:r>
      <w:r>
        <w:t xml:space="preserve"> </w:t>
      </w:r>
      <w:r>
        <w:rPr>
          <w:bCs/>
          <w:b/>
        </w:rPr>
        <w:t xml:space="preserve">Avant de lancer chaque extension, nous avons daté sa liste et son protocole dans le dépôt GitHub</w:t>
      </w:r>
      <w:r>
        <w:t xml:space="preserve">, et nous rapportons tous les résultats, favorables ou non.</w:t>
      </w:r>
    </w:p>
    <w:p>
      <w:pPr>
        <w:pStyle w:val="BodyText"/>
      </w:pPr>
      <w:r>
        <w:t xml:space="preserve">Cette précaution répond à un risque bien décrit par Bailey et al. (2014) : à force d’essayer des configurations, on finit toujours par en trouver une qui semble marcher, par hasard.</w:t>
      </w:r>
    </w:p>
    <w:p>
      <w:pPr>
        <w:pStyle w:val="BodyText"/>
      </w:pPr>
      <w: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w:t>
      </w:r>
      <w:r>
        <w:t xml:space="preserve"> </w:t>
      </w:r>
      <w:r>
        <w:rPr>
          <w:bCs/>
          <w:b/>
        </w:rPr>
        <w:t xml:space="preserve">après</w:t>
      </w:r>
      <w:r>
        <w:t xml:space="preserve"> </w:t>
      </w:r>
      <w:r>
        <w:t xml:space="preserve">avoir vu les résultats d’E15 et E16, mais avant leurs propres données. E18 est donc présentée comme exploratoire, car son idée vient directement d’un résultat d’E15.</w:t>
      </w:r>
    </w:p>
    <w:p>
      <w:pPr>
        <w:pStyle w:val="BodyText"/>
        <w:keepNext/>
        <w:spacing w:line="240" w:lineRule="auto" w:before="120" w:after="80"/>
        <w:jc w:val="left"/>
      </w:pPr>
      <w:r>
        <w:rPr>
          <w:bCs/>
          <w:b/>
          <w:sz w:val="22"/>
        </w:rPr>
        <w:t xml:space="preserve">Tableau 2.8 – Extensions testées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w:t>
            </w:r>
          </w:p>
        </w:tc>
        <w:tc>
          <w:tcPr>
            <w:shd w:val="clear" w:color="auto" w:fill="E7E6E6"/>
          </w:tcPr>
          <w:p>
            <w:pPr>
              <w:pStyle w:val="Compact"/>
              <w:spacing w:line="240" w:lineRule="auto" w:after="40"/>
              <w:jc w:val="left"/>
            </w:pPr>
            <w:r>
              <w:rPr>
                <w:rFonts w:ascii="Times New Roman" w:hAnsi="Times New Roman"/>
                <w:b/>
                <w:sz w:val="20"/>
              </w:rPr>
              <w:t xml:space="preserve">Extension</w:t>
            </w:r>
          </w:p>
        </w:tc>
        <w:tc>
          <w:tcPr>
            <w:shd w:val="clear" w:color="auto" w:fill="E7E6E6"/>
          </w:tcPr>
          <w:p>
            <w:pPr>
              <w:pStyle w:val="Compact"/>
              <w:spacing w:line="240" w:lineRule="auto" w:after="40"/>
              <w:jc w:val="left"/>
            </w:pPr>
            <w:r>
              <w:rPr>
                <w:rFonts w:ascii="Times New Roman" w:hAnsi="Times New Roman"/>
                <w:b/>
                <w:sz w:val="20"/>
              </w:rPr>
              <w:t xml:space="preserve">Justification</w:t>
            </w:r>
          </w:p>
        </w:tc>
      </w:tr>
      <w:tr>
        <w:tc>
          <w:tcPr/>
          <w:p>
            <w:pPr>
              <w:pStyle w:val="Compact"/>
              <w:spacing w:line="240" w:lineRule="auto" w:after="40"/>
              <w:jc w:val="left"/>
            </w:pPr>
            <w:r>
              <w:rPr>
                <w:rFonts w:ascii="Times New Roman" w:hAnsi="Times New Roman"/>
                <w:sz w:val="20"/>
              </w:rPr>
              <w:t xml:space="preserve">E1</w:t>
            </w:r>
          </w:p>
        </w:tc>
        <w:tc>
          <w:tcPr/>
          <w:p>
            <w:pPr>
              <w:pStyle w:val="Compact"/>
              <w:spacing w:line="240" w:lineRule="auto" w:after="40"/>
              <w:jc w:val="left"/>
            </w:pPr>
            <w:r>
              <w:rPr>
                <w:rFonts w:ascii="Times New Roman" w:hAnsi="Times New Roman"/>
                <w:sz w:val="20"/>
              </w:rPr>
              <w:t xml:space="preserve">Horizons de 3, 6 et 12 mois</w:t>
            </w:r>
          </w:p>
        </w:tc>
        <w:tc>
          <w:tcPr/>
          <w:p>
            <w:pPr>
              <w:pStyle w:val="Compact"/>
              <w:spacing w:line="240" w:lineRule="auto" w:after="40"/>
              <w:jc w:val="left"/>
            </w:pPr>
            <w:r>
              <w:rPr>
                <w:rFonts w:ascii="Times New Roman" w:hAnsi="Times New Roman"/>
                <w:sz w:val="20"/>
              </w:rPr>
              <w:t xml:space="preserve">Les dépenses agissent lentement sur la dette</w:t>
            </w:r>
          </w:p>
        </w:tc>
      </w:tr>
      <w:tr>
        <w:tc>
          <w:tcPr/>
          <w:p>
            <w:pPr>
              <w:pStyle w:val="Compact"/>
              <w:spacing w:line="240" w:lineRule="auto" w:after="40"/>
              <w:jc w:val="left"/>
            </w:pPr>
            <w:r>
              <w:rPr>
                <w:rFonts w:ascii="Times New Roman" w:hAnsi="Times New Roman"/>
                <w:sz w:val="20"/>
              </w:rPr>
              <w:t xml:space="preserve">E2</w:t>
            </w:r>
          </w:p>
        </w:tc>
        <w:tc>
          <w:tcPr/>
          <w:p>
            <w:pPr>
              <w:pStyle w:val="Compact"/>
              <w:spacing w:line="240" w:lineRule="auto" w:after="40"/>
              <w:jc w:val="left"/>
            </w:pPr>
            <w:r>
              <w:rPr>
                <w:rFonts w:ascii="Times New Roman" w:hAnsi="Times New Roman"/>
                <w:sz w:val="20"/>
              </w:rPr>
              <w:t xml:space="preserve">Classification hausse ou baisse</w:t>
            </w:r>
          </w:p>
        </w:tc>
        <w:tc>
          <w:tcPr/>
          <w:p>
            <w:pPr>
              <w:pStyle w:val="Compact"/>
              <w:spacing w:line="240" w:lineRule="auto" w:after="40"/>
              <w:jc w:val="left"/>
            </w:pPr>
            <w:r>
              <w:rPr>
                <w:rFonts w:ascii="Times New Roman" w:hAnsi="Times New Roman"/>
                <w:sz w:val="20"/>
              </w:rPr>
              <w:t xml:space="preserve">Deviner le sens est plus facile que l’ampleur</w:t>
            </w:r>
          </w:p>
        </w:tc>
      </w:tr>
      <w:tr>
        <w:tc>
          <w:tcPr/>
          <w:p>
            <w:pPr>
              <w:pStyle w:val="Compact"/>
              <w:spacing w:line="240" w:lineRule="auto" w:after="40"/>
              <w:jc w:val="left"/>
            </w:pPr>
            <w:r>
              <w:rPr>
                <w:rFonts w:ascii="Times New Roman" w:hAnsi="Times New Roman"/>
                <w:sz w:val="20"/>
              </w:rPr>
              <w:t xml:space="preserve">E3</w:t>
            </w:r>
          </w:p>
        </w:tc>
        <w:tc>
          <w:tcPr/>
          <w:p>
            <w:pPr>
              <w:pStyle w:val="Compact"/>
              <w:spacing w:line="240" w:lineRule="auto" w:after="40"/>
              <w:jc w:val="left"/>
            </w:pPr>
            <w:r>
              <w:rPr>
                <w:rFonts w:ascii="Times New Roman" w:hAnsi="Times New Roman"/>
                <w:sz w:val="20"/>
              </w:rPr>
              <w:t xml:space="preserve">Volatilité (ampleur du mouvement)</w:t>
            </w:r>
          </w:p>
        </w:tc>
        <w:tc>
          <w:tcPr/>
          <w:p>
            <w:pPr>
              <w:pStyle w:val="Compact"/>
              <w:spacing w:line="240" w:lineRule="auto" w:after="40"/>
              <w:jc w:val="left"/>
            </w:pPr>
            <w:r>
              <w:rPr>
                <w:rFonts w:ascii="Times New Roman" w:hAnsi="Times New Roman"/>
                <w:sz w:val="20"/>
              </w:rPr>
              <w:t xml:space="preserve">L’incertitude budgétaire peut agiter les marchés</w:t>
            </w:r>
          </w:p>
        </w:tc>
      </w:tr>
      <w:tr>
        <w:tc>
          <w:tcPr/>
          <w:p>
            <w:pPr>
              <w:pStyle w:val="Compact"/>
              <w:spacing w:line="240" w:lineRule="auto" w:after="40"/>
              <w:jc w:val="left"/>
            </w:pPr>
            <w:r>
              <w:rPr>
                <w:rFonts w:ascii="Times New Roman" w:hAnsi="Times New Roman"/>
                <w:sz w:val="20"/>
              </w:rPr>
              <w:t xml:space="preserve">E4</w:t>
            </w:r>
          </w:p>
        </w:tc>
        <w:tc>
          <w:tcPr/>
          <w:p>
            <w:pPr>
              <w:pStyle w:val="Compact"/>
              <w:spacing w:line="240" w:lineRule="auto" w:after="40"/>
              <w:jc w:val="left"/>
            </w:pPr>
            <w:r>
              <w:rPr>
                <w:rFonts w:ascii="Times New Roman" w:hAnsi="Times New Roman"/>
                <w:sz w:val="20"/>
              </w:rPr>
              <w:t xml:space="preserve">Surprise budgétaire : exécution par rapport au budget voté</w:t>
            </w:r>
          </w:p>
        </w:tc>
        <w:tc>
          <w:tcPr/>
          <w:p>
            <w:pPr>
              <w:pStyle w:val="Compact"/>
              <w:spacing w:line="240" w:lineRule="auto" w:after="40"/>
              <w:jc w:val="left"/>
            </w:pPr>
            <w:r>
              <w:rPr>
                <w:rFonts w:ascii="Times New Roman" w:hAnsi="Times New Roman"/>
                <w:sz w:val="20"/>
              </w:rPr>
              <w:t xml:space="preserve">Le marché réagit à l’information nouvelle (Ramey, 2011)</w:t>
            </w:r>
          </w:p>
        </w:tc>
      </w:tr>
      <w:tr>
        <w:tc>
          <w:tcPr/>
          <w:p>
            <w:pPr>
              <w:pStyle w:val="Compact"/>
              <w:spacing w:line="240" w:lineRule="auto" w:after="40"/>
              <w:jc w:val="left"/>
            </w:pPr>
            <w:r>
              <w:rPr>
                <w:rFonts w:ascii="Times New Roman" w:hAnsi="Times New Roman"/>
                <w:sz w:val="20"/>
              </w:rPr>
              <w:t xml:space="preserve">E5</w:t>
            </w:r>
          </w:p>
        </w:tc>
        <w:tc>
          <w:tcPr/>
          <w:p>
            <w:pPr>
              <w:pStyle w:val="Compact"/>
              <w:spacing w:line="240" w:lineRule="auto" w:after="40"/>
              <w:jc w:val="left"/>
            </w:pPr>
            <w:r>
              <w:rPr>
                <w:rFonts w:ascii="Times New Roman" w:hAnsi="Times New Roman"/>
                <w:sz w:val="20"/>
              </w:rPr>
              <w:t xml:space="preserve">Effet selon le régime de taux</w:t>
            </w:r>
          </w:p>
        </w:tc>
        <w:tc>
          <w:tcPr/>
          <w:p>
            <w:pPr>
              <w:pStyle w:val="Compact"/>
              <w:spacing w:line="240" w:lineRule="auto" w:after="40"/>
              <w:jc w:val="left"/>
            </w:pPr>
            <w:r>
              <w:rPr>
                <w:rFonts w:ascii="Times New Roman" w:hAnsi="Times New Roman"/>
                <w:sz w:val="20"/>
              </w:rPr>
              <w:t xml:space="preserve">La sensibilité aux finances publiques varie dans le temps (Afonso et al., 2015)</w:t>
            </w:r>
          </w:p>
        </w:tc>
      </w:tr>
      <w:tr>
        <w:tc>
          <w:tcPr/>
          <w:p>
            <w:pPr>
              <w:pStyle w:val="Compact"/>
              <w:spacing w:line="240" w:lineRule="auto" w:after="40"/>
              <w:jc w:val="left"/>
            </w:pPr>
            <w:r>
              <w:rPr>
                <w:rFonts w:ascii="Times New Roman" w:hAnsi="Times New Roman"/>
                <w:sz w:val="20"/>
              </w:rPr>
              <w:t xml:space="preserve">E6</w:t>
            </w:r>
          </w:p>
        </w:tc>
        <w:tc>
          <w:tcPr/>
          <w:p>
            <w:pPr>
              <w:pStyle w:val="Compact"/>
              <w:spacing w:line="240" w:lineRule="auto" w:after="40"/>
              <w:jc w:val="left"/>
            </w:pPr>
            <w:r>
              <w:rPr>
                <w:rFonts w:ascii="Times New Roman" w:hAnsi="Times New Roman"/>
                <w:sz w:val="20"/>
              </w:rPr>
              <w:t xml:space="preserve">Moins de variables, composantes principales</w:t>
            </w:r>
          </w:p>
        </w:tc>
        <w:tc>
          <w:tcPr/>
          <w:p>
            <w:pPr>
              <w:pStyle w:val="Compact"/>
              <w:spacing w:line="240" w:lineRule="auto" w:after="40"/>
              <w:jc w:val="left"/>
            </w:pPr>
            <w:r>
              <w:rPr>
                <w:rFonts w:ascii="Times New Roman" w:hAnsi="Times New Roman"/>
                <w:sz w:val="20"/>
              </w:rPr>
              <w:t xml:space="preserve">Réduire le surapprentissage</w:t>
            </w:r>
          </w:p>
        </w:tc>
      </w:tr>
      <w:tr>
        <w:tc>
          <w:tcPr/>
          <w:p>
            <w:pPr>
              <w:pStyle w:val="Compact"/>
              <w:spacing w:line="240" w:lineRule="auto" w:after="40"/>
              <w:jc w:val="left"/>
            </w:pPr>
            <w:r>
              <w:rPr>
                <w:rFonts w:ascii="Times New Roman" w:hAnsi="Times New Roman"/>
                <w:sz w:val="20"/>
              </w:rPr>
              <w:t xml:space="preserve">E7</w:t>
            </w:r>
          </w:p>
        </w:tc>
        <w:tc>
          <w:tcPr/>
          <w:p>
            <w:pPr>
              <w:pStyle w:val="Compact"/>
              <w:spacing w:line="240" w:lineRule="auto" w:after="40"/>
              <w:jc w:val="left"/>
            </w:pPr>
            <w:r>
              <w:rPr>
                <w:rFonts w:ascii="Times New Roman" w:hAnsi="Times New Roman"/>
                <w:sz w:val="20"/>
              </w:rPr>
              <w:t xml:space="preserve">Prévisions tempérées vers la moyenne</w:t>
            </w:r>
          </w:p>
        </w:tc>
        <w:tc>
          <w:tcPr/>
          <w:p>
            <w:pPr>
              <w:pStyle w:val="Compact"/>
              <w:spacing w:line="240" w:lineRule="auto" w:after="40"/>
              <w:jc w:val="left"/>
            </w:pPr>
            <w:r>
              <w:rPr>
                <w:rFonts w:ascii="Times New Roman" w:hAnsi="Times New Roman"/>
                <w:sz w:val="20"/>
              </w:rPr>
              <w:t xml:space="preserve">Campbell et Thompson (2008)</w:t>
            </w:r>
          </w:p>
        </w:tc>
      </w:tr>
      <w:tr>
        <w:tc>
          <w:tcPr/>
          <w:p>
            <w:pPr>
              <w:pStyle w:val="Compact"/>
              <w:spacing w:line="240" w:lineRule="auto" w:after="40"/>
              <w:jc w:val="left"/>
            </w:pPr>
            <w:r>
              <w:rPr>
                <w:rFonts w:ascii="Times New Roman" w:hAnsi="Times New Roman"/>
                <w:sz w:val="20"/>
              </w:rPr>
              <w:t xml:space="preserve">E8</w:t>
            </w:r>
          </w:p>
        </w:tc>
        <w:tc>
          <w:tcPr/>
          <w:p>
            <w:pPr>
              <w:pStyle w:val="Compact"/>
              <w:spacing w:line="240" w:lineRule="auto" w:after="40"/>
              <w:jc w:val="left"/>
            </w:pPr>
            <w:r>
              <w:rPr>
                <w:rFonts w:ascii="Times New Roman" w:hAnsi="Times New Roman"/>
                <w:sz w:val="20"/>
              </w:rPr>
              <w:t xml:space="preserve">Combinaison de prévisions</w:t>
            </w:r>
          </w:p>
        </w:tc>
        <w:tc>
          <w:tcPr/>
          <w:p>
            <w:pPr>
              <w:pStyle w:val="Compact"/>
              <w:spacing w:line="240" w:lineRule="auto" w:after="40"/>
              <w:jc w:val="left"/>
            </w:pPr>
            <w:r>
              <w:rPr>
                <w:rFonts w:ascii="Times New Roman" w:hAnsi="Times New Roman"/>
                <w:sz w:val="20"/>
              </w:rPr>
              <w:t xml:space="preserve">Robustesse des moyennes de modèles</w:t>
            </w:r>
          </w:p>
        </w:tc>
      </w:tr>
      <w:tr>
        <w:tc>
          <w:tcPr/>
          <w:p>
            <w:pPr>
              <w:pStyle w:val="Compact"/>
              <w:spacing w:line="240" w:lineRule="auto" w:after="40"/>
              <w:jc w:val="left"/>
            </w:pPr>
            <w:r>
              <w:rPr>
                <w:rFonts w:ascii="Times New Roman" w:hAnsi="Times New Roman"/>
                <w:sz w:val="20"/>
              </w:rPr>
              <w:t xml:space="preserve">E9</w:t>
            </w:r>
          </w:p>
        </w:tc>
        <w:tc>
          <w:tcPr/>
          <w:p>
            <w:pPr>
              <w:pStyle w:val="Compact"/>
              <w:spacing w:line="240" w:lineRule="auto" w:after="40"/>
              <w:jc w:val="left"/>
            </w:pPr>
            <w:r>
              <w:rPr>
                <w:rFonts w:ascii="Times New Roman" w:hAnsi="Times New Roman"/>
                <w:sz w:val="20"/>
              </w:rPr>
              <w:t xml:space="preserve">Elastic Net</w:t>
            </w:r>
          </w:p>
        </w:tc>
        <w:tc>
          <w:tcPr/>
          <w:p>
            <w:pPr>
              <w:pStyle w:val="Compact"/>
              <w:spacing w:line="240" w:lineRule="auto" w:after="40"/>
              <w:jc w:val="left"/>
            </w:pPr>
            <w:r>
              <w:rPr>
                <w:rFonts w:ascii="Times New Roman" w:hAnsi="Times New Roman"/>
                <w:sz w:val="20"/>
              </w:rPr>
              <w:t xml:space="preserve">Sélection automatique des variables</w:t>
            </w:r>
          </w:p>
        </w:tc>
      </w:tr>
      <w:tr>
        <w:tc>
          <w:tcPr/>
          <w:p>
            <w:pPr>
              <w:pStyle w:val="Compact"/>
              <w:spacing w:line="240" w:lineRule="auto" w:after="40"/>
              <w:jc w:val="left"/>
            </w:pPr>
            <w:r>
              <w:rPr>
                <w:rFonts w:ascii="Times New Roman" w:hAnsi="Times New Roman"/>
                <w:sz w:val="20"/>
              </w:rPr>
              <w:t xml:space="preserve">E10</w:t>
            </w:r>
          </w:p>
        </w:tc>
        <w:tc>
          <w:tcPr/>
          <w:p>
            <w:pPr>
              <w:pStyle w:val="Compact"/>
              <w:spacing w:line="240" w:lineRule="auto" w:after="40"/>
              <w:jc w:val="left"/>
            </w:pPr>
            <w:r>
              <w:rPr>
                <w:rFonts w:ascii="Times New Roman" w:hAnsi="Times New Roman"/>
                <w:sz w:val="20"/>
              </w:rPr>
              <w:t xml:space="preserve">XGBoost réglé par validation croisée temporelle emboitée</w:t>
            </w:r>
          </w:p>
        </w:tc>
        <w:tc>
          <w:tcPr/>
          <w:p>
            <w:pPr>
              <w:pStyle w:val="Compact"/>
              <w:spacing w:line="240" w:lineRule="auto" w:after="40"/>
              <w:jc w:val="left"/>
            </w:pPr>
            <w:r>
              <w:rPr>
                <w:rFonts w:ascii="Times New Roman" w:hAnsi="Times New Roman"/>
                <w:sz w:val="20"/>
              </w:rPr>
              <w:t xml:space="preserve">Vérifier que le choix des hyperparamètres n’est pas en cause</w:t>
            </w:r>
          </w:p>
        </w:tc>
      </w:tr>
      <w:tr>
        <w:tc>
          <w:tcPr/>
          <w:p>
            <w:pPr>
              <w:pStyle w:val="Compact"/>
              <w:spacing w:line="240" w:lineRule="auto" w:after="40"/>
              <w:jc w:val="left"/>
            </w:pPr>
            <w:r>
              <w:rPr>
                <w:rFonts w:ascii="Times New Roman" w:hAnsi="Times New Roman"/>
                <w:sz w:val="20"/>
              </w:rPr>
              <w:t xml:space="preserve">E11</w:t>
            </w:r>
          </w:p>
        </w:tc>
        <w:tc>
          <w:tcPr/>
          <w:p>
            <w:pPr>
              <w:pStyle w:val="Compact"/>
              <w:spacing w:line="240" w:lineRule="auto" w:after="40"/>
              <w:jc w:val="left"/>
            </w:pPr>
            <w:r>
              <w:rPr>
                <w:rFonts w:ascii="Times New Roman" w:hAnsi="Times New Roman"/>
                <w:sz w:val="20"/>
              </w:rPr>
              <w:t xml:space="preserve">Fenêtre glissante de 60 mois</w:t>
            </w:r>
          </w:p>
        </w:tc>
        <w:tc>
          <w:tcPr/>
          <w:p>
            <w:pPr>
              <w:pStyle w:val="Compact"/>
              <w:spacing w:line="240" w:lineRule="auto" w:after="40"/>
              <w:jc w:val="left"/>
            </w:pPr>
            <w:r>
              <w:rPr>
                <w:rFonts w:ascii="Times New Roman" w:hAnsi="Times New Roman"/>
                <w:sz w:val="20"/>
              </w:rPr>
              <w:t xml:space="preserve">S’adapter au changement de régime de 2022</w:t>
            </w:r>
          </w:p>
        </w:tc>
      </w:tr>
      <w:tr>
        <w:tc>
          <w:tcPr/>
          <w:p>
            <w:pPr>
              <w:pStyle w:val="Compact"/>
              <w:spacing w:line="240" w:lineRule="auto" w:after="40"/>
              <w:jc w:val="left"/>
            </w:pPr>
            <w:r>
              <w:rPr>
                <w:rFonts w:ascii="Times New Roman" w:hAnsi="Times New Roman"/>
                <w:sz w:val="20"/>
              </w:rPr>
              <w:t xml:space="preserve">E12</w:t>
            </w:r>
          </w:p>
        </w:tc>
        <w:tc>
          <w:tcPr/>
          <w:p>
            <w:pPr>
              <w:pStyle w:val="Compact"/>
              <w:spacing w:line="240" w:lineRule="auto" w:after="40"/>
              <w:jc w:val="left"/>
            </w:pPr>
            <w:r>
              <w:rPr>
                <w:rFonts w:ascii="Times New Roman" w:hAnsi="Times New Roman"/>
                <w:sz w:val="20"/>
              </w:rPr>
              <w:t xml:space="preserve">Évaluation par période (2020-2021, 2022-2026, marchés calmes ou agités)</w:t>
            </w:r>
          </w:p>
        </w:tc>
        <w:tc>
          <w:tcPr/>
          <w:p>
            <w:pPr>
              <w:pStyle w:val="Compact"/>
              <w:spacing w:line="240" w:lineRule="auto" w:after="40"/>
              <w:jc w:val="left"/>
            </w:pPr>
            <w:r>
              <w:rPr>
                <w:rFonts w:ascii="Times New Roman" w:hAnsi="Times New Roman"/>
                <w:sz w:val="20"/>
              </w:rPr>
              <w:t xml:space="preserve">Un apport peut être limité aux périodes de tension</w:t>
            </w:r>
          </w:p>
        </w:tc>
      </w:tr>
      <w:tr>
        <w:tc>
          <w:tcPr/>
          <w:p>
            <w:pPr>
              <w:pStyle w:val="Compact"/>
              <w:spacing w:line="240" w:lineRule="auto" w:after="40"/>
              <w:jc w:val="left"/>
            </w:pPr>
            <w:r>
              <w:rPr>
                <w:rFonts w:ascii="Times New Roman" w:hAnsi="Times New Roman"/>
                <w:sz w:val="20"/>
              </w:rPr>
              <w:t xml:space="preserve">E13</w:t>
            </w:r>
          </w:p>
        </w:tc>
        <w:tc>
          <w:tcPr/>
          <w:p>
            <w:pPr>
              <w:pStyle w:val="Compact"/>
              <w:spacing w:line="240" w:lineRule="auto" w:after="40"/>
              <w:jc w:val="left"/>
            </w:pPr>
            <w:r>
              <w:rPr>
                <w:rFonts w:ascii="Times New Roman" w:hAnsi="Times New Roman"/>
                <w:sz w:val="20"/>
              </w:rPr>
              <w:t xml:space="preserve">Notations souveraines de la France</w:t>
            </w:r>
          </w:p>
        </w:tc>
        <w:tc>
          <w:tcPr/>
          <w:p>
            <w:pPr>
              <w:pStyle w:val="Compact"/>
              <w:spacing w:line="240" w:lineRule="auto" w:after="40"/>
              <w:jc w:val="left"/>
            </w:pPr>
            <w:r>
              <w:rPr>
                <w:rFonts w:ascii="Times New Roman" w:hAnsi="Times New Roman"/>
                <w:sz w:val="20"/>
              </w:rPr>
              <w:t xml:space="preserve">Contrôle du risque perçu par les agences</w:t>
            </w:r>
          </w:p>
        </w:tc>
      </w:tr>
      <w:tr>
        <w:tc>
          <w:tcPr/>
          <w:p>
            <w:pPr>
              <w:pStyle w:val="Compact"/>
              <w:spacing w:line="240" w:lineRule="auto" w:after="40"/>
              <w:jc w:val="left"/>
            </w:pPr>
            <w:r>
              <w:rPr>
                <w:rFonts w:ascii="Times New Roman" w:hAnsi="Times New Roman"/>
                <w:sz w:val="20"/>
              </w:rPr>
              <w:t xml:space="preserve">E14</w:t>
            </w:r>
          </w:p>
        </w:tc>
        <w:tc>
          <w:tcPr/>
          <w:p>
            <w:pPr>
              <w:pStyle w:val="Compact"/>
              <w:spacing w:line="240" w:lineRule="auto" w:after="40"/>
              <w:jc w:val="left"/>
            </w:pPr>
            <w:r>
              <w:rPr>
                <w:rFonts w:ascii="Times New Roman" w:hAnsi="Times New Roman"/>
                <w:sz w:val="20"/>
              </w:rPr>
              <w:t xml:space="preserve">Étude d’événement autour des dates de publication (non réalisée : taux quotidiens introuvables)</w:t>
            </w:r>
          </w:p>
        </w:tc>
        <w:tc>
          <w:tcPr/>
          <w:p>
            <w:pPr>
              <w:pStyle w:val="Compact"/>
              <w:spacing w:line="240" w:lineRule="auto" w:after="40"/>
              <w:jc w:val="left"/>
            </w:pPr>
            <w:r>
              <w:rPr>
                <w:rFonts w:ascii="Times New Roman" w:hAnsi="Times New Roman"/>
                <w:sz w:val="20"/>
              </w:rPr>
              <w:t xml:space="preserve">Le marché intègre-t-il l’information budgétaire le jour même ?</w:t>
            </w:r>
          </w:p>
        </w:tc>
      </w:tr>
      <w:tr>
        <w:tc>
          <w:tcPr/>
          <w:p>
            <w:pPr>
              <w:pStyle w:val="Compact"/>
              <w:spacing w:line="240" w:lineRule="auto" w:after="40"/>
              <w:jc w:val="left"/>
            </w:pPr>
            <w:r>
              <w:rPr>
                <w:rFonts w:ascii="Times New Roman" w:hAnsi="Times New Roman"/>
                <w:sz w:val="20"/>
              </w:rPr>
              <w:t xml:space="preserve">E15</w:t>
            </w:r>
          </w:p>
        </w:tc>
        <w:tc>
          <w:tcPr/>
          <w:p>
            <w:pPr>
              <w:pStyle w:val="Compact"/>
              <w:spacing w:line="240" w:lineRule="auto" w:after="40"/>
              <w:jc w:val="left"/>
            </w:pPr>
            <w:r>
              <w:rPr>
                <w:rFonts w:ascii="Times New Roman" w:hAnsi="Times New Roman"/>
                <w:sz w:val="20"/>
              </w:rPr>
              <w:t xml:space="preserve">Panel européen trimestriel (5 pays, Eurostat)</w:t>
            </w:r>
          </w:p>
        </w:tc>
        <w:tc>
          <w:tcPr/>
          <w:p>
            <w:pPr>
              <w:pStyle w:val="Compact"/>
              <w:spacing w:line="240" w:lineRule="auto" w:after="40"/>
              <w:jc w:val="left"/>
            </w:pPr>
            <w:r>
              <w:rPr>
                <w:rFonts w:ascii="Times New Roman" w:hAnsi="Times New Roman"/>
                <w:sz w:val="20"/>
              </w:rPr>
              <w:t xml:space="preserve">Plus d’observations, inclusion de la crise de la dette 2010-2012</w:t>
            </w:r>
          </w:p>
        </w:tc>
      </w:tr>
      <w:tr>
        <w:tc>
          <w:tcPr/>
          <w:p>
            <w:pPr>
              <w:pStyle w:val="Compact"/>
              <w:spacing w:line="240" w:lineRule="auto" w:after="40"/>
              <w:jc w:val="left"/>
            </w:pPr>
            <w:r>
              <w:rPr>
                <w:rFonts w:ascii="Times New Roman" w:hAnsi="Times New Roman"/>
                <w:sz w:val="20"/>
              </w:rPr>
              <w:t xml:space="preserve">E16</w:t>
            </w:r>
          </w:p>
        </w:tc>
        <w:tc>
          <w:tcPr/>
          <w:p>
            <w:pPr>
              <w:pStyle w:val="Compact"/>
              <w:spacing w:line="240" w:lineRule="auto" w:after="40"/>
              <w:jc w:val="left"/>
            </w:pPr>
            <w:r>
              <w:rPr>
                <w:rFonts w:ascii="Times New Roman" w:hAnsi="Times New Roman"/>
                <w:sz w:val="20"/>
              </w:rPr>
              <w:t xml:space="preserve">Panel européen mensuel avec une base large de variables</w:t>
            </w:r>
          </w:p>
        </w:tc>
        <w:tc>
          <w:tcPr/>
          <w:p>
            <w:pPr>
              <w:pStyle w:val="Compact"/>
              <w:spacing w:line="240" w:lineRule="auto" w:after="40"/>
              <w:jc w:val="left"/>
            </w:pPr>
            <w:r>
              <w:rPr>
                <w:rFonts w:ascii="Times New Roman" w:hAnsi="Times New Roman"/>
                <w:sz w:val="20"/>
              </w:rPr>
              <w:t xml:space="preserve">Répliquer le cadre de Bouillot et al. (2025) en le comparant à la marche aléatoire</w:t>
            </w:r>
          </w:p>
        </w:tc>
      </w:tr>
      <w:tr>
        <w:tc>
          <w:tcPr/>
          <w:p>
            <w:pPr>
              <w:pStyle w:val="Compact"/>
              <w:spacing w:line="240" w:lineRule="auto" w:after="40"/>
              <w:jc w:val="left"/>
            </w:pPr>
            <w:r>
              <w:rPr>
                <w:rFonts w:ascii="Times New Roman" w:hAnsi="Times New Roman"/>
                <w:sz w:val="20"/>
              </w:rPr>
              <w:t xml:space="preserve">E17</w:t>
            </w:r>
          </w:p>
        </w:tc>
        <w:tc>
          <w:tcPr/>
          <w:p>
            <w:pPr>
              <w:pStyle w:val="Compact"/>
              <w:spacing w:line="240" w:lineRule="auto" w:after="40"/>
              <w:jc w:val="left"/>
            </w:pPr>
            <w:r>
              <w:rPr>
                <w:rFonts w:ascii="Times New Roman" w:hAnsi="Times New Roman"/>
                <w:sz w:val="20"/>
              </w:rPr>
              <w:t xml:space="preserve">Panel annuel (valeurs de décembre)</w:t>
            </w:r>
          </w:p>
        </w:tc>
        <w:tc>
          <w:tcPr/>
          <w:p>
            <w:pPr>
              <w:pStyle w:val="Compact"/>
              <w:spacing w:line="240" w:lineRule="auto" w:after="40"/>
              <w:jc w:val="left"/>
            </w:pPr>
            <w:r>
              <w:rPr>
                <w:rFonts w:ascii="Times New Roman" w:hAnsi="Times New Roman"/>
                <w:sz w:val="20"/>
              </w:rPr>
              <w:t xml:space="preserve">Les finances publiques agiraient à basse fréquence</w:t>
            </w:r>
          </w:p>
        </w:tc>
      </w:tr>
      <w:tr>
        <w:tc>
          <w:tcPr/>
          <w:p>
            <w:pPr>
              <w:pStyle w:val="Compact"/>
              <w:spacing w:line="240" w:lineRule="auto" w:after="40"/>
              <w:jc w:val="left"/>
            </w:pPr>
            <w:r>
              <w:rPr>
                <w:rFonts w:ascii="Times New Roman" w:hAnsi="Times New Roman"/>
                <w:sz w:val="20"/>
              </w:rPr>
              <w:t xml:space="preserve">E18</w:t>
            </w:r>
          </w:p>
        </w:tc>
        <w:tc>
          <w:tcPr/>
          <w:p>
            <w:pPr>
              <w:pStyle w:val="Compact"/>
              <w:spacing w:line="240" w:lineRule="auto" w:after="40"/>
              <w:jc w:val="left"/>
            </w:pPr>
            <w:r>
              <w:rPr>
                <w:rFonts w:ascii="Times New Roman" w:hAnsi="Times New Roman"/>
                <w:sz w:val="20"/>
              </w:rPr>
              <w:t xml:space="preserve">Régime de crise (exploratoire)</w:t>
            </w:r>
          </w:p>
        </w:tc>
        <w:tc>
          <w:tcPr/>
          <w:p>
            <w:pPr>
              <w:pStyle w:val="Compact"/>
              <w:spacing w:line="240" w:lineRule="auto" w:after="40"/>
              <w:jc w:val="left"/>
            </w:pPr>
            <w:r>
              <w:rPr>
                <w:rFonts w:ascii="Times New Roman" w:hAnsi="Times New Roman"/>
                <w:sz w:val="20"/>
              </w:rPr>
              <w:t xml:space="preserve">Les marchés ne regarderaient le budget qu’en période de tension</w:t>
            </w:r>
          </w:p>
        </w:tc>
      </w:tr>
      <w:tr>
        <w:tc>
          <w:tcPr/>
          <w:p>
            <w:pPr>
              <w:pStyle w:val="Compact"/>
              <w:spacing w:line="240" w:lineRule="auto" w:after="40"/>
              <w:jc w:val="left"/>
            </w:pPr>
            <w:r>
              <w:rPr>
                <w:rFonts w:ascii="Times New Roman" w:hAnsi="Times New Roman"/>
                <w:sz w:val="20"/>
              </w:rPr>
              <w:t xml:space="preserve">E19</w:t>
            </w:r>
          </w:p>
        </w:tc>
        <w:tc>
          <w:tcPr/>
          <w:p>
            <w:pPr>
              <w:pStyle w:val="Compact"/>
              <w:spacing w:line="240" w:lineRule="auto" w:after="40"/>
              <w:jc w:val="left"/>
            </w:pPr>
            <w:r>
              <w:rPr>
                <w:rFonts w:ascii="Times New Roman" w:hAnsi="Times New Roman"/>
                <w:sz w:val="20"/>
              </w:rPr>
              <w:t xml:space="preserve">Actions des secteurs liés à la dépense publique (BTP, défense)</w:t>
            </w:r>
          </w:p>
        </w:tc>
        <w:tc>
          <w:tcPr/>
          <w:p>
            <w:pPr>
              <w:pStyle w:val="Compact"/>
              <w:spacing w:line="240" w:lineRule="auto" w:after="40"/>
              <w:jc w:val="left"/>
            </w:pPr>
            <w:r>
              <w:rPr>
                <w:rFonts w:ascii="Times New Roman" w:hAnsi="Times New Roman"/>
                <w:sz w:val="20"/>
              </w:rPr>
              <w:t xml:space="preserve">Canal des revenus des entreprises</w:t>
            </w:r>
          </w:p>
        </w:tc>
      </w:tr>
      <w:tr>
        <w:tc>
          <w:tcPr/>
          <w:p>
            <w:pPr>
              <w:pStyle w:val="Compact"/>
              <w:spacing w:line="240" w:lineRule="auto" w:after="40"/>
              <w:jc w:val="left"/>
            </w:pPr>
            <w:r>
              <w:rPr>
                <w:rFonts w:ascii="Times New Roman" w:hAnsi="Times New Roman"/>
                <w:sz w:val="20"/>
              </w:rPr>
              <w:t xml:space="preserve">E20</w:t>
            </w:r>
          </w:p>
        </w:tc>
        <w:tc>
          <w:tcPr/>
          <w:p>
            <w:pPr>
              <w:pStyle w:val="Compact"/>
              <w:spacing w:line="240" w:lineRule="auto" w:after="40"/>
              <w:jc w:val="left"/>
            </w:pPr>
            <w:r>
              <w:rPr>
                <w:rFonts w:ascii="Times New Roman" w:hAnsi="Times New Roman"/>
                <w:sz w:val="20"/>
              </w:rPr>
              <w:t xml:space="preserve">Incertitude de politique économique (indice européen de Baker, Bloom et Davis)</w:t>
            </w:r>
          </w:p>
        </w:tc>
        <w:tc>
          <w:tcPr/>
          <w:p>
            <w:pPr>
              <w:pStyle w:val="Compact"/>
              <w:spacing w:line="240" w:lineRule="auto" w:after="40"/>
              <w:jc w:val="left"/>
            </w:pPr>
            <w:r>
              <w:rPr>
                <w:rFonts w:ascii="Times New Roman" w:hAnsi="Times New Roman"/>
                <w:sz w:val="20"/>
              </w:rPr>
              <w:t xml:space="preserve">Contrôler l’incertitude politique ; l’indice français n’étant pas disponible, nous avons déclaré ce changement avant l’exécution</w:t>
            </w:r>
          </w:p>
        </w:tc>
      </w:tr>
    </w:tbl>
    <w:p>
      <w:pPr>
        <w:pStyle w:val="BodyText"/>
        <w:keepNext w:val="0"/>
        <w:spacing w:line="240" w:lineRule="auto" w:before="40" w:after="240"/>
        <w:jc w:val="left"/>
      </w:pPr>
      <w:r>
        <w:rPr>
          <w:iCs/>
          <w:i/>
          <w:sz w:val="20"/>
        </w:rPr>
        <w:t xml:space="preserve">Source : élaboration de l’auteur ; plan daté dans docs/plan_extensions.md.</w:t>
      </w:r>
    </w:p>
    <w:p>
      <w:pPr>
        <w:pStyle w:val="BodyText"/>
      </w:pPr>
      <w:r>
        <w:t xml:space="preserve">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bookmarkStart w:id="68" w:name="correction-des-tests-multiples"/>
    <w:p>
      <w:pPr>
        <w:pStyle w:val="Heading3"/>
      </w:pPr>
      <w:r>
        <w:t>Correction des tests multiples.</w:t>
      </w:r>
    </w:p>
    <w:p>
      <w:pPr>
        <w:pStyle w:val="FirstParagraph"/>
      </w:pPr>
      <w:r>
        <w:t xml:space="preserve">Avec plus de 150 comparaisons, environ une sur vingt paraîtrait significative au seuil de 5 %, par pur hasard. Nous corrigeons donc toutes les p-values « avec dépenses contre sans dépenses » par la</w:t>
      </w:r>
      <w:r>
        <w:t xml:space="preserve"> </w:t>
      </w:r>
      <w:r>
        <w:rPr>
          <w:bCs/>
          <w:b/>
        </w:rPr>
        <w:t xml:space="preserve">procédure de Benjamini et Hochberg (1995)</w:t>
      </w:r>
      <w:r>
        <w:t xml:space="preserve">, avec un taux de fausses découvertes de 10 %. Nous ne considérons comme significatifs que les résultats qui résistent à cette correction.</w:t>
      </w:r>
    </w:p>
    <w:p>
      <w:r>
        <w:br w:type="page"/>
      </w:r>
    </w:p>
    <w:bookmarkEnd w:id="68"/>
    <w:bookmarkEnd w:id="69"/>
    <w:bookmarkEnd w:id="70"/>
    <w:bookmarkStart w:id="90" w:name="chapitre-3-résultats"/>
    <w:p>
      <w:pPr>
        <w:pStyle w:val="Heading1"/>
      </w:pPr>
      <w:r>
        <w:t xml:space="preserve">Chapitre 3 – Résultats</w:t>
      </w:r>
    </w:p>
    <w:p>
      <w:pPr>
        <w:pStyle w:val="FirstParagraph"/>
      </w:pPr>
      <w:r>
        <w:t xml:space="preserve">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vingt extensions ; leur détail est en annexe. La section 3.7 fait le point sur les hypothèses.</w:t>
      </w:r>
    </w:p>
    <w:p>
      <w:pPr>
        <w:pStyle w:val="BodyText"/>
      </w:pPr>
      <w:r>
        <w:t xml:space="preserve">Tous les résultats portent sur la période de test de janvier 2020 à juillet 2026 (79 mois), en validation glissante. Un R² hors échantillon positif signifie que le modèle fait mieux que la moyenne historique ; un R² négatif, qu’il fait moins bien.</w:t>
      </w:r>
    </w:p>
    <w:bookmarkStart w:id="74" w:name="statistiques-descriptives"/>
    <w:p>
      <w:pPr>
        <w:pStyle w:val="Heading2"/>
      </w:pPr>
      <w:r>
        <w:t xml:space="preserve">3.1 Statistiques descriptives</w:t>
      </w:r>
    </w:p>
    <w:p>
      <w:pPr>
        <w:pStyle w:val="FirstParagraph"/>
      </w:pPr>
      <w:r>
        <w:t xml:space="preserve">Les trois cibles, en variations, sont stationnaires (p-value ADF inférieure à 0,001). Elles sont très dispersées par rapport à leur moyenne, et peu corrélées d’un mois sur l’autre.</w:t>
      </w:r>
    </w:p>
    <w:p>
      <w:pPr>
        <w:pStyle w:val="BodyText"/>
        <w:keepNext/>
        <w:spacing w:line="240" w:lineRule="auto" w:before="120" w:after="80"/>
        <w:jc w:val="left"/>
      </w:pPr>
      <w:r>
        <w:rPr>
          <w:bCs/>
          <w:b/>
          <w:sz w:val="22"/>
        </w:rPr>
        <w:t xml:space="preserve">Tableau 3.1 – Statistiques des variables cibles (mars 2014 – juillet 2026, 149 mois)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Cible</w:t>
            </w:r>
          </w:p>
        </w:tc>
        <w:tc>
          <w:tcPr>
            <w:shd w:val="clear" w:color="auto" w:fill="E7E6E6"/>
          </w:tcPr>
          <w:p>
            <w:pPr>
              <w:pStyle w:val="Compact"/>
              <w:spacing w:line="240" w:lineRule="auto" w:after="40"/>
              <w:jc w:val="left"/>
            </w:pPr>
            <w:r>
              <w:rPr>
                <w:rFonts w:ascii="Times New Roman" w:hAnsi="Times New Roman"/>
                <w:b/>
                <w:sz w:val="18"/>
              </w:rPr>
              <w:t xml:space="preserve">Moyenne</w:t>
            </w:r>
          </w:p>
        </w:tc>
        <w:tc>
          <w:tcPr>
            <w:shd w:val="clear" w:color="auto" w:fill="E7E6E6"/>
          </w:tcPr>
          <w:p>
            <w:pPr>
              <w:pStyle w:val="Compact"/>
              <w:spacing w:line="240" w:lineRule="auto" w:after="40"/>
              <w:jc w:val="left"/>
            </w:pPr>
            <w:r>
              <w:rPr>
                <w:rFonts w:ascii="Times New Roman" w:hAnsi="Times New Roman"/>
                <w:b/>
                <w:sz w:val="18"/>
              </w:rPr>
              <w:t xml:space="preserve">Écart-type</w:t>
            </w:r>
          </w:p>
        </w:tc>
        <w:tc>
          <w:tcPr>
            <w:shd w:val="clear" w:color="auto" w:fill="E7E6E6"/>
          </w:tcPr>
          <w:p>
            <w:pPr>
              <w:pStyle w:val="Compact"/>
              <w:spacing w:line="240" w:lineRule="auto" w:after="40"/>
              <w:jc w:val="left"/>
            </w:pPr>
            <w:r>
              <w:rPr>
                <w:rFonts w:ascii="Times New Roman" w:hAnsi="Times New Roman"/>
                <w:b/>
                <w:sz w:val="18"/>
              </w:rPr>
              <w:t xml:space="preserve">Minimum</w:t>
            </w:r>
          </w:p>
        </w:tc>
        <w:tc>
          <w:tcPr>
            <w:shd w:val="clear" w:color="auto" w:fill="E7E6E6"/>
          </w:tcPr>
          <w:p>
            <w:pPr>
              <w:pStyle w:val="Compact"/>
              <w:spacing w:line="240" w:lineRule="auto" w:after="40"/>
              <w:jc w:val="left"/>
            </w:pPr>
            <w:r>
              <w:rPr>
                <w:rFonts w:ascii="Times New Roman" w:hAnsi="Times New Roman"/>
                <w:b/>
                <w:sz w:val="18"/>
              </w:rPr>
              <w:t xml:space="preserve">Maximum</w:t>
            </w:r>
          </w:p>
        </w:tc>
        <w:tc>
          <w:tcPr>
            <w:shd w:val="clear" w:color="auto" w:fill="E7E6E6"/>
          </w:tcPr>
          <w:p>
            <w:pPr>
              <w:pStyle w:val="Compact"/>
              <w:spacing w:line="240" w:lineRule="auto" w:after="40"/>
              <w:jc w:val="left"/>
            </w:pPr>
            <w:r>
              <w:rPr>
                <w:rFonts w:ascii="Times New Roman" w:hAnsi="Times New Roman"/>
                <w:b/>
                <w:sz w:val="18"/>
              </w:rPr>
              <w:t xml:space="preserve">Autocorrélation d’ordre 1</w:t>
            </w:r>
          </w:p>
        </w:tc>
      </w:tr>
      <w:tr>
        <w:tc>
          <w:tcPr/>
          <w:p>
            <w:pPr>
              <w:pStyle w:val="Compact"/>
              <w:spacing w:line="240" w:lineRule="auto" w:after="40"/>
              <w:jc w:val="left"/>
            </w:pPr>
            <w:r>
              <w:rPr>
                <w:rFonts w:ascii="Times New Roman" w:hAnsi="Times New Roman"/>
                <w:sz w:val="18"/>
              </w:rPr>
              <w:t xml:space="preserve">Variation du spread OAT–Bund (pb)</w:t>
            </w:r>
          </w:p>
        </w:tc>
        <w:tc>
          <w:tcPr/>
          <w:p>
            <w:pPr>
              <w:pStyle w:val="Compact"/>
              <w:spacing w:line="240" w:lineRule="auto" w:after="40"/>
              <w:jc w:val="left"/>
            </w:pPr>
            <w:r>
              <w:rPr>
                <w:rFonts w:ascii="Times New Roman" w:hAnsi="Times New Roman"/>
                <w:sz w:val="18"/>
              </w:rPr>
              <w:t xml:space="preserve">0,12</w:t>
            </w:r>
          </w:p>
        </w:tc>
        <w:tc>
          <w:tcPr/>
          <w:p>
            <w:pPr>
              <w:pStyle w:val="Compact"/>
              <w:spacing w:line="240" w:lineRule="auto" w:after="40"/>
              <w:jc w:val="left"/>
            </w:pPr>
            <w:r>
              <w:rPr>
                <w:rFonts w:ascii="Times New Roman" w:hAnsi="Times New Roman"/>
                <w:sz w:val="18"/>
              </w:rPr>
              <w:t xml:space="preserve">5,27</w:t>
            </w:r>
          </w:p>
        </w:tc>
        <w:tc>
          <w:tcPr/>
          <w:p>
            <w:pPr>
              <w:pStyle w:val="Compact"/>
              <w:spacing w:line="240" w:lineRule="auto" w:after="40"/>
              <w:jc w:val="left"/>
            </w:pPr>
            <w:r>
              <w:rPr>
                <w:rFonts w:ascii="Times New Roman" w:hAnsi="Times New Roman"/>
                <w:sz w:val="18"/>
              </w:rPr>
              <w:t xml:space="preserve">-18,1</w:t>
            </w:r>
          </w:p>
        </w:tc>
        <w:tc>
          <w:tcPr/>
          <w:p>
            <w:pPr>
              <w:pStyle w:val="Compact"/>
              <w:spacing w:line="240" w:lineRule="auto" w:after="40"/>
              <w:jc w:val="left"/>
            </w:pPr>
            <w:r>
              <w:rPr>
                <w:rFonts w:ascii="Times New Roman" w:hAnsi="Times New Roman"/>
                <w:sz w:val="18"/>
              </w:rPr>
              <w:t xml:space="preserve">20,5</w:t>
            </w:r>
          </w:p>
        </w:tc>
        <w:tc>
          <w:tcPr/>
          <w:p>
            <w:pPr>
              <w:pStyle w:val="Compact"/>
              <w:spacing w:line="240" w:lineRule="auto" w:after="40"/>
              <w:jc w:val="left"/>
            </w:pPr>
            <w:r>
              <w:rPr>
                <w:rFonts w:ascii="Times New Roman" w:hAnsi="Times New Roman"/>
                <w:sz w:val="18"/>
              </w:rPr>
              <w:t xml:space="preserve">0,14</w:t>
            </w:r>
          </w:p>
        </w:tc>
      </w:tr>
      <w:tr>
        <w:tc>
          <w:tcPr/>
          <w:p>
            <w:pPr>
              <w:pStyle w:val="Compact"/>
              <w:spacing w:line="240" w:lineRule="auto" w:after="40"/>
              <w:jc w:val="left"/>
            </w:pPr>
            <w:r>
              <w:rPr>
                <w:rFonts w:ascii="Times New Roman" w:hAnsi="Times New Roman"/>
                <w:sz w:val="18"/>
              </w:rPr>
              <w:t xml:space="preserve">Variation du taux OAT (pb)</w:t>
            </w:r>
          </w:p>
        </w:tc>
        <w:tc>
          <w:tcPr/>
          <w:p>
            <w:pPr>
              <w:pStyle w:val="Compact"/>
              <w:spacing w:line="240" w:lineRule="auto" w:after="40"/>
              <w:jc w:val="left"/>
            </w:pPr>
            <w:r>
              <w:rPr>
                <w:rFonts w:ascii="Times New Roman" w:hAnsi="Times New Roman"/>
                <w:sz w:val="18"/>
              </w:rPr>
              <w:t xml:space="preserve">1,24</w:t>
            </w:r>
          </w:p>
        </w:tc>
        <w:tc>
          <w:tcPr/>
          <w:p>
            <w:pPr>
              <w:pStyle w:val="Compact"/>
              <w:spacing w:line="240" w:lineRule="auto" w:after="40"/>
              <w:jc w:val="left"/>
            </w:pPr>
            <w:r>
              <w:rPr>
                <w:rFonts w:ascii="Times New Roman" w:hAnsi="Times New Roman"/>
                <w:sz w:val="18"/>
              </w:rPr>
              <w:t xml:space="preserve">16,99</w:t>
            </w:r>
          </w:p>
        </w:tc>
        <w:tc>
          <w:tcPr/>
          <w:p>
            <w:pPr>
              <w:pStyle w:val="Compact"/>
              <w:spacing w:line="240" w:lineRule="auto" w:after="40"/>
              <w:jc w:val="left"/>
            </w:pPr>
            <w:r>
              <w:rPr>
                <w:rFonts w:ascii="Times New Roman" w:hAnsi="Times New Roman"/>
                <w:sz w:val="18"/>
              </w:rPr>
              <w:t xml:space="preserve">-54,0</w:t>
            </w:r>
          </w:p>
        </w:tc>
        <w:tc>
          <w:tcPr/>
          <w:p>
            <w:pPr>
              <w:pStyle w:val="Compact"/>
              <w:spacing w:line="240" w:lineRule="auto" w:after="40"/>
              <w:jc w:val="left"/>
            </w:pPr>
            <w:r>
              <w:rPr>
                <w:rFonts w:ascii="Times New Roman" w:hAnsi="Times New Roman"/>
                <w:sz w:val="18"/>
              </w:rPr>
              <w:t xml:space="preserve">72,0</w:t>
            </w:r>
          </w:p>
        </w:tc>
        <w:tc>
          <w:tcPr/>
          <w:p>
            <w:pPr>
              <w:pStyle w:val="Compact"/>
              <w:spacing w:line="240" w:lineRule="auto" w:after="40"/>
              <w:jc w:val="left"/>
            </w:pPr>
            <w:r>
              <w:rPr>
                <w:rFonts w:ascii="Times New Roman" w:hAnsi="Times New Roman"/>
                <w:sz w:val="18"/>
              </w:rPr>
              <w:t xml:space="preserve">0,23</w:t>
            </w:r>
          </w:p>
        </w:tc>
      </w:tr>
      <w:tr>
        <w:tc>
          <w:tcPr/>
          <w:p>
            <w:pPr>
              <w:pStyle w:val="Compact"/>
              <w:spacing w:line="240" w:lineRule="auto" w:after="40"/>
              <w:jc w:val="left"/>
            </w:pPr>
            <w:r>
              <w:rPr>
                <w:rFonts w:ascii="Times New Roman" w:hAnsi="Times New Roman"/>
                <w:sz w:val="18"/>
              </w:rPr>
              <w:t xml:space="preserve">Rendement du CAC 40 (%)</w:t>
            </w:r>
          </w:p>
        </w:tc>
        <w:tc>
          <w:tcPr/>
          <w:p>
            <w:pPr>
              <w:pStyle w:val="Compact"/>
              <w:spacing w:line="240" w:lineRule="auto" w:after="40"/>
              <w:jc w:val="left"/>
            </w:pPr>
            <w:r>
              <w:rPr>
                <w:rFonts w:ascii="Times New Roman" w:hAnsi="Times New Roman"/>
                <w:sz w:val="18"/>
              </w:rPr>
              <w:t xml:space="preserve">0,53</w:t>
            </w:r>
          </w:p>
        </w:tc>
        <w:tc>
          <w:tcPr/>
          <w:p>
            <w:pPr>
              <w:pStyle w:val="Compact"/>
              <w:spacing w:line="240" w:lineRule="auto" w:after="40"/>
              <w:jc w:val="left"/>
            </w:pPr>
            <w:r>
              <w:rPr>
                <w:rFonts w:ascii="Times New Roman" w:hAnsi="Times New Roman"/>
                <w:sz w:val="18"/>
              </w:rPr>
              <w:t xml:space="preserve">4,55</w:t>
            </w:r>
          </w:p>
        </w:tc>
        <w:tc>
          <w:tcPr/>
          <w:p>
            <w:pPr>
              <w:pStyle w:val="Compact"/>
              <w:spacing w:line="240" w:lineRule="auto" w:after="40"/>
              <w:jc w:val="left"/>
            </w:pPr>
            <w:r>
              <w:rPr>
                <w:rFonts w:ascii="Times New Roman" w:hAnsi="Times New Roman"/>
                <w:sz w:val="18"/>
              </w:rPr>
              <w:t xml:space="preserve">-17,2</w:t>
            </w:r>
          </w:p>
        </w:tc>
        <w:tc>
          <w:tcPr/>
          <w:p>
            <w:pPr>
              <w:pStyle w:val="Compact"/>
              <w:spacing w:line="240" w:lineRule="auto" w:after="40"/>
              <w:jc w:val="left"/>
            </w:pPr>
            <w:r>
              <w:rPr>
                <w:rFonts w:ascii="Times New Roman" w:hAnsi="Times New Roman"/>
                <w:sz w:val="18"/>
              </w:rPr>
              <w:t xml:space="preserve">20,1</w:t>
            </w:r>
          </w:p>
        </w:tc>
        <w:tc>
          <w:tcPr/>
          <w:p>
            <w:pPr>
              <w:pStyle w:val="Compact"/>
              <w:spacing w:line="240" w:lineRule="auto" w:after="40"/>
              <w:jc w:val="left"/>
            </w:pPr>
            <w:r>
              <w:rPr>
                <w:rFonts w:ascii="Times New Roman" w:hAnsi="Times New Roman"/>
                <w:sz w:val="18"/>
              </w:rPr>
              <w:t xml:space="preserve">-0,09</w:t>
            </w:r>
          </w:p>
        </w:tc>
      </w:tr>
    </w:tbl>
    <w:p>
      <w:pPr>
        <w:pStyle w:val="BodyText"/>
        <w:keepNext w:val="0"/>
        <w:spacing w:line="240" w:lineRule="auto" w:before="40" w:after="240"/>
        <w:jc w:val="left"/>
      </w:pPr>
      <w:r>
        <w:rPr>
          <w:iCs/>
          <w:i/>
          <w:sz w:val="20"/>
        </w:rPr>
        <w:t xml:space="preserve">Source : calculs de l’auteur (OCDE via FRED, Yahoo Finance).</w:t>
      </w:r>
    </w:p>
    <w:p>
      <w:pPr>
        <w:pStyle w:val="BodyText"/>
      </w:pPr>
      <w:r>
        <w:t xml:space="preserve">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pPr>
      <w:r>
        <w:t xml:space="preserve">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pPr>
      <w:r>
        <w:drawing>
          <wp:inline>
            <wp:extent cx="5334000" cy="1671086"/>
            <wp:effectExtent b="0" l="0" r="0" t="0"/>
            <wp:docPr descr="" title="" id="72" name="Picture"/>
            <a:graphic>
              <a:graphicData uri="http://schemas.openxmlformats.org/drawingml/2006/picture">
                <pic:pic>
                  <pic:nvPicPr>
                    <pic:cNvPr descr="/home/claude/public-spending-market-prediction/results/figures/fig3_1_distributions_cibles.png" id="73" name="Picture"/>
                    <pic:cNvPicPr>
                      <a:picLocks noChangeArrowheads="1" noChangeAspect="1"/>
                    </pic:cNvPicPr>
                  </pic:nvPicPr>
                  <pic:blipFill>
                    <a:blip r:embed="rId71"/>
                    <a:stretch>
                      <a:fillRect/>
                    </a:stretch>
                  </pic:blipFill>
                  <pic:spPr bwMode="auto">
                    <a:xfrm>
                      <a:off x="0" y="0"/>
                      <a:ext cx="5334000" cy="1671086"/>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3.1 – Distribution des trois cibles</w:t>
      </w:r>
    </w:p>
    <w:p>
      <w:pPr>
        <w:pStyle w:val="BodyText"/>
        <w:keepNext w:val="0"/>
        <w:spacing w:line="240" w:lineRule="auto" w:before="40" w:after="240"/>
        <w:jc w:val="left"/>
      </w:pPr>
      <w:r>
        <w:rPr>
          <w:iCs/>
          <w:i/>
          <w:sz w:val="20"/>
        </w:rPr>
        <w:t xml:space="preserve">Source : calculs de l’auteur.</w:t>
      </w:r>
    </w:p>
    <w:bookmarkEnd w:id="74"/>
    <w:bookmarkStart w:id="78" w:name="modèles-principaux"/>
    <w:p>
      <w:pPr>
        <w:pStyle w:val="Heading2"/>
      </w:pPr>
      <w:r>
        <w:t xml:space="preserve">3.2 Modèles principaux</w:t>
      </w:r>
    </w:p>
    <w:p>
      <w:pPr>
        <w:pStyle w:val="FirstParagraph"/>
      </w:pPr>
      <w:r>
        <w:rPr>
          <w:bCs/>
          <w:b/>
        </w:rPr>
        <w:t xml:space="preserve">Aucun modèle ne bat la moyenne historique</w:t>
      </w:r>
      <w:r>
        <w:t xml:space="preserve">, pour aucune des trois cibles. Le meilleur R² hors échantillon est celui de Ridge M0 sur le CAC 40 : -1,3 %. Pour les deux taux, la prévision « variation nulle » fait mieux que la moyenne (+1,7 % et +2,4 %).</w:t>
      </w:r>
    </w:p>
    <w:p>
      <w:pPr>
        <w:pStyle w:val="BodyText"/>
        <w:keepNext/>
        <w:spacing w:line="240" w:lineRule="auto" w:before="120" w:after="80"/>
        <w:jc w:val="left"/>
      </w:pPr>
      <w:r>
        <w:rPr>
          <w:bCs/>
          <w:b/>
          <w:sz w:val="22"/>
        </w:rPr>
        <w:t xml:space="preserve">Tableau 3.2 – R² hors échantillon par rapport à la moyenne historique (%), janvier 2020 – juillet 2026</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shd w:val="clear" w:color="auto" w:fill="E7E6E6"/>
          </w:tcPr>
          <w:p>
            <w:pPr>
              <w:pStyle w:val="Compact"/>
              <w:spacing w:line="240" w:lineRule="auto" w:after="40"/>
              <w:jc w:val="left"/>
            </w:pPr>
            <w:r>
              <w:rPr>
                <w:rFonts w:ascii="Times New Roman" w:hAnsi="Times New Roman"/>
                <w:b/>
                <w:sz w:val="18"/>
              </w:rPr>
              <w:t xml:space="preserve">Modèle</w:t>
            </w:r>
          </w:p>
        </w:tc>
        <w:tc>
          <w:tcPr>
            <w:shd w:val="clear" w:color="auto" w:fill="E7E6E6"/>
          </w:tcPr>
          <w:p>
            <w:pPr>
              <w:pStyle w:val="Compact"/>
              <w:spacing w:line="240" w:lineRule="auto" w:after="40"/>
              <w:jc w:val="left"/>
            </w:pPr>
            <w:r>
              <w:rPr>
                <w:rFonts w:ascii="Times New Roman" w:hAnsi="Times New Roman"/>
                <w:b/>
                <w:sz w:val="18"/>
              </w:rPr>
              <w:t xml:space="preserve">Jeu de variables</w:t>
            </w:r>
          </w:p>
        </w:tc>
        <w:tc>
          <w:tcPr>
            <w:shd w:val="clear" w:color="auto" w:fill="E7E6E6"/>
          </w:tcPr>
          <w:p>
            <w:pPr>
              <w:pStyle w:val="Compact"/>
              <w:spacing w:line="240" w:lineRule="auto" w:after="40"/>
              <w:jc w:val="left"/>
            </w:pPr>
            <w:r>
              <w:rPr>
                <w:rFonts w:ascii="Times New Roman" w:hAnsi="Times New Roman"/>
                <w:b/>
                <w:sz w:val="18"/>
              </w:rPr>
              <w:t xml:space="preserve">Δ spread</w:t>
            </w:r>
          </w:p>
        </w:tc>
        <w:tc>
          <w:tcPr>
            <w:shd w:val="clear" w:color="auto" w:fill="E7E6E6"/>
          </w:tcPr>
          <w:p>
            <w:pPr>
              <w:pStyle w:val="Compact"/>
              <w:spacing w:line="240" w:lineRule="auto" w:after="40"/>
              <w:jc w:val="left"/>
            </w:pPr>
            <w:r>
              <w:rPr>
                <w:rFonts w:ascii="Times New Roman" w:hAnsi="Times New Roman"/>
                <w:b/>
                <w:sz w:val="18"/>
              </w:rPr>
              <w:t xml:space="preserve">Δ OAT</w:t>
            </w:r>
          </w:p>
        </w:tc>
        <w:tc>
          <w:tcPr>
            <w:shd w:val="clear" w:color="auto" w:fill="E7E6E6"/>
          </w:tcPr>
          <w:p>
            <w:pPr>
              <w:pStyle w:val="Compact"/>
              <w:spacing w:line="240" w:lineRule="auto" w:after="40"/>
              <w:jc w:val="left"/>
            </w:pPr>
            <w:r>
              <w:rPr>
                <w:rFonts w:ascii="Times New Roman" w:hAnsi="Times New Roman"/>
                <w:b/>
                <w:sz w:val="18"/>
              </w:rPr>
              <w:t xml:space="preserve">CAC 40</w:t>
            </w:r>
          </w:p>
        </w:tc>
      </w:tr>
      <w:tr>
        <w:tc>
          <w:tcPr/>
          <w:p>
            <w:pPr>
              <w:pStyle w:val="Compact"/>
              <w:spacing w:line="240" w:lineRule="auto" w:after="40"/>
              <w:jc w:val="left"/>
            </w:pPr>
            <w:r>
              <w:rPr>
                <w:rFonts w:ascii="Times New Roman" w:hAnsi="Times New Roman"/>
                <w:sz w:val="18"/>
              </w:rPr>
              <w:t xml:space="preserve">Moyenne historique</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0,0</w:t>
            </w:r>
          </w:p>
        </w:tc>
        <w:tc>
          <w:tcPr/>
          <w:p>
            <w:pPr>
              <w:pStyle w:val="Compact"/>
              <w:spacing w:line="240" w:lineRule="auto" w:after="40"/>
              <w:jc w:val="left"/>
            </w:pPr>
            <w:r>
              <w:rPr>
                <w:rFonts w:ascii="Times New Roman" w:hAnsi="Times New Roman"/>
                <w:sz w:val="18"/>
              </w:rPr>
              <w:t xml:space="preserve">0,0</w:t>
            </w:r>
          </w:p>
        </w:tc>
        <w:tc>
          <w:tcPr/>
          <w:p>
            <w:pPr>
              <w:pStyle w:val="Compact"/>
              <w:spacing w:line="240" w:lineRule="auto" w:after="40"/>
              <w:jc w:val="left"/>
            </w:pPr>
            <w:r>
              <w:rPr>
                <w:rFonts w:ascii="Times New Roman" w:hAnsi="Times New Roman"/>
                <w:sz w:val="18"/>
              </w:rPr>
              <w:t xml:space="preserve">0,0</w:t>
            </w:r>
          </w:p>
        </w:tc>
      </w:tr>
      <w:tr>
        <w:tc>
          <w:tcPr/>
          <w:p>
            <w:pPr>
              <w:pStyle w:val="Compact"/>
              <w:spacing w:line="240" w:lineRule="auto" w:after="40"/>
              <w:jc w:val="left"/>
            </w:pPr>
            <w:r>
              <w:rPr>
                <w:rFonts w:ascii="Times New Roman" w:hAnsi="Times New Roman"/>
                <w:sz w:val="18"/>
              </w:rPr>
              <w:t xml:space="preserve">Variation nulle</w:t>
            </w:r>
          </w:p>
        </w:tc>
        <w:tc>
          <w:tcPr/>
          <w:p>
            <w:pPr>
              <w:pStyle w:val="Compact"/>
              <w:spacing w:line="240" w:lineRule="auto" w:after="40"/>
              <w:jc w:val="left"/>
            </w:pPr>
            <w:r>
              <w:rPr>
                <w:rFonts w:ascii="Times New Roman" w:hAnsi="Times New Roman"/>
                <w:sz w:val="18"/>
              </w:rPr>
              <w:t xml:space="preserve">—</w:t>
            </w:r>
          </w:p>
        </w:tc>
        <w:tc>
          <w:tcPr/>
          <w:p>
            <w:pPr>
              <w:pStyle w:val="Compact"/>
              <w:spacing w:line="240" w:lineRule="auto" w:after="40"/>
              <w:jc w:val="left"/>
            </w:pPr>
            <w:r>
              <w:rPr>
                <w:rFonts w:ascii="Times New Roman" w:hAnsi="Times New Roman"/>
                <w:sz w:val="18"/>
              </w:rPr>
              <w:t xml:space="preserve">+1,7</w:t>
            </w:r>
          </w:p>
        </w:tc>
        <w:tc>
          <w:tcPr/>
          <w:p>
            <w:pPr>
              <w:pStyle w:val="Compact"/>
              <w:spacing w:line="240" w:lineRule="auto" w:after="40"/>
              <w:jc w:val="left"/>
            </w:pPr>
            <w:r>
              <w:rPr>
                <w:rFonts w:ascii="Times New Roman" w:hAnsi="Times New Roman"/>
                <w:sz w:val="18"/>
              </w:rPr>
              <w:t xml:space="preserve">+2,4</w:t>
            </w:r>
          </w:p>
        </w:tc>
        <w:tc>
          <w:tcPr/>
          <w:p>
            <w:pPr>
              <w:pStyle w:val="Compact"/>
              <w:spacing w:line="240" w:lineRule="auto" w:after="40"/>
              <w:jc w:val="left"/>
            </w:pPr>
            <w:r>
              <w:rPr>
                <w:rFonts w:ascii="Times New Roman" w:hAnsi="Times New Roman"/>
                <w:sz w:val="18"/>
              </w:rPr>
              <w:t xml:space="preserve">-0,2</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-14,9</w:t>
            </w:r>
          </w:p>
        </w:tc>
        <w:tc>
          <w:tcPr/>
          <w:p>
            <w:pPr>
              <w:pStyle w:val="Compact"/>
              <w:spacing w:line="240" w:lineRule="auto" w:after="40"/>
              <w:jc w:val="left"/>
            </w:pPr>
            <w:r>
              <w:rPr>
                <w:rFonts w:ascii="Times New Roman" w:hAnsi="Times New Roman"/>
                <w:sz w:val="18"/>
              </w:rPr>
              <w:t xml:space="preserve">-11,3</w:t>
            </w:r>
          </w:p>
        </w:tc>
        <w:tc>
          <w:tcPr/>
          <w:p>
            <w:pPr>
              <w:pStyle w:val="Compact"/>
              <w:spacing w:line="240" w:lineRule="auto" w:after="40"/>
              <w:jc w:val="left"/>
            </w:pPr>
            <w:r>
              <w:rPr>
                <w:rFonts w:ascii="Times New Roman" w:hAnsi="Times New Roman"/>
                <w:sz w:val="18"/>
              </w:rPr>
              <w:t xml:space="preserve">-1,3</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-14,7</w:t>
            </w:r>
          </w:p>
        </w:tc>
        <w:tc>
          <w:tcPr/>
          <w:p>
            <w:pPr>
              <w:pStyle w:val="Compact"/>
              <w:spacing w:line="240" w:lineRule="auto" w:after="40"/>
              <w:jc w:val="left"/>
            </w:pPr>
            <w:r>
              <w:rPr>
                <w:rFonts w:ascii="Times New Roman" w:hAnsi="Times New Roman"/>
                <w:sz w:val="18"/>
              </w:rPr>
              <w:t xml:space="preserve">-11,3</w:t>
            </w:r>
          </w:p>
        </w:tc>
        <w:tc>
          <w:tcPr/>
          <w:p>
            <w:pPr>
              <w:pStyle w:val="Compact"/>
              <w:spacing w:line="240" w:lineRule="auto" w:after="40"/>
              <w:jc w:val="left"/>
            </w:pPr>
            <w:r>
              <w:rPr>
                <w:rFonts w:ascii="Times New Roman" w:hAnsi="Times New Roman"/>
                <w:sz w:val="18"/>
              </w:rPr>
              <w:t xml:space="preserve">-3,5</w:t>
            </w:r>
          </w:p>
        </w:tc>
      </w:tr>
      <w:tr>
        <w:tc>
          <w:tcPr/>
          <w:p>
            <w:pPr>
              <w:pStyle w:val="Compact"/>
              <w:spacing w:line="240" w:lineRule="auto" w:after="40"/>
              <w:jc w:val="left"/>
            </w:pPr>
            <w:r>
              <w:rPr>
                <w:rFonts w:ascii="Times New Roman" w:hAnsi="Times New Roman"/>
                <w:sz w:val="18"/>
              </w:rPr>
              <w:t xml:space="preserve">Ridge</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-27,8</w:t>
            </w:r>
          </w:p>
        </w:tc>
        <w:tc>
          <w:tcPr/>
          <w:p>
            <w:pPr>
              <w:pStyle w:val="Compact"/>
              <w:spacing w:line="240" w:lineRule="auto" w:after="40"/>
              <w:jc w:val="left"/>
            </w:pPr>
            <w:r>
              <w:rPr>
                <w:rFonts w:ascii="Times New Roman" w:hAnsi="Times New Roman"/>
                <w:sz w:val="18"/>
              </w:rPr>
              <w:t xml:space="preserve">-9,0</w:t>
            </w:r>
          </w:p>
        </w:tc>
        <w:tc>
          <w:tcPr/>
          <w:p>
            <w:pPr>
              <w:pStyle w:val="Compact"/>
              <w:spacing w:line="240" w:lineRule="auto" w:after="40"/>
              <w:jc w:val="left"/>
            </w:pPr>
            <w:r>
              <w:rPr>
                <w:rFonts w:ascii="Times New Roman" w:hAnsi="Times New Roman"/>
                <w:sz w:val="18"/>
              </w:rPr>
              <w:t xml:space="preserve">-1,8</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-6,8</w:t>
            </w:r>
          </w:p>
        </w:tc>
        <w:tc>
          <w:tcPr/>
          <w:p>
            <w:pPr>
              <w:pStyle w:val="Compact"/>
              <w:spacing w:line="240" w:lineRule="auto" w:after="40"/>
              <w:jc w:val="left"/>
            </w:pPr>
            <w:r>
              <w:rPr>
                <w:rFonts w:ascii="Times New Roman" w:hAnsi="Times New Roman"/>
                <w:sz w:val="18"/>
              </w:rPr>
              <w:t xml:space="preserve">-6,9</w:t>
            </w:r>
          </w:p>
        </w:tc>
        <w:tc>
          <w:tcPr/>
          <w:p>
            <w:pPr>
              <w:pStyle w:val="Compact"/>
              <w:spacing w:line="240" w:lineRule="auto" w:after="40"/>
              <w:jc w:val="left"/>
            </w:pPr>
            <w:r>
              <w:rPr>
                <w:rFonts w:ascii="Times New Roman" w:hAnsi="Times New Roman"/>
                <w:sz w:val="18"/>
              </w:rPr>
              <w:t xml:space="preserve">-9,6</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-8,4</w:t>
            </w:r>
          </w:p>
        </w:tc>
        <w:tc>
          <w:tcPr/>
          <w:p>
            <w:pPr>
              <w:pStyle w:val="Compact"/>
              <w:spacing w:line="240" w:lineRule="auto" w:after="40"/>
              <w:jc w:val="left"/>
            </w:pPr>
            <w:r>
              <w:rPr>
                <w:rFonts w:ascii="Times New Roman" w:hAnsi="Times New Roman"/>
                <w:sz w:val="18"/>
              </w:rPr>
              <w:t xml:space="preserve">-6,9</w:t>
            </w:r>
          </w:p>
        </w:tc>
        <w:tc>
          <w:tcPr/>
          <w:p>
            <w:pPr>
              <w:pStyle w:val="Compact"/>
              <w:spacing w:line="240" w:lineRule="auto" w:after="40"/>
              <w:jc w:val="left"/>
            </w:pPr>
            <w:r>
              <w:rPr>
                <w:rFonts w:ascii="Times New Roman" w:hAnsi="Times New Roman"/>
                <w:sz w:val="18"/>
              </w:rPr>
              <w:t xml:space="preserve">-10,8</w:t>
            </w:r>
          </w:p>
        </w:tc>
      </w:tr>
      <w:tr>
        <w:tc>
          <w:tcPr/>
          <w:p>
            <w:pPr>
              <w:pStyle w:val="Compact"/>
              <w:spacing w:line="240" w:lineRule="auto" w:after="40"/>
              <w:jc w:val="left"/>
            </w:pPr>
            <w:r>
              <w:rPr>
                <w:rFonts w:ascii="Times New Roman" w:hAnsi="Times New Roman"/>
                <w:sz w:val="18"/>
              </w:rPr>
              <w:t xml:space="preserve">Forêt aléatoire</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-10,5</w:t>
            </w:r>
          </w:p>
        </w:tc>
        <w:tc>
          <w:tcPr/>
          <w:p>
            <w:pPr>
              <w:pStyle w:val="Compact"/>
              <w:spacing w:line="240" w:lineRule="auto" w:after="40"/>
              <w:jc w:val="left"/>
            </w:pPr>
            <w:r>
              <w:rPr>
                <w:rFonts w:ascii="Times New Roman" w:hAnsi="Times New Roman"/>
                <w:sz w:val="18"/>
              </w:rPr>
              <w:t xml:space="preserve">-5,9</w:t>
            </w:r>
          </w:p>
        </w:tc>
        <w:tc>
          <w:tcPr/>
          <w:p>
            <w:pPr>
              <w:pStyle w:val="Compact"/>
              <w:spacing w:line="240" w:lineRule="auto" w:after="40"/>
              <w:jc w:val="left"/>
            </w:pPr>
            <w:r>
              <w:rPr>
                <w:rFonts w:ascii="Times New Roman" w:hAnsi="Times New Roman"/>
                <w:sz w:val="18"/>
              </w:rPr>
              <w:t xml:space="preserve">-11,2</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M0 marchés</w:t>
            </w:r>
          </w:p>
        </w:tc>
        <w:tc>
          <w:tcPr/>
          <w:p>
            <w:pPr>
              <w:pStyle w:val="Compact"/>
              <w:spacing w:line="240" w:lineRule="auto" w:after="40"/>
              <w:jc w:val="left"/>
            </w:pPr>
            <w:r>
              <w:rPr>
                <w:rFonts w:ascii="Times New Roman" w:hAnsi="Times New Roman"/>
                <w:sz w:val="18"/>
              </w:rPr>
              <w:t xml:space="preserve">-35,4</w:t>
            </w:r>
          </w:p>
        </w:tc>
        <w:tc>
          <w:tcPr/>
          <w:p>
            <w:pPr>
              <w:pStyle w:val="Compact"/>
              <w:spacing w:line="240" w:lineRule="auto" w:after="40"/>
              <w:jc w:val="left"/>
            </w:pPr>
            <w:r>
              <w:rPr>
                <w:rFonts w:ascii="Times New Roman" w:hAnsi="Times New Roman"/>
                <w:sz w:val="18"/>
              </w:rPr>
              <w:t xml:space="preserve">-30,2</w:t>
            </w:r>
          </w:p>
        </w:tc>
        <w:tc>
          <w:tcPr/>
          <w:p>
            <w:pPr>
              <w:pStyle w:val="Compact"/>
              <w:spacing w:line="240" w:lineRule="auto" w:after="40"/>
              <w:jc w:val="left"/>
            </w:pPr>
            <w:r>
              <w:rPr>
                <w:rFonts w:ascii="Times New Roman" w:hAnsi="Times New Roman"/>
                <w:sz w:val="18"/>
              </w:rPr>
              <w:t xml:space="preserve">-31,7</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M1 + dépenses</w:t>
            </w:r>
          </w:p>
        </w:tc>
        <w:tc>
          <w:tcPr/>
          <w:p>
            <w:pPr>
              <w:pStyle w:val="Compact"/>
              <w:spacing w:line="240" w:lineRule="auto" w:after="40"/>
              <w:jc w:val="left"/>
            </w:pPr>
            <w:r>
              <w:rPr>
                <w:rFonts w:ascii="Times New Roman" w:hAnsi="Times New Roman"/>
                <w:sz w:val="18"/>
              </w:rPr>
              <w:t xml:space="preserve">-30,1</w:t>
            </w:r>
          </w:p>
        </w:tc>
        <w:tc>
          <w:tcPr/>
          <w:p>
            <w:pPr>
              <w:pStyle w:val="Compact"/>
              <w:spacing w:line="240" w:lineRule="auto" w:after="40"/>
              <w:jc w:val="left"/>
            </w:pPr>
            <w:r>
              <w:rPr>
                <w:rFonts w:ascii="Times New Roman" w:hAnsi="Times New Roman"/>
                <w:sz w:val="18"/>
              </w:rPr>
              <w:t xml:space="preserve">-30,4</w:t>
            </w:r>
          </w:p>
        </w:tc>
        <w:tc>
          <w:tcPr/>
          <w:p>
            <w:pPr>
              <w:pStyle w:val="Compact"/>
              <w:spacing w:line="240" w:lineRule="auto" w:after="40"/>
              <w:jc w:val="left"/>
            </w:pPr>
            <w:r>
              <w:rPr>
                <w:rFonts w:ascii="Times New Roman" w:hAnsi="Times New Roman"/>
                <w:sz w:val="18"/>
              </w:rPr>
              <w:t xml:space="preserve">-27,8</w:t>
            </w:r>
          </w:p>
        </w:tc>
      </w:tr>
      <w:tr>
        <w:tc>
          <w:tcPr/>
          <w:p>
            <w:pPr>
              <w:pStyle w:val="Compact"/>
              <w:spacing w:line="240" w:lineRule="auto" w:after="40"/>
              <w:jc w:val="left"/>
            </w:pPr>
            <w:r>
              <w:rPr>
                <w:rFonts w:ascii="Times New Roman" w:hAnsi="Times New Roman"/>
                <w:sz w:val="18"/>
              </w:rPr>
              <w:t xml:space="preserve">XGBoost</w:t>
            </w:r>
          </w:p>
        </w:tc>
        <w:tc>
          <w:tcPr/>
          <w:p>
            <w:pPr>
              <w:pStyle w:val="Compact"/>
              <w:spacing w:line="240" w:lineRule="auto" w:after="40"/>
              <w:jc w:val="left"/>
            </w:pPr>
            <w:r>
              <w:rPr>
                <w:rFonts w:ascii="Times New Roman" w:hAnsi="Times New Roman"/>
                <w:sz w:val="18"/>
              </w:rPr>
              <w:t xml:space="preserve">M2 + budget complet</w:t>
            </w:r>
          </w:p>
        </w:tc>
        <w:tc>
          <w:tcPr/>
          <w:p>
            <w:pPr>
              <w:pStyle w:val="Compact"/>
              <w:spacing w:line="240" w:lineRule="auto" w:after="40"/>
              <w:jc w:val="left"/>
            </w:pPr>
            <w:r>
              <w:rPr>
                <w:rFonts w:ascii="Times New Roman" w:hAnsi="Times New Roman"/>
                <w:sz w:val="18"/>
              </w:rPr>
              <w:t xml:space="preserve">-28,4</w:t>
            </w:r>
          </w:p>
        </w:tc>
        <w:tc>
          <w:tcPr/>
          <w:p>
            <w:pPr>
              <w:pStyle w:val="Compact"/>
              <w:spacing w:line="240" w:lineRule="auto" w:after="40"/>
              <w:jc w:val="left"/>
            </w:pPr>
            <w:r>
              <w:rPr>
                <w:rFonts w:ascii="Times New Roman" w:hAnsi="Times New Roman"/>
                <w:sz w:val="18"/>
              </w:rPr>
              <w:t xml:space="preserve">-33,1</w:t>
            </w:r>
          </w:p>
        </w:tc>
        <w:tc>
          <w:tcPr/>
          <w:p>
            <w:pPr>
              <w:pStyle w:val="Compact"/>
              <w:spacing w:line="240" w:lineRule="auto" w:after="40"/>
              <w:jc w:val="left"/>
            </w:pPr>
            <w:r>
              <w:rPr>
                <w:rFonts w:ascii="Times New Roman" w:hAnsi="Times New Roman"/>
                <w:sz w:val="18"/>
              </w:rPr>
              <w:t xml:space="preserve">-26,7</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results/tables/models_metrics.csv</w:t>
      </w:r>
      <w:r>
        <w:rPr>
          <w:iCs/>
          <w:i/>
          <w:sz w:val="20"/>
        </w:rPr>
        <w:t xml:space="preserve">). Graine aléatoire 42 pour la forêt et XGBoost.</w:t>
      </w:r>
    </w:p>
    <w:p>
      <w:pPr>
        <w:pStyle w:val="BodyText"/>
      </w:pPr>
      <w:r>
        <w:t xml:space="preserve">Le taux de bonne direction varie entre 42 % et 59 % selon les modèles. La moyenne historique, qui prévoit presque toujours le même signe, obtient 53 % (spread), 57 % (OAT) et 61 % (CAC 40).</w:t>
      </w:r>
    </w:p>
    <w:p>
      <w:pPr>
        <w:pStyle w:val="BodyText"/>
      </w:pPr>
      <w:r>
        <w:t xml:space="preserve">Le tableau 3.3 donne les tests de Diebold-Mariano (DM) pour les deux questions centrales : les dépenses améliorent-elles la prévision (H1), et le machine learning fait-il mieux que Ridge (H3) ?</w:t>
      </w:r>
    </w:p>
    <w:p>
      <w:pPr>
        <w:pStyle w:val="BodyText"/>
        <w:keepNext/>
        <w:spacing w:line="240" w:lineRule="auto" w:before="120" w:after="80"/>
        <w:jc w:val="left"/>
      </w:pPr>
      <w:r>
        <w:rPr>
          <w:bCs/>
          <w:b/>
          <w:sz w:val="22"/>
        </w:rPr>
        <w:t xml:space="preserve">Tableau 3.3 – Tests de Diebold-Mariano (p-values bilatérales)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Comparaison</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Ridge : M1 contre M0</w:t>
            </w:r>
          </w:p>
        </w:tc>
        <w:tc>
          <w:tcPr/>
          <w:p>
            <w:pPr>
              <w:pStyle w:val="Compact"/>
              <w:spacing w:line="240" w:lineRule="auto" w:after="40"/>
              <w:jc w:val="left"/>
            </w:pPr>
            <w:r>
              <w:rPr>
                <w:rFonts w:ascii="Times New Roman" w:hAnsi="Times New Roman"/>
                <w:sz w:val="20"/>
              </w:rPr>
              <w:t xml:space="preserve">0,97</w:t>
            </w:r>
          </w:p>
        </w:tc>
        <w:tc>
          <w:tcPr/>
          <w:p>
            <w:pPr>
              <w:pStyle w:val="Compact"/>
              <w:spacing w:line="240" w:lineRule="auto" w:after="40"/>
              <w:jc w:val="left"/>
            </w:pPr>
            <w:r>
              <w:rPr>
                <w:rFonts w:ascii="Times New Roman" w:hAnsi="Times New Roman"/>
                <w:sz w:val="20"/>
              </w:rPr>
              <w:t xml:space="preserve">0,99</w:t>
            </w:r>
          </w:p>
        </w:tc>
        <w:tc>
          <w:tcPr/>
          <w:p>
            <w:pPr>
              <w:pStyle w:val="Compact"/>
              <w:spacing w:line="240" w:lineRule="auto" w:after="40"/>
              <w:jc w:val="left"/>
            </w:pPr>
            <w:r>
              <w:rPr>
                <w:rFonts w:ascii="Times New Roman" w:hAnsi="Times New Roman"/>
                <w:sz w:val="20"/>
              </w:rPr>
              <w:t xml:space="preserve">0,37</w:t>
            </w:r>
          </w:p>
        </w:tc>
      </w:tr>
      <w:tr>
        <w:tc>
          <w:tcPr/>
          <w:p>
            <w:pPr>
              <w:pStyle w:val="Compact"/>
              <w:spacing w:line="240" w:lineRule="auto" w:after="40"/>
              <w:jc w:val="left"/>
            </w:pPr>
            <w:r>
              <w:rPr>
                <w:rFonts w:ascii="Times New Roman" w:hAnsi="Times New Roman"/>
                <w:sz w:val="20"/>
              </w:rPr>
              <w:t xml:space="preserve">Forêt aléatoire : M1 contre M0</w:t>
            </w:r>
          </w:p>
        </w:tc>
        <w:tc>
          <w:tcPr/>
          <w:p>
            <w:pPr>
              <w:pStyle w:val="Compact"/>
              <w:spacing w:line="240" w:lineRule="auto" w:after="40"/>
              <w:jc w:val="left"/>
            </w:pPr>
            <w:r>
              <w:rPr>
                <w:rFonts w:ascii="Times New Roman" w:hAnsi="Times New Roman"/>
                <w:sz w:val="20"/>
              </w:rPr>
              <w:t xml:space="preserve">0,58</w:t>
            </w:r>
          </w:p>
        </w:tc>
        <w:tc>
          <w:tcPr/>
          <w:p>
            <w:pPr>
              <w:pStyle w:val="Compact"/>
              <w:spacing w:line="240" w:lineRule="auto" w:after="40"/>
              <w:jc w:val="left"/>
            </w:pPr>
            <w:r>
              <w:rPr>
                <w:rFonts w:ascii="Times New Roman" w:hAnsi="Times New Roman"/>
                <w:sz w:val="20"/>
              </w:rPr>
              <w:t xml:space="preserve">0,99</w:t>
            </w:r>
          </w:p>
        </w:tc>
        <w:tc>
          <w:tcPr/>
          <w:p>
            <w:pPr>
              <w:pStyle w:val="Compact"/>
              <w:spacing w:line="240" w:lineRule="auto" w:after="40"/>
              <w:jc w:val="left"/>
            </w:pPr>
            <w:r>
              <w:rPr>
                <w:rFonts w:ascii="Times New Roman" w:hAnsi="Times New Roman"/>
                <w:sz w:val="20"/>
              </w:rPr>
              <w:t xml:space="preserve">0,77</w:t>
            </w:r>
          </w:p>
        </w:tc>
      </w:tr>
      <w:tr>
        <w:tc>
          <w:tcPr/>
          <w:p>
            <w:pPr>
              <w:pStyle w:val="Compact"/>
              <w:spacing w:line="240" w:lineRule="auto" w:after="40"/>
              <w:jc w:val="left"/>
            </w:pPr>
            <w:r>
              <w:rPr>
                <w:rFonts w:ascii="Times New Roman" w:hAnsi="Times New Roman"/>
                <w:sz w:val="20"/>
              </w:rPr>
              <w:t xml:space="preserve">XGBoost : M1 contre M0</w:t>
            </w:r>
          </w:p>
        </w:tc>
        <w:tc>
          <w:tcPr/>
          <w:p>
            <w:pPr>
              <w:pStyle w:val="Compact"/>
              <w:spacing w:line="240" w:lineRule="auto" w:after="40"/>
              <w:jc w:val="left"/>
            </w:pPr>
            <w:r>
              <w:rPr>
                <w:rFonts w:ascii="Times New Roman" w:hAnsi="Times New Roman"/>
                <w:sz w:val="20"/>
              </w:rPr>
              <w:t xml:space="preserve">0,61</w:t>
            </w:r>
          </w:p>
        </w:tc>
        <w:tc>
          <w:tcPr/>
          <w:p>
            <w:pPr>
              <w:pStyle w:val="Compact"/>
              <w:spacing w:line="240" w:lineRule="auto" w:after="40"/>
              <w:jc w:val="left"/>
            </w:pPr>
            <w:r>
              <w:rPr>
                <w:rFonts w:ascii="Times New Roman" w:hAnsi="Times New Roman"/>
                <w:sz w:val="20"/>
              </w:rPr>
              <w:t xml:space="preserve">0,98</w:t>
            </w:r>
          </w:p>
        </w:tc>
        <w:tc>
          <w:tcPr/>
          <w:p>
            <w:pPr>
              <w:pStyle w:val="Compact"/>
              <w:spacing w:line="240" w:lineRule="auto" w:after="40"/>
              <w:jc w:val="left"/>
            </w:pPr>
            <w:r>
              <w:rPr>
                <w:rFonts w:ascii="Times New Roman" w:hAnsi="Times New Roman"/>
                <w:sz w:val="20"/>
              </w:rPr>
              <w:t xml:space="preserve">0,63</w:t>
            </w:r>
          </w:p>
        </w:tc>
      </w:tr>
      <w:tr>
        <w:tc>
          <w:tcPr/>
          <w:p>
            <w:pPr>
              <w:pStyle w:val="Compact"/>
              <w:spacing w:line="240" w:lineRule="auto" w:after="40"/>
              <w:jc w:val="left"/>
            </w:pPr>
            <w:r>
              <w:rPr>
                <w:rFonts w:ascii="Times New Roman" w:hAnsi="Times New Roman"/>
                <w:sz w:val="20"/>
              </w:rPr>
              <w:t xml:space="preserve">Forêt aléatoire contre Ridge (M1)</w:t>
            </w:r>
          </w:p>
        </w:tc>
        <w:tc>
          <w:tcPr/>
          <w:p>
            <w:pPr>
              <w:pStyle w:val="Compact"/>
              <w:spacing w:line="240" w:lineRule="auto" w:after="40"/>
              <w:jc w:val="left"/>
            </w:pPr>
            <w:r>
              <w:rPr>
                <w:rFonts w:ascii="Times New Roman" w:hAnsi="Times New Roman"/>
                <w:sz w:val="20"/>
              </w:rPr>
              <w:t xml:space="preserve">0,35</w:t>
            </w:r>
          </w:p>
        </w:tc>
        <w:tc>
          <w:tcPr/>
          <w:p>
            <w:pPr>
              <w:pStyle w:val="Compact"/>
              <w:spacing w:line="240" w:lineRule="auto" w:after="40"/>
              <w:jc w:val="left"/>
            </w:pPr>
            <w:r>
              <w:rPr>
                <w:rFonts w:ascii="Times New Roman" w:hAnsi="Times New Roman"/>
                <w:sz w:val="20"/>
              </w:rPr>
              <w:t xml:space="preserve">0,41</w:t>
            </w:r>
          </w:p>
        </w:tc>
        <w:tc>
          <w:tcPr/>
          <w:p>
            <w:pPr>
              <w:pStyle w:val="Compact"/>
              <w:spacing w:line="240" w:lineRule="auto" w:after="40"/>
              <w:jc w:val="left"/>
            </w:pPr>
            <w:r>
              <w:rPr>
                <w:rFonts w:ascii="Times New Roman" w:hAnsi="Times New Roman"/>
                <w:sz w:val="20"/>
              </w:rPr>
              <w:t xml:space="preserve">0,18</w:t>
            </w:r>
          </w:p>
        </w:tc>
      </w:tr>
      <w:tr>
        <w:tc>
          <w:tcPr/>
          <w:p>
            <w:pPr>
              <w:pStyle w:val="Compact"/>
              <w:spacing w:line="240" w:lineRule="auto" w:after="40"/>
              <w:jc w:val="left"/>
            </w:pPr>
            <w:r>
              <w:rPr>
                <w:rFonts w:ascii="Times New Roman" w:hAnsi="Times New Roman"/>
                <w:sz w:val="20"/>
              </w:rPr>
              <w:t xml:space="preserve">XGBoost contre Ridge (M1)</w:t>
            </w:r>
          </w:p>
        </w:tc>
        <w:tc>
          <w:tcPr/>
          <w:p>
            <w:pPr>
              <w:pStyle w:val="Compact"/>
              <w:spacing w:line="240" w:lineRule="auto" w:after="40"/>
              <w:jc w:val="left"/>
            </w:pPr>
            <w:r>
              <w:rPr>
                <w:rFonts w:ascii="Times New Roman" w:hAnsi="Times New Roman"/>
                <w:sz w:val="20"/>
              </w:rPr>
              <w:t xml:space="preserve">0,22</w:t>
            </w:r>
          </w:p>
        </w:tc>
        <w:tc>
          <w:tcPr/>
          <w:p>
            <w:pPr>
              <w:pStyle w:val="Compact"/>
              <w:spacing w:line="240" w:lineRule="auto" w:after="40"/>
              <w:jc w:val="left"/>
            </w:pPr>
            <w:r>
              <w:rPr>
                <w:rFonts w:ascii="Times New Roman" w:hAnsi="Times New Roman"/>
                <w:sz w:val="20"/>
              </w:rPr>
              <w:t xml:space="preserve">0,06</w:t>
            </w:r>
          </w:p>
        </w:tc>
        <w:tc>
          <w:tcPr/>
          <w:p>
            <w:pPr>
              <w:pStyle w:val="Compact"/>
              <w:spacing w:line="240" w:lineRule="auto" w:after="40"/>
              <w:jc w:val="left"/>
            </w:pPr>
            <w:r>
              <w:rPr>
                <w:bCs/>
                <w:rFonts w:ascii="Times New Roman" w:hAnsi="Times New Roman"/>
                <w:b/>
                <w:sz w:val="20"/>
              </w:rPr>
              <w:t xml:space="preserve">0,03</w:t>
            </w:r>
            <w:r>
              <w:rPr>
                <w:rFonts w:ascii="Times New Roman" w:hAnsi="Times New Roman"/>
                <w:sz w:val="20"/>
              </w:rPr>
              <w:t xml:space="preserve"> </w:t>
            </w:r>
            <w:r>
              <w:rPr>
                <w:rFonts w:ascii="Times New Roman" w:hAnsi="Times New Roman"/>
                <w:sz w:val="20"/>
              </w:rPr>
              <w:t xml:space="preserve">(XGBoost moins bon)</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results/tables/models_dm_tests.csv</w:t>
      </w:r>
      <w:r>
        <w:rPr>
          <w:iCs/>
          <w:i/>
          <w:sz w:val="20"/>
        </w:rPr>
        <w:t xml:space="preserve">).</w:t>
      </w:r>
    </w:p>
    <w:p>
      <w:pPr>
        <w:pStyle w:val="BodyText"/>
      </w:pPr>
      <w:r>
        <w:t xml:space="preserve">Aucune comparaison M1 contre M0 n’est significative : les p-values vont de 0,37 à 0,99. Entre modèles, la seule différence significative au seuil de 5 % va dans le sens contraire de H3 : sur le CAC 40, XGBoost fait moins bien que Ridge.</w:t>
      </w:r>
    </w:p>
    <w:p>
      <w:pPr>
        <w:pStyle w:val="BodyText"/>
      </w:pPr>
      <w:r>
        <w:t xml:space="preserve">Nous avons aussi appliqué la correction de Benjamini et Hochberg aux 18 tests de H1 (M1 et M2 contre M0, trois modèles, trois cibles). La plus petite p-value corrigée vaut 0,81.</w:t>
      </w:r>
    </w:p>
    <w:p>
      <w:pPr>
        <w:pStyle w:val="BodyText"/>
      </w:pPr>
      <w:r>
        <w:drawing>
          <wp:inline>
            <wp:extent cx="5334000" cy="2034643"/>
            <wp:effectExtent b="0" l="0" r="0" t="0"/>
            <wp:docPr descr="" title="" id="76" name="Picture"/>
            <a:graphic>
              <a:graphicData uri="http://schemas.openxmlformats.org/drawingml/2006/picture">
                <pic:pic>
                  <pic:nvPicPr>
                    <pic:cNvPr descr="/home/claude/public-spending-market-prediction/results/figures/fig3_2_rmse_relatif.png" id="77" name="Picture"/>
                    <pic:cNvPicPr>
                      <a:picLocks noChangeArrowheads="1" noChangeAspect="1"/>
                    </pic:cNvPicPr>
                  </pic:nvPicPr>
                  <pic:blipFill>
                    <a:blip r:embed="rId75"/>
                    <a:stretch>
                      <a:fillRect/>
                    </a:stretch>
                  </pic:blipFill>
                  <pic:spPr bwMode="auto">
                    <a:xfrm>
                      <a:off x="0" y="0"/>
                      <a:ext cx="5334000" cy="2034643"/>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3.2 – RMSE relatif à la moyenne historique</w:t>
      </w:r>
    </w:p>
    <w:p>
      <w:pPr>
        <w:pStyle w:val="BodyText"/>
        <w:keepNext w:val="0"/>
        <w:spacing w:line="240" w:lineRule="auto" w:before="40" w:after="240"/>
        <w:jc w:val="left"/>
      </w:pPr>
      <w:r>
        <w:rPr>
          <w:iCs/>
          <w:i/>
          <w:sz w:val="20"/>
        </w:rPr>
        <w:t xml:space="preserve">Source : calculs de l’auteur.</w:t>
      </w:r>
    </w:p>
    <w:bookmarkEnd w:id="78"/>
    <w:bookmarkStart w:id="79" w:name="solidité-des-résultats"/>
    <w:p>
      <w:pPr>
        <w:pStyle w:val="Heading2"/>
      </w:pPr>
      <w:r>
        <w:t xml:space="preserve">3.3 Solidité des résultats</w:t>
      </w:r>
    </w:p>
    <w:p>
      <w:pPr>
        <w:pStyle w:val="FirstParagraph"/>
      </w:pPr>
      <w:r>
        <w:t xml:space="preserve">Quatre contrôles complètent le tableau 3.2. Ils ont été ajoutés lors de la revue du code, après les premiers résultats.</w:t>
      </w:r>
    </w:p>
    <w:p>
      <w:pPr>
        <w:pStyle w:val="BodyText"/>
      </w:pPr>
      <w:r>
        <w:rPr>
          <w:bCs/>
          <w:b/>
        </w:rPr>
        <w:t xml:space="preserve">Graine aléatoire.</w:t>
      </w:r>
      <w:r>
        <w:t xml:space="preserve"> </w:t>
      </w:r>
      <w:r>
        <w:t xml:space="preserve">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w:t>
      </w:r>
    </w:p>
    <w:p>
      <w:pPr>
        <w:pStyle w:val="BodyText"/>
      </w:pPr>
      <w:r>
        <w:rPr>
          <w:bCs/>
          <w:b/>
        </w:rPr>
        <w:t xml:space="preserve">Puissance du test (contrôle positif).</w:t>
      </w:r>
      <w:r>
        <w:t xml:space="preserve"> </w:t>
      </w:r>
      <w:r>
        <w:t xml:space="preserve">Pour savoir si notre dispositif peut détecter un vrai signal, nous avons ajouté à M0 une variable fictive corrélée à la cible (corrélation ρ), avec Ridge et 10 tirages par valeur de ρ (tableau 3.4).</w:t>
      </w:r>
    </w:p>
    <w:p>
      <w:pPr>
        <w:pStyle w:val="BodyText"/>
        <w:keepNext/>
        <w:spacing w:line="240" w:lineRule="auto" w:before="120" w:after="80"/>
        <w:jc w:val="left"/>
      </w:pPr>
      <w:r>
        <w:rPr>
          <w:bCs/>
          <w:b/>
          <w:sz w:val="22"/>
        </w:rPr>
        <w:t xml:space="preserve">Tableau 3.4 – Contrôle positif : part des tirages où le signal est retrouvé (Ridge, 10 tirages)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Corrélation ρ du signal fictif</w:t>
            </w:r>
          </w:p>
        </w:tc>
        <w:tc>
          <w:tcPr>
            <w:shd w:val="clear" w:color="auto" w:fill="E7E6E6"/>
          </w:tcPr>
          <w:p>
            <w:pPr>
              <w:pStyle w:val="Compact"/>
              <w:spacing w:line="240" w:lineRule="auto" w:after="40"/>
              <w:jc w:val="left"/>
            </w:pPr>
            <w:r>
              <w:rPr>
                <w:rFonts w:ascii="Times New Roman" w:hAnsi="Times New Roman"/>
                <w:b/>
                <w:sz w:val="20"/>
              </w:rPr>
              <w:t xml:space="preserve">Bat la moyenne historique</w:t>
            </w:r>
          </w:p>
        </w:tc>
        <w:tc>
          <w:tcPr>
            <w:shd w:val="clear" w:color="auto" w:fill="E7E6E6"/>
          </w:tcPr>
          <w:p>
            <w:pPr>
              <w:pStyle w:val="Compact"/>
              <w:spacing w:line="240" w:lineRule="auto" w:after="40"/>
              <w:jc w:val="left"/>
            </w:pPr>
            <w:r>
              <w:rPr>
                <w:rFonts w:ascii="Times New Roman" w:hAnsi="Times New Roman"/>
                <w:b/>
                <w:sz w:val="20"/>
              </w:rPr>
              <w:t xml:space="preserve">Test DM significatif (5 %)</w:t>
            </w:r>
          </w:p>
        </w:tc>
      </w:tr>
      <w:tr>
        <w:tc>
          <w:tcPr/>
          <w:p>
            <w:pPr>
              <w:pStyle w:val="Compact"/>
              <w:spacing w:line="240" w:lineRule="auto" w:after="40"/>
              <w:jc w:val="left"/>
            </w:pPr>
            <w:r>
              <w:rPr>
                <w:rFonts w:ascii="Times New Roman" w:hAnsi="Times New Roman"/>
                <w:sz w:val="20"/>
              </w:rPr>
              <w:t xml:space="preserve">0,1</w:t>
            </w:r>
          </w:p>
        </w:tc>
        <w:tc>
          <w:tcPr/>
          <w:p>
            <w:pPr>
              <w:pStyle w:val="Compact"/>
              <w:spacing w:line="240" w:lineRule="auto" w:after="40"/>
              <w:jc w:val="left"/>
            </w:pPr>
            <w:r>
              <w:rPr>
                <w:rFonts w:ascii="Times New Roman" w:hAnsi="Times New Roman"/>
                <w:sz w:val="20"/>
              </w:rPr>
              <w:t xml:space="preserve">0 %</w:t>
            </w:r>
          </w:p>
        </w:tc>
        <w:tc>
          <w:tcPr/>
          <w:p>
            <w:pPr>
              <w:pStyle w:val="Compact"/>
              <w:spacing w:line="240" w:lineRule="auto" w:after="40"/>
              <w:jc w:val="left"/>
            </w:pPr>
            <w:r>
              <w:rPr>
                <w:rFonts w:ascii="Times New Roman" w:hAnsi="Times New Roman"/>
                <w:sz w:val="20"/>
              </w:rPr>
              <w:t xml:space="preserve">0 à 10 %</w:t>
            </w:r>
          </w:p>
        </w:tc>
      </w:tr>
      <w:tr>
        <w:tc>
          <w:tcPr/>
          <w:p>
            <w:pPr>
              <w:pStyle w:val="Compact"/>
              <w:spacing w:line="240" w:lineRule="auto" w:after="40"/>
              <w:jc w:val="left"/>
            </w:pPr>
            <w:r>
              <w:rPr>
                <w:rFonts w:ascii="Times New Roman" w:hAnsi="Times New Roman"/>
                <w:sz w:val="20"/>
              </w:rPr>
              <w:t xml:space="preserve">0,2</w:t>
            </w:r>
          </w:p>
        </w:tc>
        <w:tc>
          <w:tcPr/>
          <w:p>
            <w:pPr>
              <w:pStyle w:val="Compact"/>
              <w:spacing w:line="240" w:lineRule="auto" w:after="40"/>
              <w:jc w:val="left"/>
            </w:pPr>
            <w:r>
              <w:rPr>
                <w:rFonts w:ascii="Times New Roman" w:hAnsi="Times New Roman"/>
                <w:sz w:val="20"/>
              </w:rPr>
              <w:t xml:space="preserve">0 à 20 %</w:t>
            </w:r>
          </w:p>
        </w:tc>
        <w:tc>
          <w:tcPr/>
          <w:p>
            <w:pPr>
              <w:pStyle w:val="Compact"/>
              <w:spacing w:line="240" w:lineRule="auto" w:after="40"/>
              <w:jc w:val="left"/>
            </w:pPr>
            <w:r>
              <w:rPr>
                <w:rFonts w:ascii="Times New Roman" w:hAnsi="Times New Roman"/>
                <w:sz w:val="20"/>
              </w:rPr>
              <w:t xml:space="preserve">0 à 30 %</w:t>
            </w:r>
          </w:p>
        </w:tc>
      </w:tr>
      <w:tr>
        <w:tc>
          <w:tcPr/>
          <w:p>
            <w:pPr>
              <w:pStyle w:val="Compact"/>
              <w:spacing w:line="240" w:lineRule="auto" w:after="40"/>
              <w:jc w:val="left"/>
            </w:pPr>
            <w:r>
              <w:rPr>
                <w:rFonts w:ascii="Times New Roman" w:hAnsi="Times New Roman"/>
                <w:sz w:val="20"/>
              </w:rPr>
              <w:t xml:space="preserve">0,3</w:t>
            </w:r>
          </w:p>
        </w:tc>
        <w:tc>
          <w:tcPr/>
          <w:p>
            <w:pPr>
              <w:pStyle w:val="Compact"/>
              <w:spacing w:line="240" w:lineRule="auto" w:after="40"/>
              <w:jc w:val="left"/>
            </w:pPr>
            <w:r>
              <w:rPr>
                <w:rFonts w:ascii="Times New Roman" w:hAnsi="Times New Roman"/>
                <w:sz w:val="20"/>
              </w:rPr>
              <w:t xml:space="preserve">20 à 30 %</w:t>
            </w:r>
          </w:p>
        </w:tc>
        <w:tc>
          <w:tcPr/>
          <w:p>
            <w:pPr>
              <w:pStyle w:val="Compact"/>
              <w:spacing w:line="240" w:lineRule="auto" w:after="40"/>
              <w:jc w:val="left"/>
            </w:pPr>
            <w:r>
              <w:rPr>
                <w:rFonts w:ascii="Times New Roman" w:hAnsi="Times New Roman"/>
                <w:sz w:val="20"/>
              </w:rPr>
              <w:t xml:space="preserve">0 à 50 %</w:t>
            </w:r>
          </w:p>
        </w:tc>
      </w:tr>
      <w:tr>
        <w:tc>
          <w:tcPr/>
          <w:p>
            <w:pPr>
              <w:pStyle w:val="Compact"/>
              <w:spacing w:line="240" w:lineRule="auto" w:after="40"/>
              <w:jc w:val="left"/>
            </w:pPr>
            <w:r>
              <w:rPr>
                <w:rFonts w:ascii="Times New Roman" w:hAnsi="Times New Roman"/>
                <w:sz w:val="20"/>
              </w:rPr>
              <w:t xml:space="preserve">0,5</w:t>
            </w:r>
          </w:p>
        </w:tc>
        <w:tc>
          <w:tcPr/>
          <w:p>
            <w:pPr>
              <w:pStyle w:val="Compact"/>
              <w:spacing w:line="240" w:lineRule="auto" w:after="40"/>
              <w:jc w:val="left"/>
            </w:pPr>
            <w:r>
              <w:rPr>
                <w:rFonts w:ascii="Times New Roman" w:hAnsi="Times New Roman"/>
                <w:sz w:val="20"/>
              </w:rPr>
              <w:t xml:space="preserve">80 à 100 %</w:t>
            </w:r>
          </w:p>
        </w:tc>
        <w:tc>
          <w:tcPr/>
          <w:p>
            <w:pPr>
              <w:pStyle w:val="Compact"/>
              <w:spacing w:line="240" w:lineRule="auto" w:after="40"/>
              <w:jc w:val="left"/>
            </w:pPr>
            <w:r>
              <w:rPr>
                <w:rFonts w:ascii="Times New Roman" w:hAnsi="Times New Roman"/>
                <w:sz w:val="20"/>
              </w:rPr>
              <w:t xml:space="preserve">30 à 80 %</w:t>
            </w:r>
          </w:p>
        </w:tc>
      </w:tr>
      <w:tr>
        <w:tc>
          <w:tcPr/>
          <w:p>
            <w:pPr>
              <w:pStyle w:val="Compact"/>
              <w:spacing w:line="240" w:lineRule="auto" w:after="40"/>
              <w:jc w:val="left"/>
            </w:pPr>
            <w:r>
              <w:rPr>
                <w:rFonts w:ascii="Times New Roman" w:hAnsi="Times New Roman"/>
                <w:sz w:val="20"/>
              </w:rPr>
              <w:t xml:space="preserve">1,0</w:t>
            </w:r>
          </w:p>
        </w:tc>
        <w:tc>
          <w:tcPr/>
          <w:p>
            <w:pPr>
              <w:pStyle w:val="Compact"/>
              <w:spacing w:line="240" w:lineRule="auto" w:after="40"/>
              <w:jc w:val="left"/>
            </w:pPr>
            <w:r>
              <w:rPr>
                <w:rFonts w:ascii="Times New Roman" w:hAnsi="Times New Roman"/>
                <w:sz w:val="20"/>
              </w:rPr>
              <w:t xml:space="preserve">100 %</w:t>
            </w:r>
          </w:p>
        </w:tc>
        <w:tc>
          <w:tcPr/>
          <w:p>
            <w:pPr>
              <w:pStyle w:val="Compact"/>
              <w:spacing w:line="240" w:lineRule="auto" w:after="40"/>
              <w:jc w:val="left"/>
            </w:pPr>
            <w:r>
              <w:rPr>
                <w:rFonts w:ascii="Times New Roman" w:hAnsi="Times New Roman"/>
                <w:sz w:val="20"/>
              </w:rPr>
              <w:t xml:space="preserve">100 %</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results/tables/diag_04/positif.csv</w:t>
      </w:r>
      <w:r>
        <w:rPr>
          <w:iCs/>
          <w:i/>
          <w:sz w:val="20"/>
        </w:rPr>
        <w:t xml:space="preserve">). Plages sur les trois cibles.</w:t>
      </w:r>
    </w:p>
    <w:p>
      <w:pPr>
        <w:pStyle w:val="BodyText"/>
      </w:pPr>
      <w:r>
        <w:t xml:space="preserve">Un signal de corrélation 0,3 avec la cible n’est retrouvé que dans une minorité de tirages. Un signal de corrélation 0,5 bat presque toujours la moyenne, mais le test DM ne le détecte pas toujours.</w:t>
      </w:r>
    </w:p>
    <w:p>
      <w:pPr>
        <w:pStyle w:val="BodyText"/>
      </w:pPr>
      <w:r>
        <w:rPr>
          <w:bCs/>
          <w:b/>
        </w:rPr>
        <w:t xml:space="preserve">Contrôle négatif (variables de bruit).</w:t>
      </w:r>
      <w:r>
        <w:t xml:space="preserve"> </w:t>
      </w:r>
      <w:r>
        <w:t xml:space="preserve">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pPr>
      <w:r>
        <w:rPr>
          <w:bCs/>
          <w:b/>
        </w:rPr>
        <w:t xml:space="preserve">Décalage de publication.</w:t>
      </w:r>
      <w:r>
        <w:t xml:space="preserve"> </w:t>
      </w:r>
      <w:r>
        <w:t xml:space="preserve">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0"/>
        <w:spacing w:line="240" w:lineRule="auto" w:before="40" w:after="240"/>
        <w:jc w:val="left"/>
      </w:pPr>
      <w:r>
        <w:rPr>
          <w:iCs/>
          <w:i/>
          <w:sz w:val="20"/>
        </w:rPr>
        <w:t xml:space="preserve">Source :</w:t>
      </w:r>
      <w:r>
        <w:rPr>
          <w:iCs/>
          <w:i/>
          <w:sz w:val="20"/>
        </w:rPr>
        <w:t xml:space="preserve"> </w:t>
      </w:r>
      <w:r>
        <w:rPr>
          <w:rStyle w:val="VerbatimChar"/>
          <w:iCs/>
          <w:i/>
          <w:sz w:val="20"/>
        </w:rPr>
        <w:t xml:space="preserve">results/tables/diag_04/bruit_*.csv</w:t>
      </w:r>
      <w:r>
        <w:rPr>
          <w:iCs/>
          <w:i/>
          <w:sz w:val="20"/>
        </w:rPr>
        <w:t xml:space="preserve">,</w:t>
      </w:r>
      <w:r>
        <w:rPr>
          <w:iCs/>
          <w:i/>
          <w:sz w:val="20"/>
        </w:rPr>
        <w:t xml:space="preserve"> </w:t>
      </w:r>
      <w:r>
        <w:rPr>
          <w:rStyle w:val="VerbatimChar"/>
          <w:iCs/>
          <w:i/>
          <w:sz w:val="20"/>
        </w:rPr>
        <w:t xml:space="preserve">graines_*.csv</w:t>
      </w:r>
      <w:r>
        <w:rPr>
          <w:iCs/>
          <w:i/>
          <w:sz w:val="20"/>
        </w:rPr>
        <w:t xml:space="preserve"> </w:t>
      </w:r>
      <w:r>
        <w:rPr>
          <w:iCs/>
          <w:i/>
          <w:sz w:val="20"/>
        </w:rPr>
        <w:t xml:space="preserve">et</w:t>
      </w:r>
      <w:r>
        <w:rPr>
          <w:iCs/>
          <w:i/>
          <w:sz w:val="20"/>
        </w:rPr>
        <w:t xml:space="preserve"> </w:t>
      </w:r>
      <w:r>
        <w:rPr>
          <w:rStyle w:val="VerbatimChar"/>
          <w:iCs/>
          <w:i/>
          <w:sz w:val="20"/>
        </w:rPr>
        <w:t xml:space="preserve">results/tables/robustesse_lag.csv</w:t>
      </w:r>
      <w:r>
        <w:rPr>
          <w:iCs/>
          <w:i/>
          <w:sz w:val="20"/>
        </w:rPr>
        <w:t xml:space="preserve">. Le détail des tirages est en annexe.</w:t>
      </w:r>
    </w:p>
    <w:bookmarkEnd w:id="79"/>
    <w:bookmarkStart w:id="83" w:name="importance-des-variables-1"/>
    <w:p>
      <w:pPr>
        <w:pStyle w:val="Heading2"/>
      </w:pPr>
      <w:r>
        <w:t xml:space="preserve">3.4 Importance des variables</w:t>
      </w:r>
    </w:p>
    <w:p>
      <w:pPr>
        <w:pStyle w:val="FirstParagraph"/>
      </w:pPr>
      <w:r>
        <w:t xml:space="preserve">Dans un XGBoost estimé sur tout l’échantillon (jeu M1), les sept variables de dépenses représentent</w:t>
      </w:r>
      <w:r>
        <w:t xml:space="preserve"> </w:t>
      </w:r>
      <w:r>
        <w:rPr>
          <w:bCs/>
          <w:b/>
        </w:rPr>
        <w:t xml:space="preserve">31 à 37 %</w:t>
      </w:r>
      <w:r>
        <w:t xml:space="preserve"> </w:t>
      </w:r>
      <w:r>
        <w:t xml:space="preserve">de l’importance SHAP totale. Les dépenses d’intervention arrivent en tête pour le spread et l’OAT, l’investissement pour le CAC 40.</w:t>
      </w:r>
    </w:p>
    <w:p>
      <w:pPr>
        <w:pStyle w:val="BodyText"/>
      </w:pPr>
      <w:r>
        <w:t xml:space="preserve">Pour juger ce chiffre, nous avons remplacé les sept dépenses par sept variables de pur bruit, tirées au hasard (10 tirages). Ces variables sans aucune information obtiennent en moyenne</w:t>
      </w:r>
      <w:r>
        <w:t xml:space="preserve"> </w:t>
      </w:r>
      <w:r>
        <w:rPr>
          <w:bCs/>
          <w:b/>
        </w:rPr>
        <w:t xml:space="preserve">34 à 38 %</w:t>
      </w:r>
      <w:r>
        <w:t xml:space="preserve"> </w:t>
      </w:r>
      <w:r>
        <w:t xml:space="preserve">de l’importance SHAP.</w:t>
      </w:r>
    </w:p>
    <w:p>
      <w:pPr>
        <w:pStyle w:val="BodyText"/>
        <w:keepNext/>
        <w:spacing w:line="240" w:lineRule="auto" w:before="120" w:after="80"/>
        <w:jc w:val="left"/>
      </w:pPr>
      <w:r>
        <w:rPr>
          <w:bCs/>
          <w:b/>
          <w:sz w:val="22"/>
        </w:rPr>
        <w:t xml:space="preserve">Tableau 3.5 – Part de l’importance SHAP des sept variables ajoutées à M0 (%)</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Variables ajoutées</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Sept dépenses publiques</w:t>
            </w:r>
          </w:p>
        </w:tc>
        <w:tc>
          <w:tcPr/>
          <w:p>
            <w:pPr>
              <w:pStyle w:val="Compact"/>
              <w:spacing w:line="240" w:lineRule="auto" w:after="40"/>
              <w:jc w:val="left"/>
            </w:pPr>
            <w:r>
              <w:rPr>
                <w:rFonts w:ascii="Times New Roman" w:hAnsi="Times New Roman"/>
                <w:sz w:val="20"/>
              </w:rPr>
              <w:t xml:space="preserve">32,8</w:t>
            </w:r>
          </w:p>
        </w:tc>
        <w:tc>
          <w:tcPr/>
          <w:p>
            <w:pPr>
              <w:pStyle w:val="Compact"/>
              <w:spacing w:line="240" w:lineRule="auto" w:after="40"/>
              <w:jc w:val="left"/>
            </w:pPr>
            <w:r>
              <w:rPr>
                <w:rFonts w:ascii="Times New Roman" w:hAnsi="Times New Roman"/>
                <w:sz w:val="20"/>
              </w:rPr>
              <w:t xml:space="preserve">36,8</w:t>
            </w:r>
          </w:p>
        </w:tc>
        <w:tc>
          <w:tcPr/>
          <w:p>
            <w:pPr>
              <w:pStyle w:val="Compact"/>
              <w:spacing w:line="240" w:lineRule="auto" w:after="40"/>
              <w:jc w:val="left"/>
            </w:pPr>
            <w:r>
              <w:rPr>
                <w:rFonts w:ascii="Times New Roman" w:hAnsi="Times New Roman"/>
                <w:sz w:val="20"/>
              </w:rPr>
              <w:t xml:space="preserve">30,6</w:t>
            </w:r>
          </w:p>
        </w:tc>
      </w:tr>
      <w:tr>
        <w:tc>
          <w:tcPr/>
          <w:p>
            <w:pPr>
              <w:pStyle w:val="Compact"/>
              <w:spacing w:line="240" w:lineRule="auto" w:after="40"/>
              <w:jc w:val="left"/>
            </w:pPr>
            <w:r>
              <w:rPr>
                <w:rFonts w:ascii="Times New Roman" w:hAnsi="Times New Roman"/>
                <w:sz w:val="20"/>
              </w:rPr>
              <w:t xml:space="preserve">Sept variables de bruit (moyenne de 10 tirages)</w:t>
            </w:r>
          </w:p>
        </w:tc>
        <w:tc>
          <w:tcPr/>
          <w:p>
            <w:pPr>
              <w:pStyle w:val="Compact"/>
              <w:spacing w:line="240" w:lineRule="auto" w:after="40"/>
              <w:jc w:val="left"/>
            </w:pPr>
            <w:r>
              <w:rPr>
                <w:rFonts w:ascii="Times New Roman" w:hAnsi="Times New Roman"/>
                <w:sz w:val="20"/>
              </w:rPr>
              <w:t xml:space="preserve">38,1</w:t>
            </w:r>
          </w:p>
        </w:tc>
        <w:tc>
          <w:tcPr/>
          <w:p>
            <w:pPr>
              <w:pStyle w:val="Compact"/>
              <w:spacing w:line="240" w:lineRule="auto" w:after="40"/>
              <w:jc w:val="left"/>
            </w:pPr>
            <w:r>
              <w:rPr>
                <w:rFonts w:ascii="Times New Roman" w:hAnsi="Times New Roman"/>
                <w:sz w:val="20"/>
              </w:rPr>
              <w:t xml:space="preserve">34,2</w:t>
            </w:r>
          </w:p>
        </w:tc>
        <w:tc>
          <w:tcPr/>
          <w:p>
            <w:pPr>
              <w:pStyle w:val="Compact"/>
              <w:spacing w:line="240" w:lineRule="auto" w:after="40"/>
              <w:jc w:val="left"/>
            </w:pPr>
            <w:r>
              <w:rPr>
                <w:rFonts w:ascii="Times New Roman" w:hAnsi="Times New Roman"/>
                <w:sz w:val="20"/>
              </w:rPr>
              <w:t xml:space="preserve">37,1</w:t>
            </w:r>
          </w:p>
        </w:tc>
      </w:tr>
      <w:tr>
        <w:tc>
          <w:tcPr/>
          <w:p>
            <w:pPr>
              <w:pStyle w:val="Compact"/>
              <w:spacing w:line="240" w:lineRule="auto" w:after="40"/>
              <w:jc w:val="left"/>
            </w:pPr>
            <w:r>
              <w:rPr>
                <w:rFonts w:ascii="Times New Roman" w:hAnsi="Times New Roman"/>
                <w:sz w:val="20"/>
              </w:rPr>
              <w:t xml:space="preserve">Sept variables de bruit (minimum – maximum)</w:t>
            </w:r>
          </w:p>
        </w:tc>
        <w:tc>
          <w:tcPr/>
          <w:p>
            <w:pPr>
              <w:pStyle w:val="Compact"/>
              <w:spacing w:line="240" w:lineRule="auto" w:after="40"/>
              <w:jc w:val="left"/>
            </w:pPr>
            <w:r>
              <w:rPr>
                <w:rFonts w:ascii="Times New Roman" w:hAnsi="Times New Roman"/>
                <w:sz w:val="20"/>
              </w:rPr>
              <w:t xml:space="preserve">34,3 – 43,5</w:t>
            </w:r>
          </w:p>
        </w:tc>
        <w:tc>
          <w:tcPr/>
          <w:p>
            <w:pPr>
              <w:pStyle w:val="Compact"/>
              <w:spacing w:line="240" w:lineRule="auto" w:after="40"/>
              <w:jc w:val="left"/>
            </w:pPr>
            <w:r>
              <w:rPr>
                <w:rFonts w:ascii="Times New Roman" w:hAnsi="Times New Roman"/>
                <w:sz w:val="20"/>
              </w:rPr>
              <w:t xml:space="preserve">26,5 – 41,6</w:t>
            </w:r>
          </w:p>
        </w:tc>
        <w:tc>
          <w:tcPr/>
          <w:p>
            <w:pPr>
              <w:pStyle w:val="Compact"/>
              <w:spacing w:line="240" w:lineRule="auto" w:after="40"/>
              <w:jc w:val="left"/>
            </w:pPr>
            <w:r>
              <w:rPr>
                <w:rFonts w:ascii="Times New Roman" w:hAnsi="Times New Roman"/>
                <w:sz w:val="20"/>
              </w:rPr>
              <w:t xml:space="preserve">28,6 – 46,8</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results/tables/models_shap_importance.csv</w:t>
      </w:r>
      <w:r>
        <w:rPr>
          <w:iCs/>
          <w:i/>
          <w:sz w:val="20"/>
        </w:rPr>
        <w:t xml:space="preserve">,</w:t>
      </w:r>
      <w:r>
        <w:rPr>
          <w:iCs/>
          <w:i/>
          <w:sz w:val="20"/>
        </w:rPr>
        <w:t xml:space="preserve"> </w:t>
      </w:r>
      <w:r>
        <w:rPr>
          <w:rStyle w:val="VerbatimChar"/>
          <w:iCs/>
          <w:i/>
          <w:sz w:val="20"/>
        </w:rPr>
        <w:t xml:space="preserve">results/tables/diag_04/shap_bruit.csv</w:t>
      </w:r>
      <w:r>
        <w:rPr>
          <w:iCs/>
          <w:i/>
          <w:sz w:val="20"/>
        </w:rPr>
        <w:t xml:space="preserve">).</w:t>
      </w:r>
    </w:p>
    <w:p>
      <w:pPr>
        <w:pStyle w:val="BodyText"/>
      </w:pPr>
      <w:r>
        <w:t xml:space="preserve">Pour l’OAT et le CAC 40, la part des dépenses se situe dans l’intervalle obtenu avec du bruit. Pour le spread, elle est inférieure au plus petit des dix tirages de bruit.</w:t>
      </w:r>
    </w:p>
    <w:p>
      <w:pPr>
        <w:pStyle w:val="BodyText"/>
      </w:pPr>
      <w:r>
        <w:t xml:space="preserve">Une seconde mesure, calculée hors échantillon, a été ajoutée lors de la revue : l’importance par permutation.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results/tables/models_permutation_oos.csv</w:t>
      </w:r>
      <w:r>
        <w:rPr>
          <w:iCs/>
          <w:i/>
          <w:sz w:val="20"/>
        </w:rPr>
        <w:t xml:space="preserve">).</w:t>
      </w:r>
    </w:p>
    <w:p>
      <w:pPr>
        <w:pStyle w:val="BodyText"/>
      </w:pPr>
      <w:r>
        <w:drawing>
          <wp:inline>
            <wp:extent cx="5334000" cy="2078268"/>
            <wp:effectExtent b="0" l="0" r="0" t="0"/>
            <wp:docPr descr="" title="" id="81" name="Picture"/>
            <a:graphic>
              <a:graphicData uri="http://schemas.openxmlformats.org/drawingml/2006/picture">
                <pic:pic>
                  <pic:nvPicPr>
                    <pic:cNvPr descr="/home/claude/public-spending-market-prediction/results/figures/fig3_3_importance_shap.png" id="82" name="Picture"/>
                    <pic:cNvPicPr>
                      <a:picLocks noChangeArrowheads="1" noChangeAspect="1"/>
                    </pic:cNvPicPr>
                  </pic:nvPicPr>
                  <pic:blipFill>
                    <a:blip r:embed="rId80"/>
                    <a:stretch>
                      <a:fillRect/>
                    </a:stretch>
                  </pic:blipFill>
                  <pic:spPr bwMode="auto">
                    <a:xfrm>
                      <a:off x="0" y="0"/>
                      <a:ext cx="5334000" cy="2078268"/>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3.3 – Importance SHAP des variables</w:t>
      </w:r>
    </w:p>
    <w:p>
      <w:pPr>
        <w:pStyle w:val="BodyText"/>
        <w:keepNext w:val="0"/>
        <w:spacing w:line="240" w:lineRule="auto" w:before="40" w:after="240"/>
        <w:jc w:val="left"/>
      </w:pPr>
      <w:r>
        <w:rPr>
          <w:iCs/>
          <w:i/>
          <w:sz w:val="20"/>
        </w:rPr>
        <w:t xml:space="preserve">Source : calculs de l’auteur.</w:t>
      </w:r>
    </w:p>
    <w:bookmarkEnd w:id="83"/>
    <w:bookmarkStart w:id="87" w:name="X61a4d291439392788f28764514cb69606ca960d"/>
    <w:p>
      <w:pPr>
        <w:pStyle w:val="Heading2"/>
      </w:pPr>
      <w:r>
        <w:t xml:space="preserve">3.5 Extensions sur les données françaises (E1 à E13)</w:t>
      </w:r>
    </w:p>
    <w:p>
      <w:pPr>
        <w:pStyle w:val="FirstParagraph"/>
      </w:pPr>
      <w:r>
        <w:t xml:space="preserve">Les treize extensions françaises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Le détail par modèle est en annexe.</w:t>
      </w:r>
    </w:p>
    <w:p>
      <w:pPr>
        <w:pStyle w:val="BodyText"/>
        <w:keepNext/>
        <w:spacing w:line="240" w:lineRule="auto" w:before="120" w:after="80"/>
        <w:jc w:val="left"/>
      </w:pPr>
      <w:r>
        <w:rPr>
          <w:bCs/>
          <w:b/>
          <w:sz w:val="22"/>
        </w:rPr>
        <w:t xml:space="preserve">Tableau 3.6 – Meilleur R² hors échantillon sans / avec dépenses, par extension (%)</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Extension</w:t>
            </w:r>
          </w:p>
        </w:tc>
        <w:tc>
          <w:tcPr>
            <w:shd w:val="clear" w:color="auto" w:fill="E7E6E6"/>
          </w:tcPr>
          <w:p>
            <w:pPr>
              <w:pStyle w:val="Compact"/>
              <w:spacing w:line="240" w:lineRule="auto" w:after="40"/>
              <w:jc w:val="left"/>
            </w:pPr>
            <w:r>
              <w:rPr>
                <w:rFonts w:ascii="Times New Roman" w:hAnsi="Times New Roman"/>
                <w:b/>
                <w:sz w:val="20"/>
              </w:rPr>
              <w:t xml:space="preserve">Δ spread</w:t>
            </w:r>
          </w:p>
        </w:tc>
        <w:tc>
          <w:tcPr>
            <w:shd w:val="clear" w:color="auto" w:fill="E7E6E6"/>
          </w:tcPr>
          <w:p>
            <w:pPr>
              <w:pStyle w:val="Compact"/>
              <w:spacing w:line="240" w:lineRule="auto" w:after="40"/>
              <w:jc w:val="left"/>
            </w:pPr>
            <w:r>
              <w:rPr>
                <w:rFonts w:ascii="Times New Roman" w:hAnsi="Times New Roman"/>
                <w:b/>
                <w:sz w:val="20"/>
              </w:rPr>
              <w:t xml:space="preserve">Δ OAT</w:t>
            </w:r>
          </w:p>
        </w:tc>
        <w:tc>
          <w:tcPr>
            <w:shd w:val="clear" w:color="auto" w:fill="E7E6E6"/>
          </w:tcPr>
          <w:p>
            <w:pPr>
              <w:pStyle w:val="Compact"/>
              <w:spacing w:line="240" w:lineRule="auto" w:after="40"/>
              <w:jc w:val="left"/>
            </w:pPr>
            <w:r>
              <w:rPr>
                <w:rFonts w:ascii="Times New Roman" w:hAnsi="Times New Roman"/>
                <w:b/>
                <w:sz w:val="20"/>
              </w:rPr>
              <w:t xml:space="preserve">CAC 40</w:t>
            </w:r>
          </w:p>
        </w:tc>
      </w:tr>
      <w:tr>
        <w:tc>
          <w:tcPr/>
          <w:p>
            <w:pPr>
              <w:pStyle w:val="Compact"/>
              <w:spacing w:line="240" w:lineRule="auto" w:after="40"/>
              <w:jc w:val="left"/>
            </w:pPr>
            <w:r>
              <w:rPr>
                <w:rFonts w:ascii="Times New Roman" w:hAnsi="Times New Roman"/>
                <w:sz w:val="20"/>
              </w:rPr>
              <w:t xml:space="preserve">Modèle principal (h = 1)</w:t>
            </w:r>
          </w:p>
        </w:tc>
        <w:tc>
          <w:tcPr/>
          <w:p>
            <w:pPr>
              <w:pStyle w:val="Compact"/>
              <w:spacing w:line="240" w:lineRule="auto" w:after="40"/>
              <w:jc w:val="left"/>
            </w:pPr>
            <w:r>
              <w:rPr>
                <w:rFonts w:ascii="Times New Roman" w:hAnsi="Times New Roman"/>
                <w:sz w:val="20"/>
              </w:rPr>
              <w:t xml:space="preserve">-6,8 / -8,4</w:t>
            </w:r>
          </w:p>
        </w:tc>
        <w:tc>
          <w:tcPr/>
          <w:p>
            <w:pPr>
              <w:pStyle w:val="Compact"/>
              <w:spacing w:line="240" w:lineRule="auto" w:after="40"/>
              <w:jc w:val="left"/>
            </w:pPr>
            <w:r>
              <w:rPr>
                <w:rFonts w:ascii="Times New Roman" w:hAnsi="Times New Roman"/>
                <w:sz w:val="20"/>
              </w:rPr>
              <w:t xml:space="preserve">-7,0 / -6,9</w:t>
            </w:r>
          </w:p>
        </w:tc>
        <w:tc>
          <w:tcPr/>
          <w:p>
            <w:pPr>
              <w:pStyle w:val="Compact"/>
              <w:spacing w:line="240" w:lineRule="auto" w:after="40"/>
              <w:jc w:val="left"/>
            </w:pPr>
            <w:r>
              <w:rPr>
                <w:rFonts w:ascii="Times New Roman" w:hAnsi="Times New Roman"/>
                <w:sz w:val="20"/>
              </w:rPr>
              <w:t xml:space="preserve">-1,3 / -3,5</w:t>
            </w:r>
          </w:p>
        </w:tc>
      </w:tr>
      <w:tr>
        <w:tc>
          <w:tcPr/>
          <w:p>
            <w:pPr>
              <w:pStyle w:val="Compact"/>
              <w:spacing w:line="240" w:lineRule="auto" w:after="40"/>
              <w:jc w:val="left"/>
            </w:pPr>
            <w:r>
              <w:rPr>
                <w:rFonts w:ascii="Times New Roman" w:hAnsi="Times New Roman"/>
                <w:sz w:val="20"/>
              </w:rPr>
              <w:t xml:space="preserve">E1 Horizon 3 mois</w:t>
            </w:r>
          </w:p>
        </w:tc>
        <w:tc>
          <w:tcPr/>
          <w:p>
            <w:pPr>
              <w:pStyle w:val="Compact"/>
              <w:spacing w:line="240" w:lineRule="auto" w:after="40"/>
              <w:jc w:val="left"/>
            </w:pPr>
            <w:r>
              <w:rPr>
                <w:rFonts w:ascii="Times New Roman" w:hAnsi="Times New Roman"/>
                <w:sz w:val="20"/>
              </w:rPr>
              <w:t xml:space="preserve">+2,3 / -8,7</w:t>
            </w:r>
          </w:p>
        </w:tc>
        <w:tc>
          <w:tcPr/>
          <w:p>
            <w:pPr>
              <w:pStyle w:val="Compact"/>
              <w:spacing w:line="240" w:lineRule="auto" w:after="40"/>
              <w:jc w:val="left"/>
            </w:pPr>
            <w:r>
              <w:rPr>
                <w:rFonts w:ascii="Times New Roman" w:hAnsi="Times New Roman"/>
                <w:sz w:val="20"/>
              </w:rPr>
              <w:t xml:space="preserve">-2,7 / -7,6</w:t>
            </w:r>
          </w:p>
        </w:tc>
        <w:tc>
          <w:tcPr/>
          <w:p>
            <w:pPr>
              <w:pStyle w:val="Compact"/>
              <w:spacing w:line="240" w:lineRule="auto" w:after="40"/>
              <w:jc w:val="left"/>
            </w:pPr>
            <w:r>
              <w:rPr>
                <w:rFonts w:ascii="Times New Roman" w:hAnsi="Times New Roman"/>
                <w:sz w:val="20"/>
              </w:rPr>
              <w:t xml:space="preserve">-9,1 / -14,7</w:t>
            </w:r>
          </w:p>
        </w:tc>
      </w:tr>
      <w:tr>
        <w:tc>
          <w:tcPr/>
          <w:p>
            <w:pPr>
              <w:pStyle w:val="Compact"/>
              <w:spacing w:line="240" w:lineRule="auto" w:after="40"/>
              <w:jc w:val="left"/>
            </w:pPr>
            <w:r>
              <w:rPr>
                <w:rFonts w:ascii="Times New Roman" w:hAnsi="Times New Roman"/>
                <w:sz w:val="20"/>
              </w:rPr>
              <w:t xml:space="preserve">E1 Horizon 6 mois</w:t>
            </w:r>
          </w:p>
        </w:tc>
        <w:tc>
          <w:tcPr/>
          <w:p>
            <w:pPr>
              <w:pStyle w:val="Compact"/>
              <w:spacing w:line="240" w:lineRule="auto" w:after="40"/>
              <w:jc w:val="left"/>
            </w:pPr>
            <w:r>
              <w:rPr>
                <w:rFonts w:ascii="Times New Roman" w:hAnsi="Times New Roman"/>
                <w:sz w:val="20"/>
              </w:rPr>
              <w:t xml:space="preserve">-12,2 / -20,6</w:t>
            </w:r>
          </w:p>
        </w:tc>
        <w:tc>
          <w:tcPr/>
          <w:p>
            <w:pPr>
              <w:pStyle w:val="Compact"/>
              <w:spacing w:line="240" w:lineRule="auto" w:after="40"/>
              <w:jc w:val="left"/>
            </w:pPr>
            <w:r>
              <w:rPr>
                <w:rFonts w:ascii="Times New Roman" w:hAnsi="Times New Roman"/>
                <w:sz w:val="20"/>
              </w:rPr>
              <w:t xml:space="preserve">-27,5 / -38,0</w:t>
            </w:r>
          </w:p>
        </w:tc>
        <w:tc>
          <w:tcPr/>
          <w:p>
            <w:pPr>
              <w:pStyle w:val="Compact"/>
              <w:spacing w:line="240" w:lineRule="auto" w:after="40"/>
              <w:jc w:val="left"/>
            </w:pPr>
            <w:r>
              <w:rPr>
                <w:rFonts w:ascii="Times New Roman" w:hAnsi="Times New Roman"/>
                <w:sz w:val="20"/>
              </w:rPr>
              <w:t xml:space="preserve">-30,3 / -39,6</w:t>
            </w:r>
          </w:p>
        </w:tc>
      </w:tr>
      <w:tr>
        <w:tc>
          <w:tcPr/>
          <w:p>
            <w:pPr>
              <w:pStyle w:val="Compact"/>
              <w:spacing w:line="240" w:lineRule="auto" w:after="40"/>
              <w:jc w:val="left"/>
            </w:pPr>
            <w:r>
              <w:rPr>
                <w:rFonts w:ascii="Times New Roman" w:hAnsi="Times New Roman"/>
                <w:sz w:val="20"/>
              </w:rPr>
              <w:t xml:space="preserve">E1 Horizon 12 mois</w:t>
            </w:r>
          </w:p>
        </w:tc>
        <w:tc>
          <w:tcPr/>
          <w:p>
            <w:pPr>
              <w:pStyle w:val="Compact"/>
              <w:spacing w:line="240" w:lineRule="auto" w:after="40"/>
              <w:jc w:val="left"/>
            </w:pPr>
            <w:r>
              <w:rPr>
                <w:rFonts w:ascii="Times New Roman" w:hAnsi="Times New Roman"/>
                <w:sz w:val="20"/>
              </w:rPr>
              <w:t xml:space="preserve">-94,0 / -97,3</w:t>
            </w:r>
          </w:p>
        </w:tc>
        <w:tc>
          <w:tcPr/>
          <w:p>
            <w:pPr>
              <w:pStyle w:val="Compact"/>
              <w:spacing w:line="240" w:lineRule="auto" w:after="40"/>
              <w:jc w:val="left"/>
            </w:pPr>
            <w:r>
              <w:rPr>
                <w:rFonts w:ascii="Times New Roman" w:hAnsi="Times New Roman"/>
                <w:sz w:val="20"/>
              </w:rPr>
              <w:t xml:space="preserve">-29,8 / -28,2</w:t>
            </w:r>
          </w:p>
        </w:tc>
        <w:tc>
          <w:tcPr/>
          <w:p>
            <w:pPr>
              <w:pStyle w:val="Compact"/>
              <w:spacing w:line="240" w:lineRule="auto" w:after="40"/>
              <w:jc w:val="left"/>
            </w:pPr>
            <w:r>
              <w:rPr>
                <w:rFonts w:ascii="Times New Roman" w:hAnsi="Times New Roman"/>
                <w:sz w:val="20"/>
              </w:rPr>
              <w:t xml:space="preserve">+11,8 / -16,5</w:t>
            </w:r>
          </w:p>
        </w:tc>
      </w:tr>
      <w:tr>
        <w:tc>
          <w:tcPr/>
          <w:p>
            <w:pPr>
              <w:pStyle w:val="Compact"/>
              <w:spacing w:line="240" w:lineRule="auto" w:after="40"/>
              <w:jc w:val="left"/>
            </w:pPr>
            <w:r>
              <w:rPr>
                <w:rFonts w:ascii="Times New Roman" w:hAnsi="Times New Roman"/>
                <w:sz w:val="20"/>
              </w:rPr>
              <w:t xml:space="preserve">E2 Hausse / baisse (score de Brier)</w:t>
            </w:r>
          </w:p>
        </w:tc>
        <w:tc>
          <w:tcPr/>
          <w:p>
            <w:pPr>
              <w:pStyle w:val="Compact"/>
              <w:spacing w:line="240" w:lineRule="auto" w:after="40"/>
              <w:jc w:val="left"/>
            </w:pPr>
            <w:r>
              <w:rPr>
                <w:rFonts w:ascii="Times New Roman" w:hAnsi="Times New Roman"/>
                <w:sz w:val="20"/>
              </w:rPr>
              <w:t xml:space="preserve">-2,4 / +0,5</w:t>
            </w:r>
          </w:p>
        </w:tc>
        <w:tc>
          <w:tcPr/>
          <w:p>
            <w:pPr>
              <w:pStyle w:val="Compact"/>
              <w:spacing w:line="240" w:lineRule="auto" w:after="40"/>
              <w:jc w:val="left"/>
            </w:pPr>
            <w:r>
              <w:rPr>
                <w:rFonts w:ascii="Times New Roman" w:hAnsi="Times New Roman"/>
                <w:sz w:val="20"/>
              </w:rPr>
              <w:t xml:space="preserve">+2,5 / +5,8</w:t>
            </w:r>
          </w:p>
        </w:tc>
        <w:tc>
          <w:tcPr/>
          <w:p>
            <w:pPr>
              <w:pStyle w:val="Compact"/>
              <w:spacing w:line="240" w:lineRule="auto" w:after="40"/>
              <w:jc w:val="left"/>
            </w:pPr>
            <w:r>
              <w:rPr>
                <w:rFonts w:ascii="Times New Roman" w:hAnsi="Times New Roman"/>
                <w:sz w:val="20"/>
              </w:rPr>
              <w:t xml:space="preserve">-3,7 / -6,8</w:t>
            </w:r>
          </w:p>
        </w:tc>
      </w:tr>
      <w:tr>
        <w:tc>
          <w:tcPr/>
          <w:p>
            <w:pPr>
              <w:pStyle w:val="Compact"/>
              <w:spacing w:line="240" w:lineRule="auto" w:after="40"/>
              <w:jc w:val="left"/>
            </w:pPr>
            <w:r>
              <w:rPr>
                <w:rFonts w:ascii="Times New Roman" w:hAnsi="Times New Roman"/>
                <w:sz w:val="20"/>
              </w:rPr>
              <w:t xml:space="preserve">E3 Volatilité</w:t>
            </w:r>
          </w:p>
        </w:tc>
        <w:tc>
          <w:tcPr/>
          <w:p>
            <w:pPr>
              <w:pStyle w:val="Compact"/>
              <w:spacing w:line="240" w:lineRule="auto" w:after="40"/>
              <w:jc w:val="left"/>
            </w:pPr>
            <w:r>
              <w:rPr>
                <w:rFonts w:ascii="Times New Roman" w:hAnsi="Times New Roman"/>
                <w:sz w:val="20"/>
              </w:rPr>
              <w:t xml:space="preserve">-4,3 / -7,7</w:t>
            </w:r>
          </w:p>
        </w:tc>
        <w:tc>
          <w:tcPr/>
          <w:p>
            <w:pPr>
              <w:pStyle w:val="Compact"/>
              <w:spacing w:line="240" w:lineRule="auto" w:after="40"/>
              <w:jc w:val="left"/>
            </w:pPr>
            <w:r>
              <w:rPr>
                <w:rFonts w:ascii="Times New Roman" w:hAnsi="Times New Roman"/>
                <w:sz w:val="20"/>
              </w:rPr>
              <w:t xml:space="preserve">+3,3 / +4,2</w:t>
            </w:r>
          </w:p>
        </w:tc>
        <w:tc>
          <w:tcPr/>
          <w:p>
            <w:pPr>
              <w:pStyle w:val="Compact"/>
              <w:spacing w:line="240" w:lineRule="auto" w:after="40"/>
              <w:jc w:val="left"/>
            </w:pPr>
            <w:r>
              <w:rPr>
                <w:rFonts w:ascii="Times New Roman" w:hAnsi="Times New Roman"/>
                <w:sz w:val="20"/>
              </w:rPr>
              <w:t xml:space="preserve">+9,6 / +6,4</w:t>
            </w:r>
          </w:p>
        </w:tc>
      </w:tr>
      <w:tr>
        <w:tc>
          <w:tcPr/>
          <w:p>
            <w:pPr>
              <w:pStyle w:val="Compact"/>
              <w:spacing w:line="240" w:lineRule="auto" w:after="40"/>
              <w:jc w:val="left"/>
            </w:pPr>
            <w:r>
              <w:rPr>
                <w:rFonts w:ascii="Times New Roman" w:hAnsi="Times New Roman"/>
                <w:sz w:val="20"/>
              </w:rPr>
              <w:t xml:space="preserve">E4 Surprise budgétaire</w:t>
            </w:r>
          </w:p>
        </w:tc>
        <w:tc>
          <w:tcPr/>
          <w:p>
            <w:pPr>
              <w:pStyle w:val="Compact"/>
              <w:spacing w:line="240" w:lineRule="auto" w:after="40"/>
              <w:jc w:val="left"/>
            </w:pPr>
            <w:r>
              <w:rPr>
                <w:rFonts w:ascii="Times New Roman" w:hAnsi="Times New Roman"/>
                <w:sz w:val="20"/>
              </w:rPr>
              <w:t xml:space="preserve">-6,0 / -11,1</w:t>
            </w:r>
          </w:p>
        </w:tc>
        <w:tc>
          <w:tcPr/>
          <w:p>
            <w:pPr>
              <w:pStyle w:val="Compact"/>
              <w:spacing w:line="240" w:lineRule="auto" w:after="40"/>
              <w:jc w:val="left"/>
            </w:pPr>
            <w:r>
              <w:rPr>
                <w:rFonts w:ascii="Times New Roman" w:hAnsi="Times New Roman"/>
                <w:sz w:val="20"/>
              </w:rPr>
              <w:t xml:space="preserve">-7,1 / -7,2</w:t>
            </w:r>
          </w:p>
        </w:tc>
        <w:tc>
          <w:tcPr/>
          <w:p>
            <w:pPr>
              <w:pStyle w:val="Compact"/>
              <w:spacing w:line="240" w:lineRule="auto" w:after="40"/>
              <w:jc w:val="left"/>
            </w:pPr>
            <w:r>
              <w:rPr>
                <w:rFonts w:ascii="Times New Roman" w:hAnsi="Times New Roman"/>
                <w:sz w:val="20"/>
              </w:rPr>
              <w:t xml:space="preserve">-1,4 / -0,4</w:t>
            </w:r>
          </w:p>
        </w:tc>
      </w:tr>
      <w:tr>
        <w:tc>
          <w:tcPr/>
          <w:p>
            <w:pPr>
              <w:pStyle w:val="Compact"/>
              <w:spacing w:line="240" w:lineRule="auto" w:after="40"/>
              <w:jc w:val="left"/>
            </w:pPr>
            <w:r>
              <w:rPr>
                <w:rFonts w:ascii="Times New Roman" w:hAnsi="Times New Roman"/>
                <w:sz w:val="20"/>
              </w:rPr>
              <w:t xml:space="preserve">E5 Interactions avec le régime de taux</w:t>
            </w:r>
          </w:p>
        </w:tc>
        <w:tc>
          <w:tcPr/>
          <w:p>
            <w:pPr>
              <w:pStyle w:val="Compact"/>
              <w:spacing w:line="240" w:lineRule="auto" w:after="40"/>
              <w:jc w:val="left"/>
            </w:pPr>
            <w:r>
              <w:rPr>
                <w:rFonts w:ascii="Times New Roman" w:hAnsi="Times New Roman"/>
                <w:sz w:val="20"/>
              </w:rPr>
              <w:t xml:space="preserve">-14,0 / -29,5</w:t>
            </w:r>
          </w:p>
        </w:tc>
        <w:tc>
          <w:tcPr/>
          <w:p>
            <w:pPr>
              <w:pStyle w:val="Compact"/>
              <w:spacing w:line="240" w:lineRule="auto" w:after="40"/>
              <w:jc w:val="left"/>
            </w:pPr>
            <w:r>
              <w:rPr>
                <w:rFonts w:ascii="Times New Roman" w:hAnsi="Times New Roman"/>
                <w:sz w:val="20"/>
              </w:rPr>
              <w:t xml:space="preserve">-12,2 / -19,0</w:t>
            </w:r>
          </w:p>
        </w:tc>
        <w:tc>
          <w:tcPr/>
          <w:p>
            <w:pPr>
              <w:pStyle w:val="Compact"/>
              <w:spacing w:line="240" w:lineRule="auto" w:after="40"/>
              <w:jc w:val="left"/>
            </w:pPr>
            <w:r>
              <w:rPr>
                <w:rFonts w:ascii="Times New Roman" w:hAnsi="Times New Roman"/>
                <w:sz w:val="20"/>
              </w:rPr>
              <w:t xml:space="preserve">-4,8 / -13,7</w:t>
            </w:r>
          </w:p>
        </w:tc>
      </w:tr>
      <w:tr>
        <w:tc>
          <w:tcPr/>
          <w:p>
            <w:pPr>
              <w:pStyle w:val="Compact"/>
              <w:spacing w:line="240" w:lineRule="auto" w:after="40"/>
              <w:jc w:val="left"/>
            </w:pPr>
            <w:r>
              <w:rPr>
                <w:rFonts w:ascii="Times New Roman" w:hAnsi="Times New Roman"/>
                <w:sz w:val="20"/>
              </w:rPr>
              <w:t xml:space="preserve">E6 Variables réduites / ACP</w:t>
            </w:r>
          </w:p>
        </w:tc>
        <w:tc>
          <w:tcPr/>
          <w:p>
            <w:pPr>
              <w:pStyle w:val="Compact"/>
              <w:spacing w:line="240" w:lineRule="auto" w:after="40"/>
              <w:jc w:val="left"/>
            </w:pPr>
            <w:r>
              <w:rPr>
                <w:rFonts w:ascii="Times New Roman" w:hAnsi="Times New Roman"/>
                <w:sz w:val="20"/>
              </w:rPr>
              <w:t xml:space="preserve">-5,3 / -4,7</w:t>
            </w:r>
          </w:p>
        </w:tc>
        <w:tc>
          <w:tcPr/>
          <w:p>
            <w:pPr>
              <w:pStyle w:val="Compact"/>
              <w:spacing w:line="240" w:lineRule="auto" w:after="40"/>
              <w:jc w:val="left"/>
            </w:pPr>
            <w:r>
              <w:rPr>
                <w:rFonts w:ascii="Times New Roman" w:hAnsi="Times New Roman"/>
                <w:sz w:val="20"/>
              </w:rPr>
              <w:t xml:space="preserve">-5,7 / -4,6</w:t>
            </w:r>
          </w:p>
        </w:tc>
        <w:tc>
          <w:tcPr/>
          <w:p>
            <w:pPr>
              <w:pStyle w:val="Compact"/>
              <w:spacing w:line="240" w:lineRule="auto" w:after="40"/>
              <w:jc w:val="left"/>
            </w:pPr>
            <w:r>
              <w:rPr>
                <w:rFonts w:ascii="Times New Roman" w:hAnsi="Times New Roman"/>
                <w:sz w:val="20"/>
              </w:rPr>
              <w:t xml:space="preserve">-3,6 / -2,6</w:t>
            </w:r>
          </w:p>
        </w:tc>
      </w:tr>
      <w:tr>
        <w:tc>
          <w:tcPr/>
          <w:p>
            <w:pPr>
              <w:pStyle w:val="Compact"/>
              <w:spacing w:line="240" w:lineRule="auto" w:after="40"/>
              <w:jc w:val="left"/>
            </w:pPr>
            <w:r>
              <w:rPr>
                <w:rFonts w:ascii="Times New Roman" w:hAnsi="Times New Roman"/>
                <w:sz w:val="20"/>
              </w:rPr>
              <w:t xml:space="preserve">E7 Prévisions tempérées</w:t>
            </w:r>
          </w:p>
        </w:tc>
        <w:tc>
          <w:tcPr/>
          <w:p>
            <w:pPr>
              <w:pStyle w:val="Compact"/>
              <w:spacing w:line="240" w:lineRule="auto" w:after="40"/>
              <w:jc w:val="left"/>
            </w:pPr>
            <w:r>
              <w:rPr>
                <w:rFonts w:ascii="Times New Roman" w:hAnsi="Times New Roman"/>
                <w:sz w:val="20"/>
              </w:rPr>
              <w:t xml:space="preserve">-1,5 / -2,8</w:t>
            </w:r>
          </w:p>
        </w:tc>
        <w:tc>
          <w:tcPr/>
          <w:p>
            <w:pPr>
              <w:pStyle w:val="Compact"/>
              <w:spacing w:line="240" w:lineRule="auto" w:after="40"/>
              <w:jc w:val="left"/>
            </w:pPr>
            <w:r>
              <w:rPr>
                <w:rFonts w:ascii="Times New Roman" w:hAnsi="Times New Roman"/>
                <w:sz w:val="20"/>
              </w:rPr>
              <w:t xml:space="preserve">0,0 / +0,1</w:t>
            </w:r>
          </w:p>
        </w:tc>
        <w:tc>
          <w:tcPr/>
          <w:p>
            <w:pPr>
              <w:pStyle w:val="Compact"/>
              <w:spacing w:line="240" w:lineRule="auto" w:after="40"/>
              <w:jc w:val="left"/>
            </w:pPr>
            <w:r>
              <w:rPr>
                <w:rFonts w:ascii="Times New Roman" w:hAnsi="Times New Roman"/>
                <w:sz w:val="20"/>
              </w:rPr>
              <w:t xml:space="preserve">-0,6 / -1,6</w:t>
            </w:r>
          </w:p>
        </w:tc>
      </w:tr>
      <w:tr>
        <w:tc>
          <w:tcPr/>
          <w:p>
            <w:pPr>
              <w:pStyle w:val="Compact"/>
              <w:spacing w:line="240" w:lineRule="auto" w:after="40"/>
              <w:jc w:val="left"/>
            </w:pPr>
            <w:r>
              <w:rPr>
                <w:rFonts w:ascii="Times New Roman" w:hAnsi="Times New Roman"/>
                <w:sz w:val="20"/>
              </w:rPr>
              <w:t xml:space="preserve">E8 Combinaison des modèles</w:t>
            </w:r>
          </w:p>
        </w:tc>
        <w:tc>
          <w:tcPr/>
          <w:p>
            <w:pPr>
              <w:pStyle w:val="Compact"/>
              <w:spacing w:line="240" w:lineRule="auto" w:after="40"/>
              <w:jc w:val="left"/>
            </w:pPr>
            <w:r>
              <w:rPr>
                <w:rFonts w:ascii="Times New Roman" w:hAnsi="Times New Roman"/>
                <w:sz w:val="20"/>
              </w:rPr>
              <w:t xml:space="preserve">-3,5 / -4,3</w:t>
            </w:r>
          </w:p>
        </w:tc>
        <w:tc>
          <w:tcPr/>
          <w:p>
            <w:pPr>
              <w:pStyle w:val="Compact"/>
              <w:spacing w:line="240" w:lineRule="auto" w:after="40"/>
              <w:jc w:val="left"/>
            </w:pPr>
            <w:r>
              <w:rPr>
                <w:rFonts w:ascii="Times New Roman" w:hAnsi="Times New Roman"/>
                <w:sz w:val="20"/>
              </w:rPr>
              <w:t xml:space="preserve">-1,8 / -2,0</w:t>
            </w:r>
          </w:p>
        </w:tc>
        <w:tc>
          <w:tcPr/>
          <w:p>
            <w:pPr>
              <w:pStyle w:val="Compact"/>
              <w:spacing w:line="240" w:lineRule="auto" w:after="40"/>
              <w:jc w:val="left"/>
            </w:pPr>
            <w:r>
              <w:rPr>
                <w:rFonts w:ascii="Times New Roman" w:hAnsi="Times New Roman"/>
                <w:sz w:val="20"/>
              </w:rPr>
              <w:t xml:space="preserve">-3,9 / -4,2</w:t>
            </w:r>
          </w:p>
        </w:tc>
      </w:tr>
      <w:tr>
        <w:tc>
          <w:tcPr/>
          <w:p>
            <w:pPr>
              <w:pStyle w:val="Compact"/>
              <w:spacing w:line="240" w:lineRule="auto" w:after="40"/>
              <w:jc w:val="left"/>
            </w:pPr>
            <w:r>
              <w:rPr>
                <w:rFonts w:ascii="Times New Roman" w:hAnsi="Times New Roman"/>
                <w:sz w:val="20"/>
              </w:rPr>
              <w:t xml:space="preserve">E9 Elastic Net</w:t>
            </w:r>
          </w:p>
        </w:tc>
        <w:tc>
          <w:tcPr/>
          <w:p>
            <w:pPr>
              <w:pStyle w:val="Compact"/>
              <w:spacing w:line="240" w:lineRule="auto" w:after="40"/>
              <w:jc w:val="left"/>
            </w:pPr>
            <w:r>
              <w:rPr>
                <w:rFonts w:ascii="Times New Roman" w:hAnsi="Times New Roman"/>
                <w:sz w:val="20"/>
              </w:rPr>
              <w:t xml:space="preserve">-2,7 / -4,9</w:t>
            </w:r>
          </w:p>
        </w:tc>
        <w:tc>
          <w:tcPr/>
          <w:p>
            <w:pPr>
              <w:pStyle w:val="Compact"/>
              <w:spacing w:line="240" w:lineRule="auto" w:after="40"/>
              <w:jc w:val="left"/>
            </w:pPr>
            <w:r>
              <w:rPr>
                <w:rFonts w:ascii="Times New Roman" w:hAnsi="Times New Roman"/>
                <w:sz w:val="20"/>
              </w:rPr>
              <w:t xml:space="preserve">-6,7 / -7,7</w:t>
            </w:r>
          </w:p>
        </w:tc>
        <w:tc>
          <w:tcPr/>
          <w:p>
            <w:pPr>
              <w:pStyle w:val="Compact"/>
              <w:spacing w:line="240" w:lineRule="auto" w:after="40"/>
              <w:jc w:val="left"/>
            </w:pPr>
            <w:r>
              <w:rPr>
                <w:rFonts w:ascii="Times New Roman" w:hAnsi="Times New Roman"/>
                <w:sz w:val="20"/>
              </w:rPr>
              <w:t xml:space="preserve">-0,3 / -3,8</w:t>
            </w:r>
          </w:p>
        </w:tc>
      </w:tr>
      <w:tr>
        <w:tc>
          <w:tcPr/>
          <w:p>
            <w:pPr>
              <w:pStyle w:val="Compact"/>
              <w:spacing w:line="240" w:lineRule="auto" w:after="40"/>
              <w:jc w:val="left"/>
            </w:pPr>
            <w:r>
              <w:rPr>
                <w:rFonts w:ascii="Times New Roman" w:hAnsi="Times New Roman"/>
                <w:sz w:val="20"/>
              </w:rPr>
              <w:t xml:space="preserve">E10 XGBoost réglé</w:t>
            </w:r>
          </w:p>
        </w:tc>
        <w:tc>
          <w:tcPr/>
          <w:p>
            <w:pPr>
              <w:pStyle w:val="Compact"/>
              <w:spacing w:line="240" w:lineRule="auto" w:after="40"/>
              <w:jc w:val="left"/>
            </w:pPr>
            <w:r>
              <w:rPr>
                <w:rFonts w:ascii="Times New Roman" w:hAnsi="Times New Roman"/>
                <w:sz w:val="20"/>
              </w:rPr>
              <w:t xml:space="preserve">-4,4 / -6,2</w:t>
            </w:r>
          </w:p>
        </w:tc>
        <w:tc>
          <w:tcPr/>
          <w:p>
            <w:pPr>
              <w:pStyle w:val="Compact"/>
              <w:spacing w:line="240" w:lineRule="auto" w:after="40"/>
              <w:jc w:val="left"/>
            </w:pPr>
            <w:r>
              <w:rPr>
                <w:rFonts w:ascii="Times New Roman" w:hAnsi="Times New Roman"/>
                <w:sz w:val="20"/>
              </w:rPr>
              <w:t xml:space="preserve">-4,8 / -5,4</w:t>
            </w:r>
          </w:p>
        </w:tc>
        <w:tc>
          <w:tcPr/>
          <w:p>
            <w:pPr>
              <w:pStyle w:val="Compact"/>
              <w:spacing w:line="240" w:lineRule="auto" w:after="40"/>
              <w:jc w:val="left"/>
            </w:pPr>
            <w:r>
              <w:rPr>
                <w:rFonts w:ascii="Times New Roman" w:hAnsi="Times New Roman"/>
                <w:sz w:val="20"/>
              </w:rPr>
              <w:t xml:space="preserve">-6,2 / -3,0</w:t>
            </w:r>
          </w:p>
        </w:tc>
      </w:tr>
      <w:tr>
        <w:tc>
          <w:tcPr/>
          <w:p>
            <w:pPr>
              <w:pStyle w:val="Compact"/>
              <w:spacing w:line="240" w:lineRule="auto" w:after="40"/>
              <w:jc w:val="left"/>
            </w:pPr>
            <w:r>
              <w:rPr>
                <w:rFonts w:ascii="Times New Roman" w:hAnsi="Times New Roman"/>
                <w:sz w:val="20"/>
              </w:rPr>
              <w:t xml:space="preserve">E11 Fenêtre glissante de 60 mois</w:t>
            </w:r>
          </w:p>
        </w:tc>
        <w:tc>
          <w:tcPr/>
          <w:p>
            <w:pPr>
              <w:pStyle w:val="Compact"/>
              <w:spacing w:line="240" w:lineRule="auto" w:after="40"/>
              <w:jc w:val="left"/>
            </w:pPr>
            <w:r>
              <w:rPr>
                <w:rFonts w:ascii="Times New Roman" w:hAnsi="Times New Roman"/>
                <w:sz w:val="20"/>
              </w:rPr>
              <w:t xml:space="preserve">-6,2 / -8,9</w:t>
            </w:r>
          </w:p>
        </w:tc>
        <w:tc>
          <w:tcPr/>
          <w:p>
            <w:pPr>
              <w:pStyle w:val="Compact"/>
              <w:spacing w:line="240" w:lineRule="auto" w:after="40"/>
              <w:jc w:val="left"/>
            </w:pPr>
            <w:r>
              <w:rPr>
                <w:rFonts w:ascii="Times New Roman" w:hAnsi="Times New Roman"/>
                <w:sz w:val="20"/>
              </w:rPr>
              <w:t xml:space="preserve">-8,7 / -10,4</w:t>
            </w:r>
          </w:p>
        </w:tc>
        <w:tc>
          <w:tcPr/>
          <w:p>
            <w:pPr>
              <w:pStyle w:val="Compact"/>
              <w:spacing w:line="240" w:lineRule="auto" w:after="40"/>
              <w:jc w:val="left"/>
            </w:pPr>
            <w:r>
              <w:rPr>
                <w:rFonts w:ascii="Times New Roman" w:hAnsi="Times New Roman"/>
                <w:sz w:val="20"/>
              </w:rPr>
              <w:t xml:space="preserve">-4,0 / -7,5</w:t>
            </w:r>
          </w:p>
        </w:tc>
      </w:tr>
      <w:tr>
        <w:tc>
          <w:tcPr/>
          <w:p>
            <w:pPr>
              <w:pStyle w:val="Compact"/>
              <w:spacing w:line="240" w:lineRule="auto" w:after="40"/>
              <w:jc w:val="left"/>
            </w:pPr>
            <w:r>
              <w:rPr>
                <w:rFonts w:ascii="Times New Roman" w:hAnsi="Times New Roman"/>
                <w:sz w:val="20"/>
              </w:rPr>
              <w:t xml:space="preserve">E13 Notations souveraines</w:t>
            </w:r>
          </w:p>
        </w:tc>
        <w:tc>
          <w:tcPr/>
          <w:p>
            <w:pPr>
              <w:pStyle w:val="Compact"/>
              <w:spacing w:line="240" w:lineRule="auto" w:after="40"/>
              <w:jc w:val="left"/>
            </w:pPr>
            <w:r>
              <w:rPr>
                <w:rFonts w:ascii="Times New Roman" w:hAnsi="Times New Roman"/>
                <w:sz w:val="20"/>
              </w:rPr>
              <w:t xml:space="preserve">-5,7 / -8,6</w:t>
            </w:r>
          </w:p>
        </w:tc>
        <w:tc>
          <w:tcPr/>
          <w:p>
            <w:pPr>
              <w:pStyle w:val="Compact"/>
              <w:spacing w:line="240" w:lineRule="auto" w:after="40"/>
              <w:jc w:val="left"/>
            </w:pPr>
            <w:r>
              <w:rPr>
                <w:rFonts w:ascii="Times New Roman" w:hAnsi="Times New Roman"/>
                <w:sz w:val="20"/>
              </w:rPr>
              <w:t xml:space="preserve">-5,2 / -6,8</w:t>
            </w:r>
          </w:p>
        </w:tc>
        <w:tc>
          <w:tcPr/>
          <w:p>
            <w:pPr>
              <w:pStyle w:val="Compact"/>
              <w:spacing w:line="240" w:lineRule="auto" w:after="40"/>
              <w:jc w:val="left"/>
            </w:pPr>
            <w:r>
              <w:rPr>
                <w:rFonts w:ascii="Times New Roman" w:hAnsi="Times New Roman"/>
                <w:sz w:val="20"/>
              </w:rPr>
              <w:t xml:space="preserve">0,0 / -10,7</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results/tables/ext_synthese.csv</w:t>
      </w:r>
      <w:r>
        <w:rPr>
          <w:iCs/>
          <w:i/>
          <w:sz w:val="20"/>
        </w:rPr>
        <w:t xml:space="preserve">). Test de janvier 2020 à juillet 2026 (E4 : jusqu’à février 2026). E2 : amélioration du score de Brier par rapport à la fréquence historique. Pour E2, E3 et E7, la référence est différente de celle du tableau 3.2.</w:t>
      </w:r>
    </w:p>
    <w:p>
      <w:pPr>
        <w:pStyle w:val="BodyText"/>
      </w:pPr>
      <w:r>
        <w:t xml:space="preserve">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pPr>
      <w:r>
        <w:t xml:space="preserve">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pPr>
      <w:r>
        <w:rPr>
          <w:bCs/>
          <w:b/>
        </w:rPr>
        <w:t xml:space="preserve">Correction pour tests multiples.</w:t>
      </w:r>
      <w:r>
        <w:t xml:space="preserve"> </w:t>
      </w:r>
      <w:r>
        <w:t xml:space="preserve">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pPr>
      <w:r>
        <w:drawing>
          <wp:inline>
            <wp:extent cx="5334000" cy="3836232"/>
            <wp:effectExtent b="0" l="0" r="0" t="0"/>
            <wp:docPr descr="" title="" id="85" name="Picture"/>
            <a:graphic>
              <a:graphicData uri="http://schemas.openxmlformats.org/drawingml/2006/picture">
                <pic:pic>
                  <pic:nvPicPr>
                    <pic:cNvPr descr="/home/claude/public-spending-market-prediction/results/figures/fig3_5_extensions.png" id="86" name="Picture"/>
                    <pic:cNvPicPr>
                      <a:picLocks noChangeArrowheads="1" noChangeAspect="1"/>
                    </pic:cNvPicPr>
                  </pic:nvPicPr>
                  <pic:blipFill>
                    <a:blip r:embed="rId84"/>
                    <a:stretch>
                      <a:fillRect/>
                    </a:stretch>
                  </pic:blipFill>
                  <pic:spPr bwMode="auto">
                    <a:xfrm>
                      <a:off x="0" y="0"/>
                      <a:ext cx="5334000" cy="3836232"/>
                    </a:xfrm>
                    <a:prstGeom prst="rect">
                      <a:avLst/>
                    </a:prstGeom>
                    <a:noFill/>
                    <a:ln w="9525">
                      <a:noFill/>
                      <a:headEnd/>
                      <a:tailEnd/>
                    </a:ln>
                  </pic:spPr>
                </pic:pic>
              </a:graphicData>
            </a:graphic>
          </wp:inline>
        </w:drawing>
      </w:r>
    </w:p>
    <w:p>
      <w:pPr>
        <w:pStyle w:val="BodyText"/>
        <w:keepNext w:val="0"/>
        <w:spacing w:line="240" w:lineRule="auto" w:before="40" w:after="240"/>
        <w:jc w:val="left"/>
      </w:pPr>
      <w:r>
        <w:rPr>
          <w:bCs/>
          <w:b/>
          <w:sz w:val="22"/>
        </w:rPr>
        <w:t xml:space="preserve">Figure 3.4 – Synthèse des extensions</w:t>
      </w:r>
    </w:p>
    <w:p>
      <w:pPr>
        <w:pStyle w:val="BodyText"/>
        <w:keepNext w:val="0"/>
        <w:spacing w:line="240" w:lineRule="auto" w:before="40" w:after="240"/>
        <w:jc w:val="left"/>
      </w:pPr>
      <w:r>
        <w:rPr>
          <w:iCs/>
          <w:i/>
          <w:sz w:val="20"/>
        </w:rPr>
        <w:t xml:space="preserve">Source : calculs de l’auteur.</w:t>
      </w:r>
    </w:p>
    <w:bookmarkEnd w:id="87"/>
    <w:bookmarkStart w:id="88" w:name="X98da76a2dfe6287c3d8c5b97d63fcea983b716d"/>
    <w:p>
      <w:pPr>
        <w:pStyle w:val="Heading2"/>
      </w:pPr>
      <w:r>
        <w:t xml:space="preserve">3.6 Panel européen et marche aléatoire (E15 à E18)</w:t>
      </w:r>
    </w:p>
    <w:p>
      <w:pPr>
        <w:pStyle w:val="FirstParagraph"/>
      </w:pPr>
      <w:r>
        <w:t xml:space="preserve">Les extensions E15 à E18 utilisent un panel de cinq pays (France, Italie, Espagne, Portugal, Belgique), avec des finances publiques harmonisées par Eurostat. La cible est le spread de chaque pays face au Bund.</w:t>
      </w:r>
    </w:p>
    <w:p>
      <w:pPr>
        <w:pStyle w:val="BodyText"/>
      </w:pPr>
      <w:r>
        <w:rPr>
          <w:bCs/>
          <w:b/>
        </w:rPr>
        <w:t xml:space="preserve">E15 – panel trimestriel.</w:t>
      </w:r>
      <w:r>
        <w:t xml:space="preserve"> </w:t>
      </w:r>
      <w:r>
        <w:t xml:space="preserve">Sur 330 prévisions (2010T1 à 2026T2), Ridge obtient +13,9 % sans dépenses et +15,5 % avec dépenses (p = 0,37). Un diagnostic complémentaire, non prévu au départ, montre que la cible en moyenne trimestrielle est autocorrélée (0,32, contre 0,07 pour le spread de fin de trimestre). Avec le spread de fin de trimestre, les deux R² deviennent négatifs : -4,1 % sans dépenses et -2,9 % avec.</w:t>
      </w:r>
    </w:p>
    <w:p>
      <w:pPr>
        <w:pStyle w:val="BodyText"/>
      </w:pPr>
      <w:r>
        <w:rPr>
          <w:bCs/>
          <w:b/>
        </w:rPr>
        <w:t xml:space="preserve">E16 – réplication élargie de Bouillot et al. (2025).</w:t>
      </w:r>
      <w:r>
        <w:t xml:space="preserve"> </w:t>
      </w:r>
      <w:r>
        <w:t xml:space="preserve">Le panel mensuel compte 150 variables, dont 18 de finances publiques, et 874 prévisions. Sur le</w:t>
      </w:r>
      <w:r>
        <w:t xml:space="preserve"> </w:t>
      </w:r>
      <w:r>
        <w:rPr>
          <w:bCs/>
          <w:b/>
        </w:rPr>
        <w:t xml:space="preserve">niveau</w:t>
      </w:r>
      <w:r>
        <w:t xml:space="preserve"> </w:t>
      </w:r>
      <w:r>
        <w:t xml:space="preserve">du spread, le R² par rapport à la moyenne atteint 90 à 97 %. Mais tous les modèles font moins bien que la marche aléatoire, qui prévoit le spread du mois dernier (tableau 3.7). Sur la</w:t>
      </w:r>
      <w:r>
        <w:t xml:space="preserve"> </w:t>
      </w:r>
      <w:r>
        <w:rPr>
          <w:bCs/>
          <w:b/>
        </w:rPr>
        <w:t xml:space="preserve">variation</w:t>
      </w:r>
      <w:r>
        <w:t xml:space="preserve"> </w:t>
      </w:r>
      <w:r>
        <w:t xml:space="preserve">du spread, le R² est négatif pour tous les modèles. Les finances publiques n’améliorent aucune prévision (p de 0,08 à 0,88).</w:t>
      </w:r>
    </w:p>
    <w:p>
      <w:pPr>
        <w:pStyle w:val="BodyText"/>
        <w:keepNext/>
        <w:spacing w:line="240" w:lineRule="auto" w:before="120" w:after="80"/>
        <w:jc w:val="left"/>
      </w:pPr>
      <w:r>
        <w:rPr>
          <w:bCs/>
          <w:b/>
          <w:sz w:val="22"/>
        </w:rPr>
        <w:t xml:space="preserve">Tableau 3.7 – E16 : niveau du spread, comparaison à la marche aléatoire (avec finances publiques)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Modèle</w:t>
            </w:r>
          </w:p>
        </w:tc>
        <w:tc>
          <w:tcPr>
            <w:shd w:val="clear" w:color="auto" w:fill="E7E6E6"/>
          </w:tcPr>
          <w:p>
            <w:pPr>
              <w:pStyle w:val="Compact"/>
              <w:spacing w:line="240" w:lineRule="auto" w:after="40"/>
              <w:jc w:val="left"/>
            </w:pPr>
            <w:r>
              <w:rPr>
                <w:rFonts w:ascii="Times New Roman" w:hAnsi="Times New Roman"/>
                <w:b/>
                <w:sz w:val="20"/>
              </w:rPr>
              <w:t xml:space="preserve">R² vs moyenne (%)</w:t>
            </w:r>
          </w:p>
        </w:tc>
        <w:tc>
          <w:tcPr>
            <w:shd w:val="clear" w:color="auto" w:fill="E7E6E6"/>
          </w:tcPr>
          <w:p>
            <w:pPr>
              <w:pStyle w:val="Compact"/>
              <w:spacing w:line="240" w:lineRule="auto" w:after="40"/>
              <w:jc w:val="left"/>
            </w:pPr>
            <w:r>
              <w:rPr>
                <w:rFonts w:ascii="Times New Roman" w:hAnsi="Times New Roman"/>
                <w:b/>
                <w:sz w:val="20"/>
              </w:rPr>
              <w:t xml:space="preserve">Gain vs marche aléatoire (%)</w:t>
            </w:r>
          </w:p>
        </w:tc>
        <w:tc>
          <w:tcPr>
            <w:shd w:val="clear" w:color="auto" w:fill="E7E6E6"/>
          </w:tcPr>
          <w:p>
            <w:pPr>
              <w:pStyle w:val="Compact"/>
              <w:spacing w:line="240" w:lineRule="auto" w:after="40"/>
              <w:jc w:val="left"/>
            </w:pPr>
            <w:r>
              <w:rPr>
                <w:rFonts w:ascii="Times New Roman" w:hAnsi="Times New Roman"/>
                <w:b/>
                <w:sz w:val="20"/>
              </w:rPr>
              <w:t xml:space="preserve">RMSE (pb)</w:t>
            </w:r>
          </w:p>
        </w:tc>
      </w:tr>
      <w:tr>
        <w:tc>
          <w:tcPr/>
          <w:p>
            <w:pPr>
              <w:pStyle w:val="Compact"/>
              <w:spacing w:line="240" w:lineRule="auto" w:after="40"/>
              <w:jc w:val="left"/>
            </w:pPr>
            <w:r>
              <w:rPr>
                <w:rFonts w:ascii="Times New Roman" w:hAnsi="Times New Roman"/>
                <w:sz w:val="20"/>
              </w:rPr>
              <w:t xml:space="preserve">Marche aléatoire</w:t>
            </w:r>
          </w:p>
        </w:tc>
        <w:tc>
          <w:tcPr/>
          <w:p>
            <w:pPr>
              <w:pStyle w:val="Compact"/>
              <w:spacing w:line="240" w:lineRule="auto" w:after="40"/>
              <w:jc w:val="left"/>
            </w:pPr>
            <w:r>
              <w:rPr>
                <w:rFonts w:ascii="Times New Roman" w:hAnsi="Times New Roman"/>
                <w:sz w:val="20"/>
              </w:rPr>
              <w:t xml:space="preserve">—</w:t>
            </w:r>
          </w:p>
        </w:tc>
        <w:tc>
          <w:tcPr/>
          <w:p>
            <w:pPr>
              <w:pStyle w:val="Compact"/>
              <w:spacing w:line="240" w:lineRule="auto" w:after="40"/>
              <w:jc w:val="left"/>
            </w:pPr>
            <w:r>
              <w:rPr>
                <w:rFonts w:ascii="Times New Roman" w:hAnsi="Times New Roman"/>
                <w:sz w:val="20"/>
              </w:rPr>
              <w:t xml:space="preserve">0</w:t>
            </w:r>
          </w:p>
        </w:tc>
        <w:tc>
          <w:tcPr/>
          <w:p>
            <w:pPr>
              <w:pStyle w:val="Compact"/>
              <w:spacing w:line="240" w:lineRule="auto" w:after="40"/>
              <w:jc w:val="left"/>
            </w:pPr>
            <w:r>
              <w:rPr>
                <w:rFonts w:ascii="Times New Roman" w:hAnsi="Times New Roman"/>
                <w:sz w:val="20"/>
              </w:rPr>
              <w:t xml:space="preserve">18,4</w:t>
            </w:r>
          </w:p>
        </w:tc>
      </w:tr>
      <w:tr>
        <w:tc>
          <w:tcPr/>
          <w:p>
            <w:pPr>
              <w:pStyle w:val="Compact"/>
              <w:spacing w:line="240" w:lineRule="auto" w:after="40"/>
              <w:jc w:val="left"/>
            </w:pPr>
            <w:r>
              <w:rPr>
                <w:rFonts w:ascii="Times New Roman" w:hAnsi="Times New Roman"/>
                <w:sz w:val="20"/>
              </w:rPr>
              <w:t xml:space="preserve">XGBoost</w:t>
            </w:r>
          </w:p>
        </w:tc>
        <w:tc>
          <w:tcPr/>
          <w:p>
            <w:pPr>
              <w:pStyle w:val="Compact"/>
              <w:spacing w:line="240" w:lineRule="auto" w:after="40"/>
              <w:jc w:val="left"/>
            </w:pPr>
            <w:r>
              <w:rPr>
                <w:rFonts w:ascii="Times New Roman" w:hAnsi="Times New Roman"/>
                <w:sz w:val="20"/>
              </w:rPr>
              <w:t xml:space="preserve">97,0</w:t>
            </w:r>
          </w:p>
        </w:tc>
        <w:tc>
          <w:tcPr/>
          <w:p>
            <w:pPr>
              <w:pStyle w:val="Compact"/>
              <w:spacing w:line="240" w:lineRule="auto" w:after="40"/>
              <w:jc w:val="left"/>
            </w:pPr>
            <w:r>
              <w:rPr>
                <w:rFonts w:ascii="Times New Roman" w:hAnsi="Times New Roman"/>
                <w:sz w:val="20"/>
              </w:rPr>
              <w:t xml:space="preserve">-30,9</w:t>
            </w:r>
          </w:p>
        </w:tc>
        <w:tc>
          <w:tcPr/>
          <w:p>
            <w:pPr>
              <w:pStyle w:val="Compact"/>
              <w:spacing w:line="240" w:lineRule="auto" w:after="40"/>
              <w:jc w:val="left"/>
            </w:pPr>
            <w:r>
              <w:rPr>
                <w:rFonts w:ascii="Times New Roman" w:hAnsi="Times New Roman"/>
                <w:sz w:val="20"/>
              </w:rPr>
              <w:t xml:space="preserve">21,1</w:t>
            </w:r>
          </w:p>
        </w:tc>
      </w:tr>
      <w:tr>
        <w:tc>
          <w:tcPr/>
          <w:p>
            <w:pPr>
              <w:pStyle w:val="Compact"/>
              <w:spacing w:line="240" w:lineRule="auto" w:after="40"/>
              <w:jc w:val="left"/>
            </w:pPr>
            <w:r>
              <w:rPr>
                <w:rFonts w:ascii="Times New Roman" w:hAnsi="Times New Roman"/>
                <w:sz w:val="20"/>
              </w:rPr>
              <w:t xml:space="preserve">Forêt aléatoire</w:t>
            </w:r>
          </w:p>
        </w:tc>
        <w:tc>
          <w:tcPr/>
          <w:p>
            <w:pPr>
              <w:pStyle w:val="Compact"/>
              <w:spacing w:line="240" w:lineRule="auto" w:after="40"/>
              <w:jc w:val="left"/>
            </w:pPr>
            <w:r>
              <w:rPr>
                <w:rFonts w:ascii="Times New Roman" w:hAnsi="Times New Roman"/>
                <w:sz w:val="20"/>
              </w:rPr>
              <w:t xml:space="preserve">94,5</w:t>
            </w:r>
          </w:p>
        </w:tc>
        <w:tc>
          <w:tcPr/>
          <w:p>
            <w:pPr>
              <w:pStyle w:val="Compact"/>
              <w:spacing w:line="240" w:lineRule="auto" w:after="40"/>
              <w:jc w:val="left"/>
            </w:pPr>
            <w:r>
              <w:rPr>
                <w:rFonts w:ascii="Times New Roman" w:hAnsi="Times New Roman"/>
                <w:sz w:val="20"/>
              </w:rPr>
              <w:t xml:space="preserve">-139,6</w:t>
            </w:r>
          </w:p>
        </w:tc>
        <w:tc>
          <w:tcPr/>
          <w:p>
            <w:pPr>
              <w:pStyle w:val="Compact"/>
              <w:spacing w:line="240" w:lineRule="auto" w:after="40"/>
              <w:jc w:val="left"/>
            </w:pPr>
            <w:r>
              <w:rPr>
                <w:rFonts w:ascii="Times New Roman" w:hAnsi="Times New Roman"/>
                <w:sz w:val="20"/>
              </w:rPr>
              <w:t xml:space="preserve">28,5</w:t>
            </w:r>
          </w:p>
        </w:tc>
      </w:tr>
      <w:tr>
        <w:tc>
          <w:tcPr/>
          <w:p>
            <w:pPr>
              <w:pStyle w:val="Compact"/>
              <w:spacing w:line="240" w:lineRule="auto" w:after="40"/>
              <w:jc w:val="left"/>
            </w:pPr>
            <w:r>
              <w:rPr>
                <w:rFonts w:ascii="Times New Roman" w:hAnsi="Times New Roman"/>
                <w:sz w:val="20"/>
              </w:rPr>
              <w:t xml:space="preserve">Ridge</w:t>
            </w:r>
          </w:p>
        </w:tc>
        <w:tc>
          <w:tcPr/>
          <w:p>
            <w:pPr>
              <w:pStyle w:val="Compact"/>
              <w:spacing w:line="240" w:lineRule="auto" w:after="40"/>
              <w:jc w:val="left"/>
            </w:pPr>
            <w:r>
              <w:rPr>
                <w:rFonts w:ascii="Times New Roman" w:hAnsi="Times New Roman"/>
                <w:sz w:val="20"/>
              </w:rPr>
              <w:t xml:space="preserve">92,4</w:t>
            </w:r>
          </w:p>
        </w:tc>
        <w:tc>
          <w:tcPr/>
          <w:p>
            <w:pPr>
              <w:pStyle w:val="Compact"/>
              <w:spacing w:line="240" w:lineRule="auto" w:after="40"/>
              <w:jc w:val="left"/>
            </w:pPr>
            <w:r>
              <w:rPr>
                <w:rFonts w:ascii="Times New Roman" w:hAnsi="Times New Roman"/>
                <w:sz w:val="20"/>
              </w:rPr>
              <w:t xml:space="preserve">-232,3</w:t>
            </w:r>
          </w:p>
        </w:tc>
        <w:tc>
          <w:tcPr/>
          <w:p>
            <w:pPr>
              <w:pStyle w:val="Compact"/>
              <w:spacing w:line="240" w:lineRule="auto" w:after="40"/>
              <w:jc w:val="left"/>
            </w:pPr>
            <w:r>
              <w:rPr>
                <w:rFonts w:ascii="Times New Roman" w:hAnsi="Times New Roman"/>
                <w:sz w:val="20"/>
              </w:rPr>
              <w:t xml:space="preserve">33,6</w:t>
            </w:r>
          </w:p>
        </w:tc>
      </w:tr>
    </w:tbl>
    <w:p>
      <w:pPr>
        <w:pStyle w:val="BodyText"/>
        <w:keepNext w:val="0"/>
        <w:spacing w:line="240" w:lineRule="auto" w:before="40" w:after="240"/>
        <w:jc w:val="left"/>
      </w:pPr>
      <w:r>
        <w:rPr>
          <w:iCs/>
          <w:i/>
          <w:sz w:val="20"/>
        </w:rPr>
        <w:t xml:space="preserve">Source : calculs de l’auteur (</w:t>
      </w:r>
      <w:r>
        <w:rPr>
          <w:rStyle w:val="VerbatimChar"/>
          <w:iCs/>
          <w:i/>
          <w:sz w:val="20"/>
        </w:rPr>
        <w:t xml:space="preserve">results/tables/extensions/E16.csv</w:t>
      </w:r>
      <w:r>
        <w:rPr>
          <w:iCs/>
          <w:i/>
          <w:sz w:val="20"/>
        </w:rPr>
        <w:t xml:space="preserve">). Test à partir de janvier 2012, 5 pays.</w:t>
      </w:r>
    </w:p>
    <w:p>
      <w:pPr>
        <w:pStyle w:val="BodyText"/>
      </w:pPr>
      <w:r>
        <w:rPr>
          <w:bCs/>
          <w:b/>
        </w:rPr>
        <w:t xml:space="preserve">E17 – panel annuel.</w:t>
      </w:r>
      <w:r>
        <w:t xml:space="preserve"> </w:t>
      </w:r>
      <w:r>
        <w:t xml:space="preserve">Sur 75 prévisions annuelles, tous les modèles font moins bien que la moyenne (R² de -20 % à -338 %) et que la marche aléatoire. La forêt aléatoire avec dépenses est moins mauvaise que sans (-19,8 % contre -45,5 %, p = 0,04 avant correction).</w:t>
      </w:r>
    </w:p>
    <w:p>
      <w:pPr>
        <w:pStyle w:val="BodyText"/>
      </w:pPr>
      <w:r>
        <w:rPr>
          <w:bCs/>
          <w:b/>
        </w:rPr>
        <w:t xml:space="preserve">E18 – régime de crise (exploratoire).</w:t>
      </w:r>
      <w:r>
        <w:t xml:space="preserve"> </w:t>
      </w:r>
      <w:r>
        <w:t xml:space="preserve">L’ajout d’interactions entre dépenses et période de tension (spread supérieur à 200 pb) dégrade la prévision pour Ridge (le R² passe de -3,3 % à -19,7 %) et pour XGBoost (de -20,2 % à -26,2 %). La forêt aléatoire passe de -10,4 % à -5,0 % (p = 0,20).</w:t>
      </w:r>
    </w:p>
    <w:bookmarkEnd w:id="88"/>
    <w:bookmarkStart w:id="89" w:name="synthèse-état-des-hypothèses"/>
    <w:p>
      <w:pPr>
        <w:pStyle w:val="Heading2"/>
      </w:pPr>
      <w:r>
        <w:t xml:space="preserve">3.7 Synthèse : état des hypothèses</w:t>
      </w:r>
    </w:p>
    <w:p>
      <w:pPr>
        <w:pStyle w:val="FirstParagraph"/>
        <w:keepNext/>
        <w:spacing w:line="240" w:lineRule="auto" w:before="120" w:after="80"/>
        <w:jc w:val="left"/>
      </w:pPr>
      <w:r>
        <w:rPr>
          <w:bCs/>
          <w:b/>
          <w:sz w:val="22"/>
        </w:rPr>
        <w:t xml:space="preserve">Tableau 3.8 – État des hypothèses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shd w:val="clear" w:color="auto" w:fill="E7E6E6"/>
          </w:tcPr>
          <w:p>
            <w:pPr>
              <w:pStyle w:val="Compact"/>
              <w:spacing w:line="240" w:lineRule="auto" w:after="40"/>
              <w:jc w:val="left"/>
            </w:pPr>
            <w:r>
              <w:rPr>
                <w:rFonts w:ascii="Times New Roman" w:hAnsi="Times New Roman"/>
                <w:b/>
                <w:sz w:val="20"/>
              </w:rPr>
              <w:t xml:space="preserve">Hypothèse</w:t>
            </w:r>
          </w:p>
        </w:tc>
        <w:tc>
          <w:tcPr>
            <w:shd w:val="clear" w:color="auto" w:fill="E7E6E6"/>
          </w:tcPr>
          <w:p>
            <w:pPr>
              <w:pStyle w:val="Compact"/>
              <w:spacing w:line="240" w:lineRule="auto" w:after="40"/>
              <w:jc w:val="left"/>
            </w:pPr>
            <w:r>
              <w:rPr>
                <w:rFonts w:ascii="Times New Roman" w:hAnsi="Times New Roman"/>
                <w:b/>
                <w:sz w:val="20"/>
              </w:rPr>
              <w:t xml:space="preserve">Résultat</w:t>
            </w:r>
          </w:p>
        </w:tc>
        <w:tc>
          <w:tcPr>
            <w:shd w:val="clear" w:color="auto" w:fill="E7E6E6"/>
          </w:tcPr>
          <w:p>
            <w:pPr>
              <w:pStyle w:val="Compact"/>
              <w:spacing w:line="240" w:lineRule="auto" w:after="40"/>
              <w:jc w:val="left"/>
            </w:pPr>
            <w:r>
              <w:rPr>
                <w:rFonts w:ascii="Times New Roman" w:hAnsi="Times New Roman"/>
                <w:b/>
                <w:sz w:val="20"/>
              </w:rPr>
              <w:t xml:space="preserve">Éléments</w:t>
            </w:r>
          </w:p>
        </w:tc>
      </w:tr>
      <w:tr>
        <w:tc>
          <w:tcPr/>
          <w:p>
            <w:pPr>
              <w:pStyle w:val="Compact"/>
              <w:spacing w:line="240" w:lineRule="auto" w:after="40"/>
              <w:jc w:val="left"/>
            </w:pPr>
            <w:r>
              <w:rPr>
                <w:rFonts w:ascii="Times New Roman" w:hAnsi="Times New Roman"/>
                <w:sz w:val="20"/>
              </w:rPr>
              <w:t xml:space="preserve">H1 : les dépenses améliorent la prévision d’au moins un indicateur</w:t>
            </w:r>
          </w:p>
        </w:tc>
        <w:tc>
          <w:tcPr/>
          <w:p>
            <w:pPr>
              <w:pStyle w:val="Compact"/>
              <w:spacing w:line="240" w:lineRule="auto" w:after="40"/>
              <w:jc w:val="left"/>
            </w:pPr>
            <w:r>
              <w:rPr>
                <w:rFonts w:ascii="Times New Roman" w:hAnsi="Times New Roman"/>
                <w:sz w:val="20"/>
              </w:rPr>
              <w:t xml:space="preserve">Rejetée</w:t>
            </w:r>
          </w:p>
        </w:tc>
        <w:tc>
          <w:tcPr/>
          <w:p>
            <w:pPr>
              <w:pStyle w:val="Compact"/>
              <w:spacing w:line="240" w:lineRule="auto" w:after="40"/>
              <w:jc w:val="left"/>
            </w:pPr>
            <w:r>
              <w:rPr>
                <w:rFonts w:ascii="Times New Roman" w:hAnsi="Times New Roman"/>
                <w:sz w:val="20"/>
              </w:rPr>
              <w:t xml:space="preserve">DM M1 contre M0 : p de 0,37 à 0,99 (tableau 3.3) ; p corrigée ≥ 0,81 sur les 18 tests de H1 ; 0 comparaison significative sur 168 dans les extensions (3.5) ; même résultat avec un décalage de 1 ou 3 mois (3.3)</w:t>
            </w:r>
          </w:p>
        </w:tc>
      </w:tr>
      <w:tr>
        <w:tc>
          <w:tcPr/>
          <w:p>
            <w:pPr>
              <w:pStyle w:val="Compact"/>
              <w:spacing w:line="240" w:lineRule="auto" w:after="40"/>
              <w:jc w:val="left"/>
            </w:pPr>
            <w:r>
              <w:rPr>
                <w:rFonts w:ascii="Times New Roman" w:hAnsi="Times New Roman"/>
                <w:sz w:val="20"/>
              </w:rPr>
              <w:t xml:space="preserve">H2 : l’apport décroît du spread à l’OAT, puis au CAC 40</w:t>
            </w:r>
          </w:p>
        </w:tc>
        <w:tc>
          <w:tcPr/>
          <w:p>
            <w:pPr>
              <w:pStyle w:val="Compact"/>
              <w:spacing w:line="240" w:lineRule="auto" w:after="40"/>
              <w:jc w:val="left"/>
            </w:pPr>
            <w:r>
              <w:rPr>
                <w:rFonts w:ascii="Times New Roman" w:hAnsi="Times New Roman"/>
                <w:sz w:val="20"/>
              </w:rPr>
              <w:t xml:space="preserve">Non testable</w:t>
            </w:r>
          </w:p>
        </w:tc>
        <w:tc>
          <w:tcPr/>
          <w:p>
            <w:pPr>
              <w:pStyle w:val="Compact"/>
              <w:spacing w:line="240" w:lineRule="auto" w:after="40"/>
              <w:jc w:val="left"/>
            </w:pPr>
            <w:r>
              <w:rPr>
                <w:rFonts w:ascii="Times New Roman" w:hAnsi="Times New Roman"/>
                <w:sz w:val="20"/>
              </w:rPr>
              <w:t xml:space="preserve">Aucun apport à classer</w:t>
            </w:r>
          </w:p>
        </w:tc>
      </w:tr>
      <w:tr>
        <w:tc>
          <w:tcPr/>
          <w:p>
            <w:pPr>
              <w:pStyle w:val="Compact"/>
              <w:spacing w:line="240" w:lineRule="auto" w:after="40"/>
              <w:jc w:val="left"/>
            </w:pPr>
            <w:r>
              <w:rPr>
                <w:rFonts w:ascii="Times New Roman" w:hAnsi="Times New Roman"/>
                <w:sz w:val="20"/>
              </w:rPr>
              <w:t xml:space="preserve">H3 : forêt aléatoire et XGBoost font mieux que les modèles linéaires</w:t>
            </w:r>
          </w:p>
        </w:tc>
        <w:tc>
          <w:tcPr/>
          <w:p>
            <w:pPr>
              <w:pStyle w:val="Compact"/>
              <w:spacing w:line="240" w:lineRule="auto" w:after="40"/>
              <w:jc w:val="left"/>
            </w:pPr>
            <w:r>
              <w:rPr>
                <w:rFonts w:ascii="Times New Roman" w:hAnsi="Times New Roman"/>
                <w:sz w:val="20"/>
              </w:rPr>
              <w:t xml:space="preserve">Rejetée</w:t>
            </w:r>
          </w:p>
        </w:tc>
        <w:tc>
          <w:tcPr/>
          <w:p>
            <w:pPr>
              <w:pStyle w:val="Compact"/>
              <w:spacing w:line="240" w:lineRule="auto" w:after="40"/>
              <w:jc w:val="left"/>
            </w:pPr>
            <w:r>
              <w:rPr>
                <w:rFonts w:ascii="Times New Roman" w:hAnsi="Times New Roman"/>
                <w:sz w:val="20"/>
              </w:rPr>
              <w:t xml:space="preserve">Forêt ≈ Ridge (p de 0,18 à 0,41) ; XGBoost moins bon que Ridge sur le CAC 40 (p = 0,03)</w:t>
            </w:r>
          </w:p>
        </w:tc>
      </w:tr>
      <w:tr>
        <w:tc>
          <w:tcPr/>
          <w:p>
            <w:pPr>
              <w:pStyle w:val="Compact"/>
              <w:spacing w:line="240" w:lineRule="auto" w:after="40"/>
              <w:jc w:val="left"/>
            </w:pPr>
            <w:r>
              <w:rPr>
                <w:rFonts w:ascii="Times New Roman" w:hAnsi="Times New Roman"/>
                <w:sz w:val="20"/>
              </w:rPr>
              <w:t xml:space="preserve">H4 : charge de la dette et dépenses d’intervention sont les plus prédictives</w:t>
            </w:r>
          </w:p>
        </w:tc>
        <w:tc>
          <w:tcPr/>
          <w:p>
            <w:pPr>
              <w:pStyle w:val="Compact"/>
              <w:spacing w:line="240" w:lineRule="auto" w:after="40"/>
              <w:jc w:val="left"/>
            </w:pPr>
            <w:r>
              <w:rPr>
                <w:rFonts w:ascii="Times New Roman" w:hAnsi="Times New Roman"/>
                <w:sz w:val="20"/>
              </w:rPr>
              <w:t xml:space="preserve">Non soutenue</w:t>
            </w:r>
          </w:p>
        </w:tc>
        <w:tc>
          <w:tcPr/>
          <w:p>
            <w:pPr>
              <w:pStyle w:val="Compact"/>
              <w:spacing w:line="240" w:lineRule="auto" w:after="40"/>
              <w:jc w:val="left"/>
            </w:pPr>
            <w:r>
              <w:rPr>
                <w:rFonts w:ascii="Times New Roman" w:hAnsi="Times New Roman"/>
                <w:sz w:val="20"/>
              </w:rPr>
              <w:t xml:space="preserve">Part SHAP des dépenses (31 à 37 %) comparable à celle de variables de bruit (34 à 38 %) (tableau 3.5) ; permuter les dépenses n’augmente pas l’erreur hors échantillon</w:t>
            </w:r>
          </w:p>
        </w:tc>
      </w:tr>
    </w:tbl>
    <w:p>
      <w:pPr>
        <w:pStyle w:val="BodyText"/>
        <w:keepNext w:val="0"/>
        <w:spacing w:line="240" w:lineRule="auto" w:before="40" w:after="240"/>
        <w:jc w:val="left"/>
      </w:pPr>
      <w:r>
        <w:rPr>
          <w:iCs/>
          <w:i/>
          <w:sz w:val="20"/>
        </w:rPr>
        <w:t xml:space="preserve">Source : sections 3.2 à 3.5.</w:t>
      </w:r>
    </w:p>
    <w:p>
      <w:r>
        <w:br w:type="page"/>
      </w:r>
    </w:p>
    <w:bookmarkEnd w:id="89"/>
    <w:bookmarkEnd w:id="90"/>
    <w:bookmarkStart w:id="95" w:name="chapitre-4-discussion-brouillon-en-cours"/>
    <w:p>
      <w:pPr>
        <w:pStyle w:val="Heading1"/>
      </w:pPr>
      <w:r>
        <w:t xml:space="preserve">Chapitre 4 – Discussion (brouillon en cours)</w:t>
      </w:r>
    </w:p>
    <w:p>
      <w:pPr>
        <w:pStyle w:val="BlockText"/>
      </w:pPr>
      <w:r>
        <w:rPr>
          <w:bCs/>
          <w:b/>
        </w:rPr>
        <w:t xml:space="preserve">Statut : brouillon de travail, à réécrire par Elyamine.</w:t>
      </w:r>
      <w:r>
        <w:t xml:space="preserve"> </w:t>
      </w:r>
      <w:r>
        <w:t xml:space="preserve">Les idées viennent de nos discussions ; le guide ECE interdit de rendre des interprétations rédigées par l’IA sans relecture critique et apport personnel. Pour chaque paragraphe : garder, couper ou contredire, puis reformuler avec tes mots. Les chiffres, eux, sont vérifiés dans le dépôt.</w:t>
      </w:r>
    </w:p>
    <w:bookmarkStart w:id="94" w:name="Xa5e5ce56c40b921dc4fb73ef6c887ec2a5a3779"/>
    <w:p>
      <w:pPr>
        <w:pStyle w:val="Heading2"/>
      </w:pPr>
      <w:r>
        <w:t xml:space="preserve">4.2 Pourquoi les dépenses n’aident pas : trois explications</w:t>
      </w:r>
    </w:p>
    <w:p>
      <w:pPr>
        <w:pStyle w:val="FirstParagraph"/>
      </w:pPr>
      <w:r>
        <w:t xml:space="preserve">Le chapitre 3 montre que les dépenses de l’État n’améliorent la prévision d’aucune des trois cibles. Nous proposons trois explications. Elles ne s’excluent pas.</w:t>
      </w:r>
    </w:p>
    <w:bookmarkStart w:id="91" w:name="Xb6cbddcd8f5ae7d3e4ba72eb19a3909bfa7b954"/>
    <w:p>
      <w:pPr>
        <w:pStyle w:val="Heading3"/>
      </w:pPr>
      <w:r>
        <w:t>L’information est déjà connue au moment de la publication.</w:t>
      </w:r>
    </w:p>
    <w:p>
      <w:pPr>
        <w:pStyle w:val="FirstParagraph"/>
      </w:pPr>
      <w:r>
        <w:t xml:space="preserve">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 surtout ce qui était attendu.</w:t>
      </w:r>
    </w:p>
    <w:p>
      <w:pPr>
        <w:pStyle w:val="BodyText"/>
      </w:pPr>
      <w:r>
        <w:t xml:space="preserve">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pPr>
      <w:r>
        <w:t xml:space="preserve">Cette explication reste une hypothèse. Pour la démontrer, il faudrait observer le spread le jour même de chaque publication (étude d’événement). Cette étude n’a pas pu être réalisée, faute de taux quotidiens accessibles (section 4.6).</w:t>
      </w:r>
    </w:p>
    <w:bookmarkEnd w:id="91"/>
    <w:bookmarkStart w:id="92" w:name="X57f8577d700eaa38cd6c624300c66f71b06c5e6"/>
    <w:p>
      <w:pPr>
        <w:pStyle w:val="Heading3"/>
      </w:pPr>
      <w:r>
        <w:t>Ce qui fait bouger le spread n’est pas budgétaire.</w:t>
      </w:r>
    </w:p>
    <w:p>
      <w:pPr>
        <w:pStyle w:val="FirstParagraph"/>
      </w:pPr>
      <w:r>
        <w:t xml:space="preserve">Les plus fortes variations mensuelles du spread OAT–Bund correspondent à des chocs politiques ou mondiaux : mars 2020 (+20,5 pb, Covid), la période de l’élection présidentielle de 2017 (+16,3 pb en février, -18,1 pb en mai), juin 2024 (+15,5 pb, dissolution de l’Assemblée nationale). Ces mouvements s’expliquent par des événements identifiés, sans lien avec le contenu des situations budgétaires mensuelles. [À vérifier avant la version finale : dates et sources de chaque événement.]</w:t>
      </w:r>
    </w:p>
    <w:p>
      <w:pPr>
        <w:pStyle w:val="BodyText"/>
      </w:pPr>
      <w:r>
        <w:t xml:space="preserve">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p>
    <w:bookmarkEnd w:id="92"/>
    <w:bookmarkStart w:id="93" w:name="une-variable-lente-pour-une-cible-rapide"/>
    <w:p>
      <w:pPr>
        <w:pStyle w:val="Heading3"/>
      </w:pPr>
      <w:r>
        <w:t>Une variable lente pour une cible rapide.</w:t>
      </w:r>
    </w:p>
    <w:p>
      <w:pPr>
        <w:pStyle w:val="FirstParagraph"/>
      </w:pPr>
      <w:r>
        <w:t xml:space="preserve">Les dépenses publiques évoluent sur plusieurs années. Le spread, le taux OAT et le CAC 40 réagissent en quelques jours. Nous cherchons donc à prévoir un mouvement rapide avec une information lente, et disponible avec deux mois de retard.</w:t>
      </w:r>
    </w:p>
    <w:p>
      <w:pPr>
        <w:pStyle w:val="BodyText"/>
      </w:pPr>
      <w:r>
        <w:t xml:space="preserve">La littérature européenne trouve pourtant un lien entre finances publiques et spreads (Bernoth et al., 2012 ; Afonso et al., 2015). Ce n’est pas une contradiction : ces études</w:t>
      </w:r>
      <w:r>
        <w:t xml:space="preserve"> </w:t>
      </w:r>
      <w:r>
        <w:rPr>
          <w:bCs/>
          <w:b/>
        </w:rPr>
        <w:t xml:space="preserve">expliquent le niveau</w:t>
      </w:r>
      <w:r>
        <w:t xml:space="preserve"> </w:t>
      </w:r>
      <w:r>
        <w:t xml:space="preserve">des spreads, en coupe ou en panel, souvent sur des périodes de crise. Nous cherchons à</w:t>
      </w:r>
      <w:r>
        <w:t xml:space="preserve"> </w:t>
      </w:r>
      <w:r>
        <w:rPr>
          <w:bCs/>
          <w:b/>
        </w:rPr>
        <w:t xml:space="preserve">prévoir leur variation</w:t>
      </w:r>
      <w:r>
        <w:t xml:space="preserve"> </w:t>
      </w:r>
      <w:r>
        <w:t xml:space="preserve">le mois suivant, hors échantillon. Une variable peut expliquer un niveau sur dix ans sans aider à prévoir le mois prochain. Le panel annuel (E17) teste une fréquence plus basse ; il ne fait pas mieux, mais il ne compte que 75 prévisions.</w:t>
      </w:r>
    </w:p>
    <w:p>
      <w:pPr>
        <w:pStyle w:val="BodyText"/>
      </w:pPr>
      <w:r>
        <w:t xml:space="preserve">Enfin, la France n’a pas connu de crise de la dette pendant notre période (2014-2026), contrairement à l’Italie ou à l’Espagne en 2011-2012. Il est possible que les dépenses ne comptent pour les marchés qu’en période de tension (Afonso et al., 2015). Le panel trimestriel allait dans ce sens (+4 points de R² en 2010-2014), mais l’écart n’est pas significatif (p = 0,36) et disparaît avec le spread de fin de trimestre (E18).</w:t>
      </w:r>
    </w:p>
    <w:p>
      <w:r>
        <w:br w:type="page"/>
      </w:r>
    </w:p>
    <w:bookmarkEnd w:id="93"/>
    <w:bookmarkEnd w:id="94"/>
    <w:bookmarkEnd w:id="95"/>
    <w:bookmarkStart w:id="107" w:name="références"/>
    <w:p>
      <w:pPr>
        <w:pStyle w:val="Heading1"/>
      </w:pPr>
      <w:r>
        <w:t xml:space="preserve">Références</w:t>
      </w:r>
    </w:p>
    <w:p>
      <w:pPr>
        <w:pStyle w:val="Bibliography"/>
      </w:pPr>
      <w:r>
        <w:t xml:space="preserve">Afonso, A., Arghyrou, M. G., &amp; Kontonikas, A. (2015).</w:t>
      </w:r>
      <w:r>
        <w:t xml:space="preserve"> </w:t>
      </w:r>
      <w:hyperlink r:id="rId96">
        <w:r>
          <w:rPr>
            <w:rStyle w:val="Hyperlink"/>
            <w:iCs/>
            <w:i/>
          </w:rPr>
          <w:t xml:space="preserve">The determinants of sovereign bond yield spreads in the EMU</w:t>
        </w:r>
      </w:hyperlink>
      <w:r>
        <w:t xml:space="preserve">. ECB Working Paper No. 1781.</w:t>
      </w:r>
    </w:p>
    <w:p>
      <w:pPr>
        <w:pStyle w:val="Bibliography"/>
      </w:pPr>
      <w:r>
        <w:t xml:space="preserve">Afonso, A., &amp; Sousa, R. M. (2011). What are the effects of fiscal policy on asset markets?</w:t>
      </w:r>
      <w:r>
        <w:t xml:space="preserve"> </w:t>
      </w:r>
      <w:r>
        <w:rPr>
          <w:iCs/>
          <w:i/>
        </w:rPr>
        <w:t xml:space="preserve">Economic Modelling</w:t>
      </w:r>
      <w:r>
        <w:t xml:space="preserve">, 28(4), 1871–1890.</w:t>
      </w:r>
    </w:p>
    <w:p>
      <w:pPr>
        <w:pStyle w:val="Bibliography"/>
      </w:pPr>
      <w:r>
        <w:t xml:space="preserve">Ardagna, S. (2009). Financial markets’ behavior around episodes of large changes in the fiscal stance.</w:t>
      </w:r>
      <w:r>
        <w:t xml:space="preserve"> </w:t>
      </w:r>
      <w:r>
        <w:rPr>
          <w:iCs/>
          <w:i/>
        </w:rPr>
        <w:t xml:space="preserve">European Economic Review</w:t>
      </w:r>
      <w:r>
        <w:t xml:space="preserve">, 53(1), 37–55.</w:t>
      </w:r>
    </w:p>
    <w:p>
      <w:pPr>
        <w:pStyle w:val="Bibliography"/>
      </w:pPr>
      <w:r>
        <w:t xml:space="preserve">Attinasi, M.-G., Checherita, C., &amp; Nickel, C. (2009).</w:t>
      </w:r>
      <w:r>
        <w:t xml:space="preserve"> </w:t>
      </w:r>
      <w:r>
        <w:rPr>
          <w:iCs/>
          <w:i/>
        </w:rPr>
        <w:t xml:space="preserve">What explains the surge in euro area sovereign spreads during the financial crisis of 2007-09?</w:t>
      </w:r>
      <w:r>
        <w:t xml:space="preserve"> </w:t>
      </w:r>
      <w:r>
        <w:t xml:space="preserve">ECB Working Paper No. 1131.</w:t>
      </w:r>
    </w:p>
    <w:p>
      <w:pPr>
        <w:pStyle w:val="Bibliography"/>
      </w:pPr>
      <w:r>
        <w:t xml:space="preserve">Bailey, D. H., Borwein, J. M., López de Prado, M., &amp; Zhu, Q. J. (2014). Pseudo-mathematics and financial charlatanism: The effects of backtest overfitting on out-of-sample performance.</w:t>
      </w:r>
      <w:r>
        <w:t xml:space="preserve"> </w:t>
      </w:r>
      <w:r>
        <w:rPr>
          <w:iCs/>
          <w:i/>
        </w:rPr>
        <w:t xml:space="preserve">Notices of the American Mathematical Society</w:t>
      </w:r>
      <w:r>
        <w:t xml:space="preserve">, 61(5), 458–471.</w:t>
      </w:r>
    </w:p>
    <w:p>
      <w:pPr>
        <w:pStyle w:val="Bibliography"/>
      </w:pPr>
      <w:r>
        <w:t xml:space="preserve">Barbier-Gauchard, A., &amp; Sofianos, E. (2025).</w:t>
      </w:r>
      <w:r>
        <w:t xml:space="preserve"> </w:t>
      </w:r>
      <w:hyperlink r:id="rId97">
        <w:r>
          <w:rPr>
            <w:rStyle w:val="Hyperlink"/>
          </w:rPr>
          <w:t xml:space="preserve">Forecasting public debt in the euro area using machine learning: Decision tools for financial markets</w:t>
        </w:r>
      </w:hyperlink>
      <w:r>
        <w:t xml:space="preserve">.</w:t>
      </w:r>
      <w:r>
        <w:t xml:space="preserve"> </w:t>
      </w:r>
      <w:r>
        <w:rPr>
          <w:iCs/>
          <w:i/>
        </w:rPr>
        <w:t xml:space="preserve">Computational Economics</w:t>
      </w:r>
      <w:r>
        <w:t xml:space="preserve">. https://doi.org/10.1007/s10614-025-11106-9</w:t>
      </w:r>
    </w:p>
    <w:p>
      <w:pPr>
        <w:pStyle w:val="Bibliography"/>
      </w:pPr>
      <w:r>
        <w:t xml:space="preserve">Barro, R. J. (1974). Are government bonds net wealth?</w:t>
      </w:r>
      <w:r>
        <w:t xml:space="preserve"> </w:t>
      </w:r>
      <w:r>
        <w:rPr>
          <w:iCs/>
          <w:i/>
        </w:rPr>
        <w:t xml:space="preserve">Journal of Political Economy</w:t>
      </w:r>
      <w:r>
        <w:t xml:space="preserve">, 82(6), 1095–1117.</w:t>
      </w:r>
    </w:p>
    <w:p>
      <w:pPr>
        <w:pStyle w:val="Bibliography"/>
      </w:pPr>
      <w:r>
        <w:t xml:space="preserve">Belly, G., Boeckelmann, L., Caicedo Graciano, C. M., Di Iorio, A., Istrefi, K., Siakoulis, V., &amp; Stalla-Bourdillon, A. (2023).</w:t>
      </w:r>
      <w:r>
        <w:t xml:space="preserve"> </w:t>
      </w:r>
      <w:hyperlink r:id="rId98">
        <w:r>
          <w:rPr>
            <w:rStyle w:val="Hyperlink"/>
          </w:rPr>
          <w:t xml:space="preserve">Forecasting sovereign risk in the Euro area via machine learning</w:t>
        </w:r>
      </w:hyperlink>
      <w:r>
        <w:t xml:space="preserve">.</w:t>
      </w:r>
      <w:r>
        <w:t xml:space="preserve"> </w:t>
      </w:r>
      <w:r>
        <w:rPr>
          <w:iCs/>
          <w:i/>
        </w:rPr>
        <w:t xml:space="preserve">Journal of Forecasting</w:t>
      </w:r>
      <w:r>
        <w:t xml:space="preserve">, 42(3), 657–684.</w:t>
      </w:r>
    </w:p>
    <w:p>
      <w:pPr>
        <w:pStyle w:val="Bibliography"/>
      </w:pPr>
      <w:r>
        <w:t xml:space="preserve">Benjamini, Y., &amp; Hochberg, Y. (1995). Controlling the false discovery rate: A practical and powerful approach to multiple testing.</w:t>
      </w:r>
      <w:r>
        <w:t xml:space="preserve"> </w:t>
      </w:r>
      <w:r>
        <w:rPr>
          <w:iCs/>
          <w:i/>
        </w:rPr>
        <w:t xml:space="preserve">Journal of the Royal Statistical Society: Series B</w:t>
      </w:r>
      <w:r>
        <w:t xml:space="preserve">, 57(1), 289–300.</w:t>
      </w:r>
    </w:p>
    <w:p>
      <w:pPr>
        <w:pStyle w:val="Bibliography"/>
      </w:pPr>
      <w:r>
        <w:t xml:space="preserve">Bernoth, K., von Hagen, J., &amp; Schuknecht, L. (2012). Sovereign risk premiums in the European government bond market.</w:t>
      </w:r>
      <w:r>
        <w:t xml:space="preserve"> </w:t>
      </w:r>
      <w:r>
        <w:rPr>
          <w:iCs/>
          <w:i/>
        </w:rPr>
        <w:t xml:space="preserve">Journal of International Money and Finance</w:t>
      </w:r>
      <w:r>
        <w:t xml:space="preserve">, 31(5), 975–995.</w:t>
      </w:r>
    </w:p>
    <w:p>
      <w:pPr>
        <w:pStyle w:val="Bibliography"/>
      </w:pPr>
      <w:r>
        <w:t xml:space="preserve">Bianchi, D., Büchner, M., &amp; Tamoni, A. (2021).</w:t>
      </w:r>
      <w:r>
        <w:t xml:space="preserve"> </w:t>
      </w:r>
      <w:hyperlink r:id="rId99">
        <w:r>
          <w:rPr>
            <w:rStyle w:val="Hyperlink"/>
          </w:rPr>
          <w:t xml:space="preserve">Bond risk premiums with machine learning</w:t>
        </w:r>
      </w:hyperlink>
      <w:r>
        <w:t xml:space="preserve">.</w:t>
      </w:r>
      <w:r>
        <w:t xml:space="preserve"> </w:t>
      </w:r>
      <w:r>
        <w:rPr>
          <w:iCs/>
          <w:i/>
        </w:rPr>
        <w:t xml:space="preserve">The Review of Financial Studies</w:t>
      </w:r>
      <w:r>
        <w:t xml:space="preserve">, 34(2), 1046–1089.</w:t>
      </w:r>
    </w:p>
    <w:p>
      <w:pPr>
        <w:pStyle w:val="Bibliography"/>
      </w:pPr>
      <w:r>
        <w:t xml:space="preserve">Blanchard, O., &amp; Perotti, R. (2002). An empirical characterization of the dynamic effects of changes in government spending and taxes on output.</w:t>
      </w:r>
      <w:r>
        <w:t xml:space="preserve"> </w:t>
      </w:r>
      <w:r>
        <w:rPr>
          <w:iCs/>
          <w:i/>
        </w:rPr>
        <w:t xml:space="preserve">The Quarterly Journal of Economics</w:t>
      </w:r>
      <w:r>
        <w:t xml:space="preserve">, 117(4), 1329–1368.</w:t>
      </w:r>
    </w:p>
    <w:p>
      <w:pPr>
        <w:pStyle w:val="Bibliography"/>
      </w:pPr>
      <w:r>
        <w:t xml:space="preserve">Bouillot, R., Candelon, B., &amp; Kool, C. (2025).</w:t>
      </w:r>
      <w:r>
        <w:t xml:space="preserve"> </w:t>
      </w:r>
      <w:hyperlink r:id="rId100">
        <w:r>
          <w:rPr>
            <w:rStyle w:val="Hyperlink"/>
            <w:iCs/>
            <w:i/>
          </w:rPr>
          <w:t xml:space="preserve">Forecasting European sovereign spreads using machine learning</w:t>
        </w:r>
      </w:hyperlink>
      <w:r>
        <w:t xml:space="preserve">. LIDAM Discussion Paper LFIN 2025/04, UCLouvain.</w:t>
      </w:r>
    </w:p>
    <w:p>
      <w:pPr>
        <w:pStyle w:val="Bibliography"/>
      </w:pPr>
      <w:r>
        <w:t xml:space="preserve">Breiman, L. (2001). Random forests.</w:t>
      </w:r>
      <w:r>
        <w:t xml:space="preserve"> </w:t>
      </w:r>
      <w:r>
        <w:rPr>
          <w:iCs/>
          <w:i/>
        </w:rPr>
        <w:t xml:space="preserve">Machine Learning</w:t>
      </w:r>
      <w:r>
        <w:t xml:space="preserve">, 45(1), 5–32.</w:t>
      </w:r>
    </w:p>
    <w:p>
      <w:pPr>
        <w:pStyle w:val="Bibliography"/>
      </w:pPr>
      <w:r>
        <w:t xml:space="preserve">Campbell, J. Y., &amp; Thompson, S. B. (2008). Predicting excess stock returns out of sample: Can anything beat the historical average?</w:t>
      </w:r>
      <w:r>
        <w:t xml:space="preserve"> </w:t>
      </w:r>
      <w:r>
        <w:rPr>
          <w:iCs/>
          <w:i/>
        </w:rPr>
        <w:t xml:space="preserve">The Review of Financial Studies</w:t>
      </w:r>
      <w:r>
        <w:t xml:space="preserve">, 21(4), 1509–1531.</w:t>
      </w:r>
    </w:p>
    <w:p>
      <w:pPr>
        <w:pStyle w:val="Bibliography"/>
      </w:pPr>
      <w:r>
        <w:t xml:space="preserve">Chen, T., &amp; Guestrin, C. (2016). XGBoost: A scalable tree boosting system.</w:t>
      </w:r>
      <w:r>
        <w:t xml:space="preserve"> </w:t>
      </w:r>
      <w:r>
        <w:rPr>
          <w:iCs/>
          <w:i/>
        </w:rPr>
        <w:t xml:space="preserve">Proceedings of the 22nd ACM SIGKDD International Conference on Knowledge Discovery and Data Mining</w:t>
      </w:r>
      <w:r>
        <w:t xml:space="preserve">, 785–794.</w:t>
      </w:r>
    </w:p>
    <w:p>
      <w:pPr>
        <w:pStyle w:val="Bibliography"/>
      </w:pPr>
      <w:r>
        <w:t xml:space="preserve">Croushore, D. (2011). Frontiers of real-time data analysis.</w:t>
      </w:r>
      <w:r>
        <w:t xml:space="preserve"> </w:t>
      </w:r>
      <w:r>
        <w:rPr>
          <w:iCs/>
          <w:i/>
        </w:rPr>
        <w:t xml:space="preserve">Journal of Economic Literature</w:t>
      </w:r>
      <w:r>
        <w:t xml:space="preserve">, 49(1), 72–100.</w:t>
      </w:r>
    </w:p>
    <w:p>
      <w:pPr>
        <w:pStyle w:val="Bibliography"/>
      </w:pPr>
      <w:r>
        <w:t xml:space="preserve">Dickey, D. A., &amp; Fuller, W. A. (1979). Distribution of the estimators for autoregressive time series with a unit root.</w:t>
      </w:r>
      <w:r>
        <w:t xml:space="preserve"> </w:t>
      </w:r>
      <w:r>
        <w:rPr>
          <w:iCs/>
          <w:i/>
        </w:rPr>
        <w:t xml:space="preserve">Journal of the American Statistical Association</w:t>
      </w:r>
      <w:r>
        <w:t xml:space="preserve">, 74(366), 427–431.</w:t>
      </w:r>
    </w:p>
    <w:p>
      <w:pPr>
        <w:pStyle w:val="Bibliography"/>
      </w:pPr>
      <w:r>
        <w:t xml:space="preserve">Diebold, F. X., &amp; Mariano, R. S. (1995). Comparing predictive accuracy.</w:t>
      </w:r>
      <w:r>
        <w:t xml:space="preserve"> </w:t>
      </w:r>
      <w:r>
        <w:rPr>
          <w:iCs/>
          <w:i/>
        </w:rPr>
        <w:t xml:space="preserve">Journal of Business &amp; Economic Statistics</w:t>
      </w:r>
      <w:r>
        <w:t xml:space="preserve">, 13(3), 253–263.</w:t>
      </w:r>
    </w:p>
    <w:p>
      <w:pPr>
        <w:pStyle w:val="Bibliography"/>
      </w:pPr>
      <w:r>
        <w:t xml:space="preserve">Fama, E. F. (1970). Efficient capital markets: A review of theory and empirical work.</w:t>
      </w:r>
      <w:r>
        <w:t xml:space="preserve"> </w:t>
      </w:r>
      <w:r>
        <w:rPr>
          <w:iCs/>
          <w:i/>
        </w:rPr>
        <w:t xml:space="preserve">The Journal of Finance</w:t>
      </w:r>
      <w:r>
        <w:t xml:space="preserve">, 25(2), 383–417.</w:t>
      </w:r>
    </w:p>
    <w:p>
      <w:pPr>
        <w:pStyle w:val="Bibliography"/>
      </w:pPr>
      <w:r>
        <w:t xml:space="preserve">Favero, C. A. (2013).</w:t>
      </w:r>
      <w:r>
        <w:t xml:space="preserve"> </w:t>
      </w:r>
      <w:hyperlink r:id="rId101">
        <w:r>
          <w:rPr>
            <w:rStyle w:val="Hyperlink"/>
          </w:rPr>
          <w:t xml:space="preserve">Modelling and forecasting government bond spreads in the euro area: A GVAR model</w:t>
        </w:r>
      </w:hyperlink>
      <w:r>
        <w:t xml:space="preserve">.</w:t>
      </w:r>
      <w:r>
        <w:t xml:space="preserve"> </w:t>
      </w:r>
      <w:r>
        <w:rPr>
          <w:iCs/>
          <w:i/>
        </w:rPr>
        <w:t xml:space="preserve">Journal of Econometrics</w:t>
      </w:r>
      <w:r>
        <w:t xml:space="preserve">, 177(2), 343–356.</w:t>
      </w:r>
    </w:p>
    <w:p>
      <w:pPr>
        <w:pStyle w:val="Bibliography"/>
      </w:pPr>
      <w:r>
        <w:t xml:space="preserve">Fischer, T., &amp; Krauss, C. (2018). Deep learning with long short-term memory networks for financial market predictions.</w:t>
      </w:r>
      <w:r>
        <w:t xml:space="preserve"> </w:t>
      </w:r>
      <w:r>
        <w:rPr>
          <w:iCs/>
          <w:i/>
        </w:rPr>
        <w:t xml:space="preserve">European Journal of Operational Research</w:t>
      </w:r>
      <w:r>
        <w:t xml:space="preserve">, 270(2), 654–669.</w:t>
      </w:r>
    </w:p>
    <w:p>
      <w:pPr>
        <w:pStyle w:val="Bibliography"/>
      </w:pPr>
      <w:r>
        <w:t xml:space="preserve">Garlanda-Longueville, L. (2023).</w:t>
      </w:r>
      <w:r>
        <w:t xml:space="preserve"> </w:t>
      </w:r>
      <w:hyperlink r:id="rId102">
        <w:r>
          <w:rPr>
            <w:rStyle w:val="Hyperlink"/>
            <w:iCs/>
            <w:i/>
          </w:rPr>
          <w:t xml:space="preserve">Fiscalité bancaire, politique monétaire et annonces budgétaires : trois essais en économie bancaire et financière internationale</w:t>
        </w:r>
      </w:hyperlink>
      <w:r>
        <w:t xml:space="preserve"> </w:t>
      </w:r>
      <w:r>
        <w:t xml:space="preserve">[Thèse de doctorat, Université Paris Nanterre, dir. V. Mignon].</w:t>
      </w:r>
    </w:p>
    <w:p>
      <w:pPr>
        <w:pStyle w:val="Bibliography"/>
      </w:pPr>
      <w:r>
        <w:t xml:space="preserve">Giannone, D., Reichlin, L., &amp; Small, D. (2008). Nowcasting: The real-time informational content of macroeconomic data.</w:t>
      </w:r>
      <w:r>
        <w:t xml:space="preserve"> </w:t>
      </w:r>
      <w:r>
        <w:rPr>
          <w:iCs/>
          <w:i/>
        </w:rPr>
        <w:t xml:space="preserve">Journal of Monetary Economics</w:t>
      </w:r>
      <w:r>
        <w:t xml:space="preserve">, 55(4), 665–676.</w:t>
      </w:r>
    </w:p>
    <w:p>
      <w:pPr>
        <w:pStyle w:val="Bibliography"/>
      </w:pPr>
      <w:r>
        <w:t xml:space="preserve">Goulet Coulombe, P., Leroux, M., Stevanovic, D., &amp; Surprenant, S. (2022). How is machine learning useful for macroeconomic forecasting?</w:t>
      </w:r>
      <w:r>
        <w:t xml:space="preserve"> </w:t>
      </w:r>
      <w:r>
        <w:rPr>
          <w:iCs/>
          <w:i/>
        </w:rPr>
        <w:t xml:space="preserve">Journal of Applied Econometrics</w:t>
      </w:r>
      <w:r>
        <w:t xml:space="preserve">, 37(5), 920–964.</w:t>
      </w:r>
    </w:p>
    <w:p>
      <w:pPr>
        <w:pStyle w:val="Bibliography"/>
      </w:pPr>
      <w:r>
        <w:t xml:space="preserve">Gu, S., Kelly, B., &amp; Xiu, D. (2020). Empirical asset pricing via machine learning.</w:t>
      </w:r>
      <w:r>
        <w:t xml:space="preserve"> </w:t>
      </w:r>
      <w:r>
        <w:rPr>
          <w:iCs/>
          <w:i/>
        </w:rPr>
        <w:t xml:space="preserve">The Review of Financial Studies</w:t>
      </w:r>
      <w:r>
        <w:t xml:space="preserve">, 33(5), 2223–2273.</w:t>
      </w:r>
    </w:p>
    <w:p>
      <w:pPr>
        <w:pStyle w:val="Bibliography"/>
      </w:pPr>
      <w:r>
        <w:t xml:space="preserve">Harvey, D., Leybourne, S., &amp; Newbold, P. (1997). Testing the equality of prediction mean squared errors.</w:t>
      </w:r>
      <w:r>
        <w:t xml:space="preserve"> </w:t>
      </w:r>
      <w:r>
        <w:rPr>
          <w:iCs/>
          <w:i/>
        </w:rPr>
        <w:t xml:space="preserve">International Journal of Forecasting</w:t>
      </w:r>
      <w:r>
        <w:t xml:space="preserve">, 13(2), 281–291.</w:t>
      </w:r>
    </w:p>
    <w:p>
      <w:pPr>
        <w:pStyle w:val="Bibliography"/>
      </w:pPr>
      <w:r>
        <w:t xml:space="preserve">Janssen, M., Charalabidis, Y., &amp; Zuiderwijk, A. (2012). Benefits, adoption barriers and myths of open data and open government.</w:t>
      </w:r>
      <w:r>
        <w:t xml:space="preserve"> </w:t>
      </w:r>
      <w:r>
        <w:rPr>
          <w:iCs/>
          <w:i/>
        </w:rPr>
        <w:t xml:space="preserve">Information Systems Management</w:t>
      </w:r>
      <w:r>
        <w:t xml:space="preserve">, 29(4), 258–268.</w:t>
      </w:r>
    </w:p>
    <w:p>
      <w:pPr>
        <w:pStyle w:val="Bibliography"/>
      </w:pPr>
      <w:r>
        <w:t xml:space="preserve">Laubach, T. (2009). New evidence on the interest rate effects of budget deficits and debt.</w:t>
      </w:r>
      <w:r>
        <w:t xml:space="preserve"> </w:t>
      </w:r>
      <w:r>
        <w:rPr>
          <w:iCs/>
          <w:i/>
        </w:rPr>
        <w:t xml:space="preserve">Journal of the European Economic Association</w:t>
      </w:r>
      <w:r>
        <w:t xml:space="preserve">, 7(4), 858–885.</w:t>
      </w:r>
    </w:p>
    <w:p>
      <w:pPr>
        <w:pStyle w:val="Bibliography"/>
      </w:pPr>
      <w:r>
        <w:t xml:space="preserve">Lundberg, S. M., &amp; Lee, S.-I. (2017). A unified approach to interpreting model predictions.</w:t>
      </w:r>
      <w:r>
        <w:t xml:space="preserve"> </w:t>
      </w:r>
      <w:r>
        <w:rPr>
          <w:iCs/>
          <w:i/>
        </w:rPr>
        <w:t xml:space="preserve">Advances in Neural Information Processing Systems</w:t>
      </w:r>
      <w:r>
        <w:t xml:space="preserve">, 30.</w:t>
      </w:r>
    </w:p>
    <w:p>
      <w:pPr>
        <w:pStyle w:val="Bibliography"/>
      </w:pPr>
      <w:r>
        <w:t xml:space="preserve">McCracken, M. W., &amp; Ng, S. (2016). FRED-MD: A monthly database for macroeconomic research.</w:t>
      </w:r>
      <w:r>
        <w:t xml:space="preserve"> </w:t>
      </w:r>
      <w:r>
        <w:rPr>
          <w:iCs/>
          <w:i/>
        </w:rPr>
        <w:t xml:space="preserve">Journal of Business &amp; Economic Statistics</w:t>
      </w:r>
      <w:r>
        <w:t xml:space="preserve">, 34(4), 574–589.</w:t>
      </w:r>
    </w:p>
    <w:p>
      <w:pPr>
        <w:pStyle w:val="Bibliography"/>
      </w:pPr>
      <w:r>
        <w:t xml:space="preserve">Medeiros, M. C., Vasconcelos, G. F. R., Veiga, Á., &amp; Zilberman, E. (2021). Forecasting inflation in a data-rich environment: The benefits of machine learning methods.</w:t>
      </w:r>
      <w:r>
        <w:t xml:space="preserve"> </w:t>
      </w:r>
      <w:r>
        <w:rPr>
          <w:iCs/>
          <w:i/>
        </w:rPr>
        <w:t xml:space="preserve">Journal of Business &amp; Economic Statistics</w:t>
      </w:r>
      <w:r>
        <w:t xml:space="preserve">, 39(1), 98–119.</w:t>
      </w:r>
    </w:p>
    <w:p>
      <w:pPr>
        <w:pStyle w:val="Bibliography"/>
      </w:pPr>
      <w:r>
        <w:t xml:space="preserve">Ramey, V. A. (2011). Identifying government spending shocks: It’s all in the timing.</w:t>
      </w:r>
      <w:r>
        <w:t xml:space="preserve"> </w:t>
      </w:r>
      <w:r>
        <w:rPr>
          <w:iCs/>
          <w:i/>
        </w:rPr>
        <w:t xml:space="preserve">The Quarterly Journal of Economics</w:t>
      </w:r>
      <w:r>
        <w:t xml:space="preserve">, 126(1), 1–50.</w:t>
      </w:r>
    </w:p>
    <w:p>
      <w:pPr>
        <w:pStyle w:val="Bibliography"/>
      </w:pPr>
      <w:r>
        <w:t xml:space="preserve">Welch, I., &amp; Goyal, A. (2008). A comprehensive look at the empirical performance of equity premium prediction.</w:t>
      </w:r>
      <w:r>
        <w:t xml:space="preserve"> </w:t>
      </w:r>
      <w:r>
        <w:rPr>
          <w:iCs/>
          <w:i/>
        </w:rPr>
        <w:t xml:space="preserve">The Review of Financial Studies</w:t>
      </w:r>
      <w:r>
        <w:t xml:space="preserve">, 21(4), 1455–1508.</w:t>
      </w:r>
    </w:p>
    <w:bookmarkStart w:id="106" w:name="sources-en-ligne"/>
    <w:p>
      <w:pPr>
        <w:pStyle w:val="Heading2"/>
      </w:pPr>
      <w:r>
        <w:t xml:space="preserve">Sources en ligne</w:t>
      </w:r>
    </w:p>
    <w:p>
      <w:pPr>
        <w:pStyle w:val="Bibliography"/>
      </w:pPr>
      <w:r>
        <w:t xml:space="preserve">Ministère de l’Économie.</w:t>
      </w:r>
      <w:r>
        <w:t xml:space="preserve"> </w:t>
      </w:r>
      <w:hyperlink r:id="rId103">
        <w:r>
          <w:rPr>
            <w:rStyle w:val="Hyperlink"/>
          </w:rPr>
          <w:t xml:space="preserve">Situations mensuelles budgétaires de l’État, séries longues depuis 2013</w:t>
        </w:r>
      </w:hyperlink>
      <w:r>
        <w:t xml:space="preserve">. data.economie.gouv.fr.</w:t>
      </w:r>
    </w:p>
    <w:p>
      <w:pPr>
        <w:pStyle w:val="Bibliography"/>
      </w:pPr>
      <w:r>
        <w:t xml:space="preserve">DGFiP.</w:t>
      </w:r>
      <w:r>
        <w:t xml:space="preserve"> </w:t>
      </w:r>
      <w:hyperlink r:id="rId104">
        <w:r>
          <w:rPr>
            <w:rStyle w:val="Hyperlink"/>
          </w:rPr>
          <w:t xml:space="preserve">La situation mensuelle de l’État</w:t>
        </w:r>
      </w:hyperlink>
      <w:r>
        <w:t xml:space="preserve">. economie.gouv.fr.</w:t>
      </w:r>
    </w:p>
    <w:p>
      <w:pPr>
        <w:pStyle w:val="Bibliography"/>
      </w:pPr>
      <w:hyperlink r:id="rId105">
        <w:r>
          <w:rPr>
            <w:rStyle w:val="Hyperlink"/>
          </w:rPr>
          <w:t xml:space="preserve">Dépôt du projet</w:t>
        </w:r>
      </w:hyperlink>
      <w:r>
        <w:t xml:space="preserve">, GitHub (code, données, plan pré-enregistré</w:t>
      </w:r>
      <w:r>
        <w:t xml:space="preserve"> </w:t>
      </w:r>
      <w:r>
        <w:rPr>
          <w:rStyle w:val="VerbatimChar"/>
        </w:rPr>
        <w:t xml:space="preserve">docs/plan_extensions.md</w:t>
      </w:r>
      <w:r>
        <w:t xml:space="preserve">).</w:t>
      </w:r>
    </w:p>
    <w:bookmarkEnd w:id="106"/>
    <w:bookmarkEnd w:id="107"/>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jc w:val="both"/>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0" w:line="480" w:lineRule="auto"/>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12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0" w:line="48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60"/>
      <w:ind w:left="720" w:hanging="720"/>
      <w:jc w:val="left"/>
    </w:pPr>
    <w:rPr>
      <w:rFonts w:ascii="Times New Roman" w:hAnsi="Times New Roman" w:cs="Times New Roman" w:eastAsia="Times New Roman"/>
      <w:color w:val="000000"/>
      <w:sz w:val="24"/>
    </w:rPr>
  </w:style>
  <w:style w:styleId="Heading1" w:type="paragraph">
    <w:name w:val="Heading 1"/>
    <w:basedOn w:val="Normal"/>
    <w:next w:val="BodyText"/>
    <w:uiPriority w:val="9"/>
    <w:qFormat/>
    <w:pPr>
      <w:keepNext/>
      <w:keepLines/>
      <w:spacing w:after="240" w:before="360" w:line="240" w:lineRule="auto"/>
      <w:ind w:left="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240" w:before="360" w:line="240" w:lineRule="auto"/>
      <w:ind w:left="0"/>
      <w:jc w:val="left"/>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ind w:left="720"/>
      <w:jc w:val="left"/>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480" w:lineRule="auto"/>
      <w:ind w:firstLine="0" w:left="480" w:right="480"/>
      <w:jc w:val="both"/>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image" Target="media/rId61.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99" Type="http://schemas.openxmlformats.org/officeDocument/2006/relationships/hyperlink" Target="https://academic.oup.com/rfs/article-abstract/34/2/1046/5843806" TargetMode="External"/><Relationship Id="rId103" Type="http://schemas.openxmlformats.org/officeDocument/2006/relationships/hyperlink" Target="https://data.economie.gouv.fr/explore/assets/situations-mensuelles-budgetaires-series-longues/" TargetMode="External"/><Relationship Id="rId105" Type="http://schemas.openxmlformats.org/officeDocument/2006/relationships/hyperlink" Target="https://github.com/lyaminedb1/public-spending-market-prediction" TargetMode="External"/><Relationship Id="rId98" Type="http://schemas.openxmlformats.org/officeDocument/2006/relationships/hyperlink" Target="https://ideas.repec.org/a/wly/jforec/v42y2023i3p657-684.html" TargetMode="External"/><Relationship Id="rId97" Type="http://schemas.openxmlformats.org/officeDocument/2006/relationships/hyperlink" Target="https://link.springer.com/article/10.1007/s10614-025-11106-9" TargetMode="External"/><Relationship Id="rId100" Type="http://schemas.openxmlformats.org/officeDocument/2006/relationships/hyperlink" Target="https://research.dial.uclouvain.be/server/api/core/bitstreams/f99c9d92-b208-429f-84ec-256595aa55a5/content" TargetMode="External"/><Relationship Id="rId102" Type="http://schemas.openxmlformats.org/officeDocument/2006/relationships/hyperlink" Target="https://theses.fr/2023PA100145" TargetMode="External"/><Relationship Id="rId96" Type="http://schemas.openxmlformats.org/officeDocument/2006/relationships/hyperlink" Target="https://www.ecb.europa.eu/pub/pdf/scpwps/ecbwp1781.en.pdf" TargetMode="External"/><Relationship Id="rId104" Type="http://schemas.openxmlformats.org/officeDocument/2006/relationships/hyperlink" Target="https://www.economie.gouv.fr/dgfip/la-situation-mensuelle-de-letat" TargetMode="External"/><Relationship Id="rId101" Type="http://schemas.openxmlformats.org/officeDocument/2006/relationships/hyperlink" Target="https://www.sciencedirect.com/science/article/abs/pii/S030440761300081X"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9" Type="http://schemas.openxmlformats.org/officeDocument/2006/relationships/hyperlink" Target="https://academic.oup.com/rfs/article-abstract/34/2/1046/5843806" TargetMode="External"/><Relationship Id="rId103" Type="http://schemas.openxmlformats.org/officeDocument/2006/relationships/hyperlink" Target="https://data.economie.gouv.fr/explore/assets/situations-mensuelles-budgetaires-series-longues/" TargetMode="External"/><Relationship Id="rId105" Type="http://schemas.openxmlformats.org/officeDocument/2006/relationships/hyperlink" Target="https://github.com/lyaminedb1/public-spending-market-prediction" TargetMode="External"/><Relationship Id="rId98" Type="http://schemas.openxmlformats.org/officeDocument/2006/relationships/hyperlink" Target="https://ideas.repec.org/a/wly/jforec/v42y2023i3p657-684.html" TargetMode="External"/><Relationship Id="rId97" Type="http://schemas.openxmlformats.org/officeDocument/2006/relationships/hyperlink" Target="https://link.springer.com/article/10.1007/s10614-025-11106-9" TargetMode="External"/><Relationship Id="rId100" Type="http://schemas.openxmlformats.org/officeDocument/2006/relationships/hyperlink" Target="https://research.dial.uclouvain.be/server/api/core/bitstreams/f99c9d92-b208-429f-84ec-256595aa55a5/content" TargetMode="External"/><Relationship Id="rId102" Type="http://schemas.openxmlformats.org/officeDocument/2006/relationships/hyperlink" Target="https://theses.fr/2023PA100145" TargetMode="External"/><Relationship Id="rId96" Type="http://schemas.openxmlformats.org/officeDocument/2006/relationships/hyperlink" Target="https://www.ecb.europa.eu/pub/pdf/scpwps/ecbwp1781.en.pdf" TargetMode="External"/><Relationship Id="rId104" Type="http://schemas.openxmlformats.org/officeDocument/2006/relationships/hyperlink" Target="https://www.economie.gouv.fr/dgfip/la-situation-mensuelle-de-letat" TargetMode="External"/><Relationship Id="rId101" Type="http://schemas.openxmlformats.org/officeDocument/2006/relationships/hyperlink" Target="https://www.sciencedirect.com/science/article/abs/pii/S030440761300081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 Chapitres 1 à 4</dc:title>
  <dc:creator>Abdellah Elyamine DALI BRAHAM</dc:creator>
  <cp:keywords/>
  <dcterms:created xsi:type="dcterms:W3CDTF">2026-09-30T16:30:25Z</dcterms:created>
  <dcterms:modified xsi:type="dcterms:W3CDTF">2026-09-30T16:30:25Z</dcterms:modified>
</cp:coreProperties>
</file>

<file path=docProps/custom.xml><?xml version="1.0" encoding="utf-8"?>
<Properties xmlns="http://schemas.openxmlformats.org/officeDocument/2006/custom-properties" xmlns:vt="http://schemas.openxmlformats.org/officeDocument/2006/docPropsVTypes"/>
</file>