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611_1878758519"/>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613_1878758519"/>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l’aide à la rédaction. Le choix du sujet, de la problématique et du périmètre, les décisions de méthode et les interprétations relèvent de l’auteur, qui a relu et validé l’ensemble du texte. Les chiffres cités ont été vérifiés sur les fichiers de résultats, et les affirmations sur la littérature ont été vérifiées dans les articles originaux.</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615_1878758519"/>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617_1878758519"/>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611_1878758519">
            <w:r>
              <w:rPr>
                <w:webHidden/>
                <w:rStyle w:val="IndexLink"/>
              </w:rPr>
              <w:t>Remerciements</w:t>
              <w:tab/>
              <w:t>2</w:t>
            </w:r>
          </w:hyperlink>
        </w:p>
        <w:p>
          <w:pPr>
            <w:pStyle w:val="TOC1"/>
            <w:tabs>
              <w:tab w:val="clear" w:pos="9026"/>
              <w:tab w:val="right" w:pos="9025" w:leader="dot"/>
            </w:tabs>
            <w:rPr/>
          </w:pPr>
          <w:hyperlink w:anchor="__RefHeading___Toc19613_1878758519">
            <w:r>
              <w:rPr>
                <w:webHidden/>
                <w:rStyle w:val="IndexLink"/>
              </w:rPr>
              <w:t>Déclaration d’utilisation de l’intelligence artificielle</w:t>
              <w:tab/>
              <w:t>3</w:t>
            </w:r>
          </w:hyperlink>
        </w:p>
        <w:p>
          <w:pPr>
            <w:pStyle w:val="TOC1"/>
            <w:tabs>
              <w:tab w:val="clear" w:pos="9026"/>
              <w:tab w:val="right" w:pos="9025" w:leader="dot"/>
            </w:tabs>
            <w:rPr/>
          </w:pPr>
          <w:hyperlink w:anchor="__RefHeading___Toc19615_1878758519">
            <w:r>
              <w:rPr>
                <w:webHidden/>
                <w:rStyle w:val="IndexLink"/>
              </w:rPr>
              <w:t>Résumé</w:t>
              <w:tab/>
              <w:t>4</w:t>
            </w:r>
          </w:hyperlink>
        </w:p>
        <w:p>
          <w:pPr>
            <w:pStyle w:val="TOC1"/>
            <w:tabs>
              <w:tab w:val="clear" w:pos="9026"/>
              <w:tab w:val="right" w:pos="9025" w:leader="dot"/>
            </w:tabs>
            <w:rPr/>
          </w:pPr>
          <w:hyperlink w:anchor="__RefHeading___Toc19617_1878758519">
            <w:r>
              <w:rPr>
                <w:webHidden/>
                <w:rStyle w:val="IndexLink"/>
              </w:rPr>
              <w:t>Sommaire</w:t>
              <w:tab/>
              <w:t>5</w:t>
            </w:r>
          </w:hyperlink>
        </w:p>
        <w:p>
          <w:pPr>
            <w:pStyle w:val="TOC1"/>
            <w:tabs>
              <w:tab w:val="clear" w:pos="9026"/>
              <w:tab w:val="right" w:pos="9025" w:leader="dot"/>
            </w:tabs>
            <w:rPr/>
          </w:pPr>
          <w:hyperlink w:anchor="__RefHeading___Toc19619_1878758519">
            <w:r>
              <w:rPr>
                <w:webHidden/>
                <w:rStyle w:val="IndexLink"/>
              </w:rPr>
              <w:t>Liste des tableaux</w:t>
              <w:tab/>
              <w:t>9</w:t>
            </w:r>
          </w:hyperlink>
        </w:p>
        <w:p>
          <w:pPr>
            <w:pStyle w:val="TOC1"/>
            <w:tabs>
              <w:tab w:val="clear" w:pos="9026"/>
              <w:tab w:val="right" w:pos="9025" w:leader="dot"/>
            </w:tabs>
            <w:rPr/>
          </w:pPr>
          <w:hyperlink w:anchor="__RefHeading___Toc19621_1878758519">
            <w:r>
              <w:rPr>
                <w:webHidden/>
                <w:rStyle w:val="IndexLink"/>
              </w:rPr>
              <w:t>Liste des figures</w:t>
              <w:tab/>
              <w:t>10</w:t>
            </w:r>
          </w:hyperlink>
        </w:p>
        <w:p>
          <w:pPr>
            <w:pStyle w:val="TOC1"/>
            <w:tabs>
              <w:tab w:val="clear" w:pos="9026"/>
              <w:tab w:val="right" w:pos="9025" w:leader="dot"/>
            </w:tabs>
            <w:rPr/>
          </w:pPr>
          <w:hyperlink w:anchor="__RefHeading___Toc19623_1878758519">
            <w:r>
              <w:rPr>
                <w:webHidden/>
                <w:rStyle w:val="IndexLink"/>
              </w:rPr>
              <w:t>Liste des abréviations</w:t>
              <w:tab/>
              <w:t>11</w:t>
            </w:r>
          </w:hyperlink>
        </w:p>
        <w:p>
          <w:pPr>
            <w:pStyle w:val="TOC1"/>
            <w:tabs>
              <w:tab w:val="clear" w:pos="9026"/>
              <w:tab w:val="right" w:pos="9025" w:leader="dot"/>
            </w:tabs>
            <w:rPr/>
          </w:pPr>
          <w:hyperlink w:anchor="__RefHeading___Toc19625_1878758519">
            <w:r>
              <w:rPr>
                <w:webHidden/>
                <w:rStyle w:val="IndexLink"/>
              </w:rPr>
              <w:t>Glossaire</w:t>
              <w:tab/>
              <w:t>11</w:t>
            </w:r>
          </w:hyperlink>
        </w:p>
        <w:p>
          <w:pPr>
            <w:pStyle w:val="TOC1"/>
            <w:tabs>
              <w:tab w:val="clear" w:pos="9026"/>
              <w:tab w:val="right" w:pos="9025" w:leader="dot"/>
            </w:tabs>
            <w:rPr/>
          </w:pPr>
          <w:hyperlink w:anchor="__RefHeading___Toc19627_1878758519">
            <w:r>
              <w:rPr>
                <w:webHidden/>
                <w:rStyle w:val="IndexLink"/>
              </w:rPr>
              <w:t>Introduction générale</w:t>
              <w:tab/>
              <w:t>13</w:t>
            </w:r>
          </w:hyperlink>
        </w:p>
        <w:p>
          <w:pPr>
            <w:pStyle w:val="TOC2"/>
            <w:tabs>
              <w:tab w:val="clear" w:pos="8743"/>
              <w:tab w:val="right" w:pos="9025" w:leader="dot"/>
            </w:tabs>
            <w:rPr/>
          </w:pPr>
          <w:hyperlink w:anchor="__RefHeading___Toc19629_1878758519">
            <w:r>
              <w:rPr>
                <w:webHidden/>
                <w:rStyle w:val="IndexLink"/>
              </w:rPr>
              <w:t>Contexte</w:t>
              <w:tab/>
              <w:t>13</w:t>
            </w:r>
          </w:hyperlink>
        </w:p>
        <w:p>
          <w:pPr>
            <w:pStyle w:val="TOC2"/>
            <w:tabs>
              <w:tab w:val="clear" w:pos="8743"/>
              <w:tab w:val="right" w:pos="9025" w:leader="dot"/>
            </w:tabs>
            <w:rPr/>
          </w:pPr>
          <w:hyperlink w:anchor="__RefHeading___Toc19631_1878758519">
            <w:r>
              <w:rPr>
                <w:webHidden/>
                <w:rStyle w:val="IndexLink"/>
              </w:rPr>
              <w:t>Problématique</w:t>
              <w:tab/>
              <w:t>13</w:t>
            </w:r>
          </w:hyperlink>
        </w:p>
        <w:p>
          <w:pPr>
            <w:pStyle w:val="TOC2"/>
            <w:tabs>
              <w:tab w:val="clear" w:pos="8743"/>
              <w:tab w:val="right" w:pos="9025" w:leader="dot"/>
            </w:tabs>
            <w:rPr/>
          </w:pPr>
          <w:hyperlink w:anchor="__RefHeading___Toc19633_1878758519">
            <w:r>
              <w:rPr>
                <w:webHidden/>
                <w:rStyle w:val="IndexLink"/>
              </w:rPr>
              <w:t>Objectif et démarche</w:t>
              <w:tab/>
              <w:t>14</w:t>
            </w:r>
          </w:hyperlink>
        </w:p>
        <w:p>
          <w:pPr>
            <w:pStyle w:val="TOC2"/>
            <w:tabs>
              <w:tab w:val="clear" w:pos="8743"/>
              <w:tab w:val="right" w:pos="9025" w:leader="dot"/>
            </w:tabs>
            <w:rPr/>
          </w:pPr>
          <w:hyperlink w:anchor="__RefHeading___Toc19635_1878758519">
            <w:r>
              <w:rPr>
                <w:webHidden/>
                <w:rStyle w:val="IndexLink"/>
              </w:rPr>
              <w:t>Apports</w:t>
              <w:tab/>
              <w:t>14</w:t>
            </w:r>
          </w:hyperlink>
        </w:p>
        <w:p>
          <w:pPr>
            <w:pStyle w:val="TOC2"/>
            <w:tabs>
              <w:tab w:val="clear" w:pos="8743"/>
              <w:tab w:val="right" w:pos="9025" w:leader="dot"/>
            </w:tabs>
            <w:rPr/>
          </w:pPr>
          <w:hyperlink w:anchor="__RefHeading___Toc19637_1878758519">
            <w:r>
              <w:rPr>
                <w:webHidden/>
                <w:rStyle w:val="IndexLink"/>
              </w:rPr>
              <w:t>Plan du mémoire</w:t>
              <w:tab/>
              <w:t>15</w:t>
            </w:r>
          </w:hyperlink>
        </w:p>
        <w:p>
          <w:pPr>
            <w:pStyle w:val="TOC1"/>
            <w:tabs>
              <w:tab w:val="clear" w:pos="9026"/>
              <w:tab w:val="right" w:pos="9025" w:leader="dot"/>
            </w:tabs>
            <w:rPr/>
          </w:pPr>
          <w:hyperlink w:anchor="__RefHeading___Toc19639_1878758519">
            <w:r>
              <w:rPr>
                <w:webHidden/>
                <w:rStyle w:val="IndexLink"/>
              </w:rPr>
              <w:t>Chapitre 1 – État de l’art</w:t>
              <w:tab/>
              <w:t>16</w:t>
            </w:r>
          </w:hyperlink>
        </w:p>
        <w:p>
          <w:pPr>
            <w:pStyle w:val="TOC2"/>
            <w:tabs>
              <w:tab w:val="clear" w:pos="8743"/>
              <w:tab w:val="right" w:pos="9025" w:leader="dot"/>
            </w:tabs>
            <w:rPr/>
          </w:pPr>
          <w:hyperlink w:anchor="__RefHeading___Toc19641_1878758519">
            <w:r>
              <w:rPr>
                <w:webHidden/>
                <w:rStyle w:val="IndexLink"/>
              </w:rPr>
              <w:t>Introduction du chapitre</w:t>
              <w:tab/>
              <w:t>16</w:t>
            </w:r>
          </w:hyperlink>
        </w:p>
        <w:p>
          <w:pPr>
            <w:pStyle w:val="TOC2"/>
            <w:tabs>
              <w:tab w:val="clear" w:pos="8743"/>
              <w:tab w:val="right" w:pos="9025" w:leader="dot"/>
            </w:tabs>
            <w:rPr/>
          </w:pPr>
          <w:hyperlink w:anchor="__RefHeading___Toc19643_1878758519">
            <w:r>
              <w:rPr>
                <w:webHidden/>
                <w:rStyle w:val="IndexLink"/>
              </w:rPr>
              <w:t>1.1 Cadre théorique : ce que l’on peut attendre</w:t>
              <w:tab/>
              <w:t>17</w:t>
            </w:r>
          </w:hyperlink>
        </w:p>
        <w:p>
          <w:pPr>
            <w:pStyle w:val="TOC2"/>
            <w:tabs>
              <w:tab w:val="clear" w:pos="8743"/>
              <w:tab w:val="right" w:pos="9025" w:leader="dot"/>
            </w:tabs>
            <w:rPr/>
          </w:pPr>
          <w:hyperlink w:anchor="__RefHeading___Toc19645_1878758519">
            <w:r>
              <w:rPr>
                <w:webHidden/>
                <w:rStyle w:val="IndexLink"/>
              </w:rPr>
              <w:t>1.2 Finances publiques et spreads souverains en zone euro</w:t>
              <w:tab/>
              <w:t>18</w:t>
            </w:r>
          </w:hyperlink>
        </w:p>
        <w:p>
          <w:pPr>
            <w:pStyle w:val="TOC2"/>
            <w:tabs>
              <w:tab w:val="clear" w:pos="8743"/>
              <w:tab w:val="right" w:pos="9025" w:leader="dot"/>
            </w:tabs>
            <w:rPr/>
          </w:pPr>
          <w:hyperlink w:anchor="__RefHeading___Toc19647_1878758519">
            <w:r>
              <w:rPr>
                <w:webHidden/>
                <w:rStyle w:val="IndexLink"/>
              </w:rPr>
              <w:t>1.3 Machine learning et prévision des spreads</w:t>
              <w:tab/>
              <w:t>21</w:t>
            </w:r>
          </w:hyperlink>
        </w:p>
        <w:p>
          <w:pPr>
            <w:pStyle w:val="TOC2"/>
            <w:tabs>
              <w:tab w:val="clear" w:pos="8743"/>
              <w:tab w:val="right" w:pos="9025" w:leader="dot"/>
            </w:tabs>
            <w:rPr/>
          </w:pPr>
          <w:hyperlink w:anchor="__RefHeading___Toc19649_1878758519">
            <w:r>
              <w:rPr>
                <w:webHidden/>
                <w:rStyle w:val="IndexLink"/>
              </w:rPr>
              <w:t>1.4 Données ouvertes et précautions de méthode</w:t>
              <w:tab/>
              <w:t>23</w:t>
            </w:r>
          </w:hyperlink>
        </w:p>
        <w:p>
          <w:pPr>
            <w:pStyle w:val="TOC2"/>
            <w:tabs>
              <w:tab w:val="clear" w:pos="8743"/>
              <w:tab w:val="right" w:pos="9025" w:leader="dot"/>
            </w:tabs>
            <w:rPr/>
          </w:pPr>
          <w:hyperlink w:anchor="__RefHeading___Toc19651_1878758519">
            <w:r>
              <w:rPr>
                <w:webHidden/>
                <w:rStyle w:val="IndexLink"/>
              </w:rPr>
              <w:t>1.5 Synthèse et positionnement du mémoire</w:t>
              <w:tab/>
              <w:t>25</w:t>
            </w:r>
          </w:hyperlink>
        </w:p>
        <w:p>
          <w:pPr>
            <w:pStyle w:val="TOC1"/>
            <w:tabs>
              <w:tab w:val="clear" w:pos="9026"/>
              <w:tab w:val="right" w:pos="9025" w:leader="dot"/>
            </w:tabs>
            <w:rPr/>
          </w:pPr>
          <w:hyperlink w:anchor="__RefHeading___Toc19653_1878758519">
            <w:r>
              <w:rPr>
                <w:webHidden/>
                <w:rStyle w:val="IndexLink"/>
              </w:rPr>
              <w:t>Chapitre 2 – Données et méthodologie</w:t>
              <w:tab/>
              <w:t>29</w:t>
            </w:r>
          </w:hyperlink>
        </w:p>
        <w:p>
          <w:pPr>
            <w:pStyle w:val="TOC2"/>
            <w:tabs>
              <w:tab w:val="clear" w:pos="8743"/>
              <w:tab w:val="right" w:pos="9025" w:leader="dot"/>
            </w:tabs>
            <w:rPr/>
          </w:pPr>
          <w:hyperlink w:anchor="__RefHeading___Toc19655_1878758519">
            <w:r>
              <w:rPr>
                <w:webHidden/>
                <w:rStyle w:val="IndexLink"/>
              </w:rPr>
              <w:t>Introduction du chapitre</w:t>
              <w:tab/>
              <w:t>29</w:t>
            </w:r>
          </w:hyperlink>
        </w:p>
        <w:p>
          <w:pPr>
            <w:pStyle w:val="TOC2"/>
            <w:tabs>
              <w:tab w:val="clear" w:pos="8743"/>
              <w:tab w:val="right" w:pos="9025" w:leader="dot"/>
            </w:tabs>
            <w:rPr/>
          </w:pPr>
          <w:hyperlink w:anchor="__RefHeading___Toc19657_1878758519">
            <w:r>
              <w:rPr>
                <w:webHidden/>
                <w:rStyle w:val="IndexLink"/>
              </w:rPr>
              <w:t>2.1 Sources des données</w:t>
              <w:tab/>
              <w:t>29</w:t>
            </w:r>
          </w:hyperlink>
        </w:p>
        <w:p>
          <w:pPr>
            <w:pStyle w:val="TOC2"/>
            <w:tabs>
              <w:tab w:val="clear" w:pos="8743"/>
              <w:tab w:val="right" w:pos="9025" w:leader="dot"/>
            </w:tabs>
            <w:rPr/>
          </w:pPr>
          <w:hyperlink w:anchor="__RefHeading___Toc19659_1878758519">
            <w:r>
              <w:rPr>
                <w:webHidden/>
                <w:rStyle w:val="IndexLink"/>
              </w:rPr>
              <w:t>2.2 Construction du jeu de données</w:t>
              <w:tab/>
              <w:t>31</w:t>
            </w:r>
          </w:hyperlink>
        </w:p>
        <w:p>
          <w:pPr>
            <w:pStyle w:val="TOC2"/>
            <w:tabs>
              <w:tab w:val="clear" w:pos="8743"/>
              <w:tab w:val="right" w:pos="9025" w:leader="dot"/>
            </w:tabs>
            <w:rPr/>
          </w:pPr>
          <w:hyperlink w:anchor="__RefHeading___Toc19661_1878758519">
            <w:r>
              <w:rPr>
                <w:webHidden/>
                <w:rStyle w:val="IndexLink"/>
              </w:rPr>
              <w:t>2.3 Variables cibles et stationnarité</w:t>
              <w:tab/>
              <w:t>34</w:t>
            </w:r>
          </w:hyperlink>
        </w:p>
        <w:p>
          <w:pPr>
            <w:pStyle w:val="TOC2"/>
            <w:tabs>
              <w:tab w:val="clear" w:pos="8743"/>
              <w:tab w:val="right" w:pos="9025" w:leader="dot"/>
            </w:tabs>
            <w:rPr/>
          </w:pPr>
          <w:hyperlink w:anchor="__RefHeading___Toc19663_1878758519">
            <w:r>
              <w:rPr>
                <w:webHidden/>
                <w:rStyle w:val="IndexLink"/>
              </w:rPr>
              <w:t>2.4 Variables explicatives</w:t>
              <w:tab/>
              <w:t>35</w:t>
            </w:r>
          </w:hyperlink>
        </w:p>
        <w:p>
          <w:pPr>
            <w:pStyle w:val="TOC2"/>
            <w:tabs>
              <w:tab w:val="clear" w:pos="8743"/>
              <w:tab w:val="right" w:pos="9025" w:leader="dot"/>
            </w:tabs>
            <w:rPr/>
          </w:pPr>
          <w:hyperlink w:anchor="__RefHeading___Toc19665_1878758519">
            <w:r>
              <w:rPr>
                <w:webHidden/>
                <w:rStyle w:val="IndexLink"/>
              </w:rPr>
              <w:t>2.5 Modèles retenus</w:t>
              <w:tab/>
              <w:t>36</w:t>
            </w:r>
          </w:hyperlink>
        </w:p>
        <w:p>
          <w:pPr>
            <w:pStyle w:val="TOC2"/>
            <w:tabs>
              <w:tab w:val="clear" w:pos="8743"/>
              <w:tab w:val="right" w:pos="9025" w:leader="dot"/>
            </w:tabs>
            <w:rPr/>
          </w:pPr>
          <w:hyperlink w:anchor="__RefHeading___Toc19667_1878758519">
            <w:r>
              <w:rPr>
                <w:webHidden/>
                <w:rStyle w:val="IndexLink"/>
              </w:rPr>
              <w:t>2.6 Protocole d’évaluation</w:t>
              <w:tab/>
              <w:t>38</w:t>
            </w:r>
          </w:hyperlink>
        </w:p>
        <w:p>
          <w:pPr>
            <w:pStyle w:val="TOC2"/>
            <w:tabs>
              <w:tab w:val="clear" w:pos="8743"/>
              <w:tab w:val="right" w:pos="9025" w:leader="dot"/>
            </w:tabs>
            <w:rPr/>
          </w:pPr>
          <w:hyperlink w:anchor="__RefHeading___Toc19669_1878758519">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19671_1878758519">
            <w:r>
              <w:rPr>
                <w:webHidden/>
                <w:rStyle w:val="IndexLink"/>
              </w:rPr>
              <w:t>2.8 Considérations éthiques</w:t>
              <w:tab/>
              <w:t>44</w:t>
            </w:r>
          </w:hyperlink>
        </w:p>
        <w:p>
          <w:pPr>
            <w:pStyle w:val="TOC1"/>
            <w:tabs>
              <w:tab w:val="clear" w:pos="9026"/>
              <w:tab w:val="right" w:pos="9025" w:leader="dot"/>
            </w:tabs>
            <w:rPr/>
          </w:pPr>
          <w:hyperlink w:anchor="__RefHeading___Toc19673_1878758519">
            <w:r>
              <w:rPr>
                <w:webHidden/>
                <w:rStyle w:val="IndexLink"/>
              </w:rPr>
              <w:t>Chapitre 3 – Résultats</w:t>
              <w:tab/>
              <w:t>45</w:t>
            </w:r>
          </w:hyperlink>
        </w:p>
        <w:p>
          <w:pPr>
            <w:pStyle w:val="TOC2"/>
            <w:tabs>
              <w:tab w:val="clear" w:pos="8743"/>
              <w:tab w:val="right" w:pos="9025" w:leader="dot"/>
            </w:tabs>
            <w:rPr/>
          </w:pPr>
          <w:hyperlink w:anchor="__RefHeading___Toc19675_1878758519">
            <w:r>
              <w:rPr>
                <w:webHidden/>
                <w:rStyle w:val="IndexLink"/>
              </w:rPr>
              <w:t>3.1 Statistiques descriptives</w:t>
              <w:tab/>
              <w:t>45</w:t>
            </w:r>
          </w:hyperlink>
        </w:p>
        <w:p>
          <w:pPr>
            <w:pStyle w:val="TOC2"/>
            <w:tabs>
              <w:tab w:val="clear" w:pos="8743"/>
              <w:tab w:val="right" w:pos="9025" w:leader="dot"/>
            </w:tabs>
            <w:rPr/>
          </w:pPr>
          <w:hyperlink w:anchor="__RefHeading___Toc19677_1878758519">
            <w:r>
              <w:rPr>
                <w:webHidden/>
                <w:rStyle w:val="IndexLink"/>
              </w:rPr>
              <w:t>3.2 Modèles principaux</w:t>
              <w:tab/>
              <w:t>46</w:t>
            </w:r>
          </w:hyperlink>
        </w:p>
        <w:p>
          <w:pPr>
            <w:pStyle w:val="TOC2"/>
            <w:tabs>
              <w:tab w:val="clear" w:pos="8743"/>
              <w:tab w:val="right" w:pos="9025" w:leader="dot"/>
            </w:tabs>
            <w:rPr/>
          </w:pPr>
          <w:hyperlink w:anchor="__RefHeading___Toc19679_1878758519">
            <w:r>
              <w:rPr>
                <w:webHidden/>
                <w:rStyle w:val="IndexLink"/>
              </w:rPr>
              <w:t>3.3 Solidité des résultats</w:t>
              <w:tab/>
              <w:t>48</w:t>
            </w:r>
          </w:hyperlink>
        </w:p>
        <w:p>
          <w:pPr>
            <w:pStyle w:val="TOC2"/>
            <w:tabs>
              <w:tab w:val="clear" w:pos="8743"/>
              <w:tab w:val="right" w:pos="9025" w:leader="dot"/>
            </w:tabs>
            <w:rPr/>
          </w:pPr>
          <w:hyperlink w:anchor="__RefHeading___Toc19681_1878758519">
            <w:r>
              <w:rPr>
                <w:webHidden/>
                <w:rStyle w:val="IndexLink"/>
              </w:rPr>
              <w:t>3.4 Importance des variables</w:t>
              <w:tab/>
              <w:t>49</w:t>
            </w:r>
          </w:hyperlink>
        </w:p>
        <w:p>
          <w:pPr>
            <w:pStyle w:val="TOC2"/>
            <w:tabs>
              <w:tab w:val="clear" w:pos="8743"/>
              <w:tab w:val="right" w:pos="9025" w:leader="dot"/>
            </w:tabs>
            <w:rPr/>
          </w:pPr>
          <w:hyperlink w:anchor="__RefHeading___Toc19683_1878758519">
            <w:r>
              <w:rPr>
                <w:webHidden/>
                <w:rStyle w:val="IndexLink"/>
              </w:rPr>
              <w:t>3.5 Extensions sur les données françaises</w:t>
              <w:tab/>
              <w:t>50</w:t>
            </w:r>
          </w:hyperlink>
        </w:p>
        <w:p>
          <w:pPr>
            <w:pStyle w:val="TOC2"/>
            <w:tabs>
              <w:tab w:val="clear" w:pos="8743"/>
              <w:tab w:val="right" w:pos="9025" w:leader="dot"/>
            </w:tabs>
            <w:rPr/>
          </w:pPr>
          <w:hyperlink w:anchor="__RefHeading___Toc19685_1878758519">
            <w:r>
              <w:rPr>
                <w:webHidden/>
                <w:rStyle w:val="IndexLink"/>
              </w:rPr>
              <w:t>3.6 Panel européen et marche aléatoire (E15 à E18)</w:t>
              <w:tab/>
              <w:t>52</w:t>
            </w:r>
          </w:hyperlink>
        </w:p>
        <w:p>
          <w:pPr>
            <w:pStyle w:val="TOC2"/>
            <w:tabs>
              <w:tab w:val="clear" w:pos="8743"/>
              <w:tab w:val="right" w:pos="9025" w:leader="dot"/>
            </w:tabs>
            <w:rPr/>
          </w:pPr>
          <w:hyperlink w:anchor="__RefHeading___Toc19687_1878758519">
            <w:r>
              <w:rPr>
                <w:webHidden/>
                <w:rStyle w:val="IndexLink"/>
              </w:rPr>
              <w:t>3.7 Synthèse : état des hypothèses</w:t>
              <w:tab/>
              <w:t>54</w:t>
            </w:r>
          </w:hyperlink>
        </w:p>
        <w:p>
          <w:pPr>
            <w:pStyle w:val="TOC1"/>
            <w:tabs>
              <w:tab w:val="clear" w:pos="9026"/>
              <w:tab w:val="right" w:pos="9025" w:leader="dot"/>
            </w:tabs>
            <w:rPr/>
          </w:pPr>
          <w:hyperlink w:anchor="__RefHeading___Toc19689_1878758519">
            <w:r>
              <w:rPr>
                <w:webHidden/>
                <w:rStyle w:val="IndexLink"/>
              </w:rPr>
              <w:t>Chapitre 4 – Discussion</w:t>
              <w:tab/>
              <w:t>55</w:t>
            </w:r>
          </w:hyperlink>
        </w:p>
        <w:p>
          <w:pPr>
            <w:pStyle w:val="TOC2"/>
            <w:tabs>
              <w:tab w:val="clear" w:pos="8743"/>
              <w:tab w:val="right" w:pos="9025" w:leader="dot"/>
            </w:tabs>
            <w:rPr/>
          </w:pPr>
          <w:hyperlink w:anchor="__RefHeading___Toc19691_1878758519">
            <w:r>
              <w:rPr>
                <w:webHidden/>
                <w:rStyle w:val="IndexLink"/>
              </w:rPr>
              <w:t>4.1 Réponse à la problématique</w:t>
              <w:tab/>
              <w:t>55</w:t>
            </w:r>
          </w:hyperlink>
        </w:p>
        <w:p>
          <w:pPr>
            <w:pStyle w:val="TOC2"/>
            <w:tabs>
              <w:tab w:val="clear" w:pos="8743"/>
              <w:tab w:val="right" w:pos="9025" w:leader="dot"/>
            </w:tabs>
            <w:rPr/>
          </w:pPr>
          <w:hyperlink w:anchor="__RefHeading___Toc19693_1878758519">
            <w:r>
              <w:rPr>
                <w:webHidden/>
                <w:rStyle w:val="IndexLink"/>
              </w:rPr>
              <w:t>4.2 Pourquoi les dépenses n’aident pas : trois explications</w:t>
              <w:tab/>
              <w:t>56</w:t>
            </w:r>
          </w:hyperlink>
        </w:p>
        <w:p>
          <w:pPr>
            <w:pStyle w:val="TOC2"/>
            <w:tabs>
              <w:tab w:val="clear" w:pos="8743"/>
              <w:tab w:val="right" w:pos="9025" w:leader="dot"/>
            </w:tabs>
            <w:rPr/>
          </w:pPr>
          <w:hyperlink w:anchor="__RefHeading___Toc19695_1878758519">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19697_1878758519">
            <w:r>
              <w:rPr>
                <w:webHidden/>
                <w:rStyle w:val="IndexLink"/>
              </w:rPr>
              <w:t>4.4 Retour sur les modèles : pourquoi le machine learning ne fait pas mieux, et ce qui reste prévisible</w:t>
              <w:tab/>
              <w:t>59</w:t>
            </w:r>
          </w:hyperlink>
        </w:p>
        <w:p>
          <w:pPr>
            <w:pStyle w:val="TOC2"/>
            <w:tabs>
              <w:tab w:val="clear" w:pos="8743"/>
              <w:tab w:val="right" w:pos="9025" w:leader="dot"/>
            </w:tabs>
            <w:rPr/>
          </w:pPr>
          <w:hyperlink w:anchor="__RefHeading___Toc19699_1878758519">
            <w:r>
              <w:rPr>
                <w:webHidden/>
                <w:rStyle w:val="IndexLink"/>
              </w:rPr>
              <w:t>4.5 Comparaison avec la littérature</w:t>
              <w:tab/>
              <w:t>61</w:t>
            </w:r>
          </w:hyperlink>
        </w:p>
        <w:p>
          <w:pPr>
            <w:pStyle w:val="TOC2"/>
            <w:tabs>
              <w:tab w:val="clear" w:pos="8743"/>
              <w:tab w:val="right" w:pos="9025" w:leader="dot"/>
            </w:tabs>
            <w:rPr/>
          </w:pPr>
          <w:hyperlink w:anchor="__RefHeading___Toc19701_1878758519">
            <w:r>
              <w:rPr>
                <w:webHidden/>
                <w:rStyle w:val="IndexLink"/>
              </w:rPr>
              <w:t>4.6 Implications</w:t>
              <w:tab/>
              <w:t>63</w:t>
            </w:r>
          </w:hyperlink>
        </w:p>
        <w:p>
          <w:pPr>
            <w:pStyle w:val="TOC2"/>
            <w:tabs>
              <w:tab w:val="clear" w:pos="8743"/>
              <w:tab w:val="right" w:pos="9025" w:leader="dot"/>
            </w:tabs>
            <w:rPr/>
          </w:pPr>
          <w:hyperlink w:anchor="__RefHeading___Toc19703_1878758519">
            <w:r>
              <w:rPr>
                <w:webHidden/>
                <w:rStyle w:val="IndexLink"/>
              </w:rPr>
              <w:t>4.7 Limites</w:t>
              <w:tab/>
              <w:t>63</w:t>
            </w:r>
          </w:hyperlink>
        </w:p>
        <w:p>
          <w:pPr>
            <w:pStyle w:val="TOC2"/>
            <w:tabs>
              <w:tab w:val="clear" w:pos="8743"/>
              <w:tab w:val="right" w:pos="9025" w:leader="dot"/>
            </w:tabs>
            <w:rPr/>
          </w:pPr>
          <w:hyperlink w:anchor="__RefHeading___Toc19705_1878758519">
            <w:r>
              <w:rPr>
                <w:webHidden/>
                <w:rStyle w:val="IndexLink"/>
              </w:rPr>
              <w:t>4.8 Recherches futures</w:t>
              <w:tab/>
              <w:t>65</w:t>
            </w:r>
          </w:hyperlink>
        </w:p>
        <w:p>
          <w:pPr>
            <w:pStyle w:val="TOC1"/>
            <w:tabs>
              <w:tab w:val="clear" w:pos="9026"/>
              <w:tab w:val="right" w:pos="9025" w:leader="dot"/>
            </w:tabs>
            <w:rPr/>
          </w:pPr>
          <w:hyperlink w:anchor="__RefHeading___Toc19707_1878758519">
            <w:r>
              <w:rPr>
                <w:webHidden/>
                <w:rStyle w:val="IndexLink"/>
              </w:rPr>
              <w:t>Conclusion générale</w:t>
              <w:tab/>
              <w:t>67</w:t>
            </w:r>
          </w:hyperlink>
        </w:p>
        <w:p>
          <w:pPr>
            <w:pStyle w:val="TOC2"/>
            <w:tabs>
              <w:tab w:val="clear" w:pos="8743"/>
              <w:tab w:val="right" w:pos="9025" w:leader="dot"/>
            </w:tabs>
            <w:rPr/>
          </w:pPr>
          <w:hyperlink w:anchor="__RefHeading___Toc19709_1878758519">
            <w:r>
              <w:rPr>
                <w:webHidden/>
                <w:rStyle w:val="IndexLink"/>
              </w:rPr>
              <w:t>Principaux résultats</w:t>
              <w:tab/>
              <w:t>67</w:t>
            </w:r>
          </w:hyperlink>
        </w:p>
        <w:p>
          <w:pPr>
            <w:pStyle w:val="TOC2"/>
            <w:tabs>
              <w:tab w:val="clear" w:pos="8743"/>
              <w:tab w:val="right" w:pos="9025" w:leader="dot"/>
            </w:tabs>
            <w:rPr/>
          </w:pPr>
          <w:hyperlink w:anchor="__RefHeading___Toc19711_1878758519">
            <w:r>
              <w:rPr>
                <w:webHidden/>
                <w:rStyle w:val="IndexLink"/>
              </w:rPr>
              <w:t>Apports</w:t>
              <w:tab/>
              <w:t>67</w:t>
            </w:r>
          </w:hyperlink>
        </w:p>
        <w:p>
          <w:pPr>
            <w:pStyle w:val="TOC2"/>
            <w:tabs>
              <w:tab w:val="clear" w:pos="8743"/>
              <w:tab w:val="right" w:pos="9025" w:leader="dot"/>
            </w:tabs>
            <w:rPr/>
          </w:pPr>
          <w:hyperlink w:anchor="__RefHeading___Toc19713_1878758519">
            <w:r>
              <w:rPr>
                <w:webHidden/>
                <w:rStyle w:val="IndexLink"/>
              </w:rPr>
              <w:t>Limites</w:t>
              <w:tab/>
              <w:t>68</w:t>
            </w:r>
          </w:hyperlink>
        </w:p>
        <w:p>
          <w:pPr>
            <w:pStyle w:val="TOC2"/>
            <w:tabs>
              <w:tab w:val="clear" w:pos="8743"/>
              <w:tab w:val="right" w:pos="9025" w:leader="dot"/>
            </w:tabs>
            <w:rPr/>
          </w:pPr>
          <w:hyperlink w:anchor="__RefHeading___Toc19715_1878758519">
            <w:r>
              <w:rPr>
                <w:webHidden/>
                <w:rStyle w:val="IndexLink"/>
              </w:rPr>
              <w:t>Perspectives</w:t>
              <w:tab/>
              <w:t>68</w:t>
            </w:r>
          </w:hyperlink>
        </w:p>
        <w:p>
          <w:pPr>
            <w:pStyle w:val="TOC1"/>
            <w:tabs>
              <w:tab w:val="clear" w:pos="9026"/>
              <w:tab w:val="right" w:pos="9025" w:leader="dot"/>
            </w:tabs>
            <w:rPr/>
          </w:pPr>
          <w:hyperlink w:anchor="__RefHeading___Toc19717_1878758519">
            <w:r>
              <w:rPr>
                <w:webHidden/>
                <w:rStyle w:val="IndexLink"/>
              </w:rPr>
              <w:t>Références</w:t>
              <w:tab/>
              <w:t>69</w:t>
            </w:r>
          </w:hyperlink>
        </w:p>
        <w:p>
          <w:pPr>
            <w:pStyle w:val="TOC2"/>
            <w:tabs>
              <w:tab w:val="clear" w:pos="8743"/>
              <w:tab w:val="right" w:pos="9025" w:leader="dot"/>
            </w:tabs>
            <w:rPr/>
          </w:pPr>
          <w:hyperlink w:anchor="__RefHeading___Toc19719_1878758519">
            <w:r>
              <w:rPr>
                <w:webHidden/>
                <w:rStyle w:val="IndexLink"/>
              </w:rPr>
              <w:t>Sources en ligne</w:t>
              <w:tab/>
              <w:t>71</w:t>
            </w:r>
          </w:hyperlink>
        </w:p>
        <w:p>
          <w:pPr>
            <w:pStyle w:val="TOC1"/>
            <w:tabs>
              <w:tab w:val="clear" w:pos="9026"/>
              <w:tab w:val="right" w:pos="9025" w:leader="dot"/>
            </w:tabs>
            <w:rPr/>
          </w:pPr>
          <w:hyperlink w:anchor="__RefHeading___Toc19721_1878758519">
            <w:r>
              <w:rPr>
                <w:webHidden/>
                <w:rStyle w:val="IndexLink"/>
              </w:rPr>
              <w:t>Annexes</w:t>
              <w:tab/>
              <w:t>72</w:t>
            </w:r>
          </w:hyperlink>
        </w:p>
        <w:p>
          <w:pPr>
            <w:pStyle w:val="TOC2"/>
            <w:tabs>
              <w:tab w:val="clear" w:pos="8743"/>
              <w:tab w:val="right" w:pos="9025" w:leader="dot"/>
            </w:tabs>
            <w:rPr/>
          </w:pPr>
          <w:hyperlink w:anchor="__RefHeading___Toc19723_1878758519">
            <w:r>
              <w:rPr>
                <w:webHidden/>
                <w:rStyle w:val="IndexLink"/>
              </w:rPr>
              <w:t>Annexe A – Variables des modèles principaux</w:t>
              <w:tab/>
              <w:t>72</w:t>
            </w:r>
          </w:hyperlink>
        </w:p>
        <w:p>
          <w:pPr>
            <w:pStyle w:val="TOC2"/>
            <w:tabs>
              <w:tab w:val="clear" w:pos="8743"/>
              <w:tab w:val="right" w:pos="9025" w:leader="dot"/>
            </w:tabs>
            <w:rPr/>
          </w:pPr>
          <w:hyperlink w:anchor="__RefHeading___Toc19725_1878758519">
            <w:r>
              <w:rPr>
                <w:webHidden/>
                <w:rStyle w:val="IndexLink"/>
              </w:rPr>
              <w:t>Annexe B – Détail des extensions E1 à E20</w:t>
              <w:tab/>
              <w:t>72</w:t>
            </w:r>
          </w:hyperlink>
        </w:p>
        <w:p>
          <w:pPr>
            <w:pStyle w:val="TOC2"/>
            <w:tabs>
              <w:tab w:val="clear" w:pos="8743"/>
              <w:tab w:val="right" w:pos="9025" w:leader="dot"/>
            </w:tabs>
            <w:rPr/>
          </w:pPr>
          <w:hyperlink w:anchor="__RefHeading___Toc19727_1878758519">
            <w:r>
              <w:rPr>
                <w:webHidden/>
                <w:rStyle w:val="IndexLink"/>
              </w:rPr>
              <w:t>Annexe C – Sensibilité à la graine aléatoire</w:t>
              <w:tab/>
              <w:t>86</w:t>
            </w:r>
          </w:hyperlink>
        </w:p>
        <w:p>
          <w:pPr>
            <w:pStyle w:val="TOC2"/>
            <w:tabs>
              <w:tab w:val="clear" w:pos="8743"/>
              <w:tab w:val="right" w:pos="9025" w:leader="dot"/>
            </w:tabs>
            <w:rPr/>
          </w:pPr>
          <w:hyperlink w:anchor="__RefHeading___Toc19729_1878758519">
            <w:r>
              <w:rPr>
                <w:webHidden/>
                <w:rStyle w:val="IndexLink"/>
              </w:rPr>
              <w:t>Annexe D – Contrôle négatif : dépenses contre variables de bruit</w:t>
              <w:tab/>
              <w:t>86</w:t>
            </w:r>
          </w:hyperlink>
        </w:p>
        <w:p>
          <w:pPr>
            <w:pStyle w:val="TOC2"/>
            <w:tabs>
              <w:tab w:val="clear" w:pos="8743"/>
              <w:tab w:val="right" w:pos="9025" w:leader="dot"/>
            </w:tabs>
            <w:rPr/>
          </w:pPr>
          <w:hyperlink w:anchor="__RefHeading___Toc19731_1878758519">
            <w:r>
              <w:rPr>
                <w:webHidden/>
                <w:rStyle w:val="IndexLink"/>
              </w:rPr>
              <w:t>Annexe E – Robustesse au décalage de publication</w:t>
              <w:tab/>
              <w:t>87</w:t>
            </w:r>
          </w:hyperlink>
        </w:p>
        <w:p>
          <w:pPr>
            <w:pStyle w:val="TOC2"/>
            <w:tabs>
              <w:tab w:val="clear" w:pos="8743"/>
              <w:tab w:val="right" w:pos="9025" w:leader="dot"/>
            </w:tabs>
            <w:rPr/>
          </w:pPr>
          <w:hyperlink w:anchor="__RefHeading___Toc19733_1878758519">
            <w:r>
              <w:rPr>
                <w:webHidden/>
                <w:rStyle w:val="IndexLink"/>
              </w:rPr>
              <w:t>Annexe F – Code et reproductibilité</w:t>
              <w:tab/>
              <w:t>87</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619_1878758519"/>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19735_1878758519">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19777_1878758519">
            <w:r>
              <w:rPr>
                <w:webHidden/>
                <w:rStyle w:val="IndexLink"/>
              </w:rPr>
              <w:t>Tableau 2.1 – Sources des données</w:t>
              <w:tab/>
              <w:t>29</w:t>
            </w:r>
          </w:hyperlink>
        </w:p>
        <w:p>
          <w:pPr>
            <w:pStyle w:val="TOC1"/>
            <w:tabs>
              <w:tab w:val="clear" w:pos="9026"/>
              <w:tab w:val="right" w:pos="9025" w:leader="dot"/>
            </w:tabs>
            <w:rPr/>
          </w:pPr>
          <w:hyperlink w:anchor="__RefHeading___Toc19775_1878758519">
            <w:r>
              <w:rPr>
                <w:webHidden/>
                <w:rStyle w:val="IndexLink"/>
              </w:rPr>
              <w:t>Tableau 2.2 – Soldes annuels reconstitués</w:t>
              <w:tab/>
              <w:t>33</w:t>
            </w:r>
          </w:hyperlink>
        </w:p>
        <w:p>
          <w:pPr>
            <w:pStyle w:val="TOC1"/>
            <w:tabs>
              <w:tab w:val="clear" w:pos="9026"/>
              <w:tab w:val="right" w:pos="9025" w:leader="dot"/>
            </w:tabs>
            <w:rPr/>
          </w:pPr>
          <w:hyperlink w:anchor="__RefHeading___Toc19773_1878758519">
            <w:r>
              <w:rPr>
                <w:webHidden/>
                <w:rStyle w:val="IndexLink"/>
              </w:rPr>
              <w:t>Tableau 2.3 – Variables cibles</w:t>
              <w:tab/>
              <w:t>34</w:t>
            </w:r>
          </w:hyperlink>
        </w:p>
        <w:p>
          <w:pPr>
            <w:pStyle w:val="TOC1"/>
            <w:tabs>
              <w:tab w:val="clear" w:pos="9026"/>
              <w:tab w:val="right" w:pos="9025" w:leader="dot"/>
            </w:tabs>
            <w:rPr/>
          </w:pPr>
          <w:hyperlink w:anchor="__RefHeading___Toc19771_1878758519">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19769_1878758519">
            <w:r>
              <w:rPr>
                <w:webHidden/>
                <w:rStyle w:val="IndexLink"/>
              </w:rPr>
              <w:t>Tableau 2.5 – Jeux de variables emboîtés</w:t>
              <w:tab/>
              <w:t>35</w:t>
            </w:r>
          </w:hyperlink>
        </w:p>
        <w:p>
          <w:pPr>
            <w:pStyle w:val="TOC1"/>
            <w:tabs>
              <w:tab w:val="clear" w:pos="9026"/>
              <w:tab w:val="right" w:pos="9025" w:leader="dot"/>
            </w:tabs>
            <w:rPr/>
          </w:pPr>
          <w:hyperlink w:anchor="__RefHeading___Toc19767_1878758519">
            <w:r>
              <w:rPr>
                <w:webHidden/>
                <w:rStyle w:val="IndexLink"/>
              </w:rPr>
              <w:t>Tableau 2.6 – Modèles comparés</w:t>
              <w:tab/>
              <w:t>37</w:t>
            </w:r>
          </w:hyperlink>
        </w:p>
        <w:p>
          <w:pPr>
            <w:pStyle w:val="TOC1"/>
            <w:tabs>
              <w:tab w:val="clear" w:pos="9026"/>
              <w:tab w:val="right" w:pos="9025" w:leader="dot"/>
            </w:tabs>
            <w:rPr/>
          </w:pPr>
          <w:hyperlink w:anchor="__RefHeading___Toc19765_1878758519">
            <w:r>
              <w:rPr>
                <w:webHidden/>
                <w:rStyle w:val="IndexLink"/>
              </w:rPr>
              <w:t>Tableau 2.7 – Mesures de performance</w:t>
              <w:tab/>
              <w:t>39</w:t>
            </w:r>
          </w:hyperlink>
        </w:p>
        <w:p>
          <w:pPr>
            <w:pStyle w:val="TOC1"/>
            <w:tabs>
              <w:tab w:val="clear" w:pos="9026"/>
              <w:tab w:val="right" w:pos="9025" w:leader="dot"/>
            </w:tabs>
            <w:rPr/>
          </w:pPr>
          <w:hyperlink w:anchor="__RefHeading___Toc19763_1878758519">
            <w:r>
              <w:rPr>
                <w:webHidden/>
                <w:rStyle w:val="IndexLink"/>
              </w:rPr>
              <w:t>Tableau 2.8 – Extensions testées</w:t>
              <w:tab/>
              <w:t>42</w:t>
            </w:r>
          </w:hyperlink>
        </w:p>
        <w:p>
          <w:pPr>
            <w:pStyle w:val="TOC1"/>
            <w:tabs>
              <w:tab w:val="clear" w:pos="9026"/>
              <w:tab w:val="right" w:pos="9025" w:leader="dot"/>
            </w:tabs>
            <w:rPr/>
          </w:pPr>
          <w:hyperlink w:anchor="__RefHeading___Toc19761_1878758519">
            <w:r>
              <w:rPr>
                <w:webHidden/>
                <w:rStyle w:val="IndexLink"/>
              </w:rPr>
              <w:t>Tableau 3.1 – Statistiques des variables cibles (mars 2014 – juillet 2026, 149 mois)</w:t>
              <w:tab/>
              <w:t>45</w:t>
            </w:r>
          </w:hyperlink>
        </w:p>
        <w:p>
          <w:pPr>
            <w:pStyle w:val="TOC1"/>
            <w:tabs>
              <w:tab w:val="clear" w:pos="9026"/>
              <w:tab w:val="right" w:pos="9025" w:leader="dot"/>
            </w:tabs>
            <w:rPr/>
          </w:pPr>
          <w:hyperlink w:anchor="__RefHeading___Toc19759_1878758519">
            <w:r>
              <w:rPr>
                <w:webHidden/>
                <w:rStyle w:val="IndexLink"/>
              </w:rPr>
              <w:t>Tableau 3.2 – R² hors échantillon par rapport à la moyenne historique (%), janvier 2020 – juillet 2026</w:t>
              <w:tab/>
              <w:t>46</w:t>
            </w:r>
          </w:hyperlink>
        </w:p>
        <w:p>
          <w:pPr>
            <w:pStyle w:val="TOC1"/>
            <w:tabs>
              <w:tab w:val="clear" w:pos="9026"/>
              <w:tab w:val="right" w:pos="9025" w:leader="dot"/>
            </w:tabs>
            <w:rPr/>
          </w:pPr>
          <w:hyperlink w:anchor="__RefHeading___Toc19757_1878758519">
            <w:r>
              <w:rPr>
                <w:webHidden/>
                <w:rStyle w:val="IndexLink"/>
              </w:rPr>
              <w:t>Tableau 3.3 – Tests de Diebold-Mariano (p-values bilatérales)</w:t>
              <w:tab/>
              <w:t>47</w:t>
            </w:r>
          </w:hyperlink>
        </w:p>
        <w:p>
          <w:pPr>
            <w:pStyle w:val="TOC1"/>
            <w:tabs>
              <w:tab w:val="clear" w:pos="9026"/>
              <w:tab w:val="right" w:pos="9025" w:leader="dot"/>
            </w:tabs>
            <w:rPr/>
          </w:pPr>
          <w:hyperlink w:anchor="__RefHeading___Toc19755_1878758519">
            <w:r>
              <w:rPr>
                <w:webHidden/>
                <w:rStyle w:val="IndexLink"/>
              </w:rPr>
              <w:t>Tableau 3.4 – Contrôle positif : part des tirages où le signal est retrouvé (Ridge, 10 tirages par valeur de ρ, 1 pour ρ = 1)</w:t>
              <w:tab/>
              <w:t>48</w:t>
            </w:r>
          </w:hyperlink>
        </w:p>
        <w:p>
          <w:pPr>
            <w:pStyle w:val="TOC1"/>
            <w:tabs>
              <w:tab w:val="clear" w:pos="9026"/>
              <w:tab w:val="right" w:pos="9025" w:leader="dot"/>
            </w:tabs>
            <w:rPr/>
          </w:pPr>
          <w:hyperlink w:anchor="__RefHeading___Toc19753_1878758519">
            <w:r>
              <w:rPr>
                <w:webHidden/>
                <w:rStyle w:val="IndexLink"/>
              </w:rPr>
              <w:t>Tableau 3.5 – Part de l’importance SHAP des sept variables ajoutées à M0 (%)</w:t>
              <w:tab/>
              <w:t>49</w:t>
            </w:r>
          </w:hyperlink>
        </w:p>
        <w:p>
          <w:pPr>
            <w:pStyle w:val="TOC1"/>
            <w:tabs>
              <w:tab w:val="clear" w:pos="9026"/>
              <w:tab w:val="right" w:pos="9025" w:leader="dot"/>
            </w:tabs>
            <w:rPr/>
          </w:pPr>
          <w:hyperlink w:anchor="__RefHeading___Toc19751_1878758519">
            <w:r>
              <w:rPr>
                <w:webHidden/>
                <w:rStyle w:val="IndexLink"/>
              </w:rPr>
              <w:t>Tableau 3.6 – Meilleur R² hors échantillon sans / avec dépenses, par extension (%)</w:t>
              <w:tab/>
              <w:t>51</w:t>
            </w:r>
          </w:hyperlink>
        </w:p>
        <w:p>
          <w:pPr>
            <w:pStyle w:val="TOC1"/>
            <w:tabs>
              <w:tab w:val="clear" w:pos="9026"/>
              <w:tab w:val="right" w:pos="9025" w:leader="dot"/>
            </w:tabs>
            <w:rPr/>
          </w:pPr>
          <w:hyperlink w:anchor="__RefHeading___Toc19749_1878758519">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19747_1878758519">
            <w:r>
              <w:rPr>
                <w:webHidden/>
                <w:rStyle w:val="IndexLink"/>
              </w:rPr>
              <w:t>Tableau 3.8 – État des hypothèses</w:t>
              <w:tab/>
              <w:t>54</w:t>
            </w:r>
          </w:hyperlink>
        </w:p>
        <w:p>
          <w:pPr>
            <w:pStyle w:val="TOC1"/>
            <w:tabs>
              <w:tab w:val="clear" w:pos="9026"/>
              <w:tab w:val="right" w:pos="9025" w:leader="dot"/>
            </w:tabs>
            <w:rPr/>
          </w:pPr>
          <w:hyperlink w:anchor="__RefHeading___Toc19745_1878758519">
            <w:r>
              <w:rPr>
                <w:webHidden/>
                <w:rStyle w:val="IndexLink"/>
              </w:rPr>
              <w:t>Tableau A.1 – Variables des jeux emboîtés M0, M1 et M2</w:t>
              <w:tab/>
              <w:t>72</w:t>
            </w:r>
          </w:hyperlink>
        </w:p>
        <w:p>
          <w:pPr>
            <w:pStyle w:val="TOC1"/>
            <w:tabs>
              <w:tab w:val="clear" w:pos="9026"/>
              <w:tab w:val="right" w:pos="9025" w:leader="dot"/>
            </w:tabs>
            <w:rPr/>
          </w:pPr>
          <w:hyperlink w:anchor="__RefHeading___Toc19743_1878758519">
            <w:r>
              <w:rPr>
                <w:webHidden/>
                <w:rStyle w:val="IndexLink"/>
              </w:rPr>
              <w:t>Tableau B.1 – Résultats des 210 comparaisons</w:t>
              <w:tab/>
              <w:t>72</w:t>
            </w:r>
          </w:hyperlink>
        </w:p>
        <w:p>
          <w:pPr>
            <w:pStyle w:val="TOC1"/>
            <w:tabs>
              <w:tab w:val="clear" w:pos="9026"/>
              <w:tab w:val="right" w:pos="9025" w:leader="dot"/>
            </w:tabs>
            <w:rPr/>
          </w:pPr>
          <w:hyperlink w:anchor="__RefHeading___Toc19741_1878758519">
            <w:r>
              <w:rPr>
                <w:webHidden/>
                <w:rStyle w:val="IndexLink"/>
              </w:rPr>
              <w:t>Tableau C.1 – R² hors échantillon (%) selon la graine</w:t>
              <w:tab/>
              <w:t>86</w:t>
            </w:r>
          </w:hyperlink>
        </w:p>
        <w:p>
          <w:pPr>
            <w:pStyle w:val="TOC1"/>
            <w:tabs>
              <w:tab w:val="clear" w:pos="9026"/>
              <w:tab w:val="right" w:pos="9025" w:leader="dot"/>
            </w:tabs>
            <w:rPr/>
          </w:pPr>
          <w:hyperlink w:anchor="__RefHeading___Toc19739_1878758519">
            <w:r>
              <w:rPr>
                <w:webHidden/>
                <w:rStyle w:val="IndexLink"/>
              </w:rPr>
              <w:t>Tableau D.1 – Gain de R² par rapport à M0 (points) : vraies dépenses et sept variables de bruit</w:t>
              <w:tab/>
              <w:t>86</w:t>
            </w:r>
          </w:hyperlink>
        </w:p>
        <w:p>
          <w:pPr>
            <w:pStyle w:val="TOC1"/>
            <w:tabs>
              <w:tab w:val="clear" w:pos="9026"/>
              <w:tab w:val="right" w:pos="9025" w:leader="dot"/>
            </w:tabs>
            <w:rPr/>
          </w:pPr>
          <w:hyperlink w:anchor="__RefHeading___Toc19737_1878758519">
            <w:r>
              <w:rPr>
                <w:webHidden/>
                <w:rStyle w:val="IndexLink"/>
              </w:rPr>
              <w:t>Tableau E.1 – Modèles principaux avec un décalage budgétaire de 1, 2 et 3 mois</w:t>
              <w:tab/>
              <w:t>87</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19" w:name="__RefHeading___Toc19621_1878758519"/>
      <w:bookmarkStart w:id="20" w:name="liste-des-figures"/>
      <w:bookmarkEnd w:id="19"/>
      <w:bookmarkEnd w:id="20"/>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19779_1878758519">
            <w:r>
              <w:rPr>
                <w:webHidden/>
                <w:rStyle w:val="IndexLink"/>
              </w:rPr>
              <w:t>Figure 3.1 – Distribution des trois cibles</w:t>
              <w:tab/>
              <w:t>46</w:t>
            </w:r>
          </w:hyperlink>
        </w:p>
        <w:p>
          <w:pPr>
            <w:pStyle w:val="TOC1"/>
            <w:tabs>
              <w:tab w:val="clear" w:pos="9026"/>
              <w:tab w:val="right" w:pos="9025" w:leader="dot"/>
            </w:tabs>
            <w:rPr/>
          </w:pPr>
          <w:hyperlink w:anchor="__RefHeading___Toc19785_1878758519">
            <w:r>
              <w:rPr>
                <w:webHidden/>
                <w:rStyle w:val="IndexLink"/>
              </w:rPr>
              <w:t>Figure 3.2 – RMSE relatif à la moyenne historique</w:t>
              <w:tab/>
              <w:t>48</w:t>
            </w:r>
          </w:hyperlink>
        </w:p>
        <w:p>
          <w:pPr>
            <w:pStyle w:val="TOC1"/>
            <w:tabs>
              <w:tab w:val="clear" w:pos="9026"/>
              <w:tab w:val="right" w:pos="9025" w:leader="dot"/>
            </w:tabs>
            <w:rPr/>
          </w:pPr>
          <w:hyperlink w:anchor="__RefHeading___Toc19783_1878758519">
            <w:r>
              <w:rPr>
                <w:webHidden/>
                <w:rStyle w:val="IndexLink"/>
              </w:rPr>
              <w:t>Figure 3.3 – Importance SHAP des variables</w:t>
              <w:tab/>
              <w:t>50</w:t>
            </w:r>
          </w:hyperlink>
        </w:p>
        <w:p>
          <w:pPr>
            <w:pStyle w:val="TOC1"/>
            <w:tabs>
              <w:tab w:val="clear" w:pos="9026"/>
              <w:tab w:val="right" w:pos="9025" w:leader="dot"/>
            </w:tabs>
            <w:rPr/>
          </w:pPr>
          <w:hyperlink w:anchor="__RefHeading___Toc19781_1878758519">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623_1878758519"/>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4" w:name="liste-des-abréviations"/>
            <w:bookmarkEnd w:id="24"/>
          </w:p>
        </w:tc>
      </w:tr>
    </w:tbl>
    <w:p>
      <w:pPr>
        <w:pStyle w:val="Heading1"/>
        <w:rPr/>
      </w:pPr>
      <w:bookmarkStart w:id="25" w:name="__RefHeading___Toc19625_1878758519"/>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19627_1878758519"/>
      <w:bookmarkStart w:id="27" w:name="introduction-générale"/>
      <w:bookmarkEnd w:id="26"/>
      <w:bookmarkEnd w:id="27"/>
      <w:r>
        <w:rPr/>
        <w:t>Introduction générale</w:t>
      </w:r>
    </w:p>
    <w:p>
      <w:pPr>
        <w:pStyle w:val="Heading2"/>
        <w:rPr/>
      </w:pPr>
      <w:bookmarkStart w:id="28" w:name="__RefHeading___Toc19629_1878758519"/>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bookmarkStart w:id="30" w:name="contexte"/>
      <w:r>
        <w:rPr/>
        <w:t>Enfin, les méthodes de machine learning sont de plus en plus utilisées pour prévoir les variables financières. Des travaux récents annoncent de très bonnes performances pour la prévision des spreads souverains européens (Bouillot et al., 2025).</w:t>
      </w:r>
      <w:bookmarkEnd w:id="30"/>
    </w:p>
    <w:p>
      <w:pPr>
        <w:pStyle w:val="Heading2"/>
        <w:rPr/>
      </w:pPr>
      <w:bookmarkStart w:id="31" w:name="__RefHeading___Toc19631_1878758519"/>
      <w:bookmarkStart w:id="32" w:name="problématique"/>
      <w:bookmarkEnd w:id="31"/>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bookmarkStart w:id="33" w:name="problématique"/>
      <w:r>
        <w:rPr/>
        <w:t>La réponse n’est pas évidente. D’un côté, les études européennes montrent que les finances publiques expliquent une partie du niveau des spreads, surtout en période de crise (Afonso et al., 2015). De l’autre, la théorie des marchés efficients (Fama, 1970) et les travaux sur l’anticipation des dépenses (Ramey, 2011) suggèrent qu’une information connue, ou prévisible, est déjà dans les prix. Un résultat négatif est donc aussi plausible qu’un résultat positif, et les deux seraient instructifs.</w:t>
      </w:r>
      <w:bookmarkEnd w:id="33"/>
    </w:p>
    <w:p>
      <w:pPr>
        <w:pStyle w:val="Heading2"/>
        <w:rPr/>
      </w:pPr>
      <w:bookmarkStart w:id="34" w:name="__RefHeading___Toc19633_1878758519"/>
      <w:bookmarkStart w:id="35" w:name="objectif-et-démarche"/>
      <w:bookmarkEnd w:id="34"/>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6"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6"/>
    </w:p>
    <w:p>
      <w:pPr>
        <w:pStyle w:val="Heading2"/>
        <w:rPr/>
      </w:pPr>
      <w:bookmarkStart w:id="37" w:name="__RefHeading___Toc19635_1878758519"/>
      <w:bookmarkStart w:id="38" w:name="apports"/>
      <w:bookmarkEnd w:id="37"/>
      <w:r>
        <w:rPr/>
        <w:t>Apports</w:t>
      </w:r>
    </w:p>
    <w:p>
      <w:pPr>
        <w:pStyle w:val="FirstParagraph"/>
        <w:rPr/>
      </w:pPr>
      <w:bookmarkStart w:id="39"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9"/>
    </w:p>
    <w:p>
      <w:pPr>
        <w:pStyle w:val="Heading2"/>
        <w:rPr/>
      </w:pPr>
      <w:bookmarkStart w:id="40" w:name="__RefHeading___Toc19637_1878758519"/>
      <w:bookmarkStart w:id="41" w:name="plan-du-mémoire"/>
      <w:bookmarkEnd w:id="40"/>
      <w:bookmarkEnd w:id="41"/>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2" w:name="introduction-générale"/>
      <w:bookmarkStart w:id="43" w:name="plan-du-mémoire"/>
      <w:bookmarkStart w:id="44" w:name="introduction-générale"/>
      <w:bookmarkStart w:id="45" w:name="plan-du-mémoire"/>
      <w:bookmarkEnd w:id="44"/>
      <w:bookmarkEnd w:id="45"/>
      <w:r>
        <w:br w:type="page"/>
      </w:r>
    </w:p>
    <w:p>
      <w:pPr>
        <w:pStyle w:val="Heading1"/>
        <w:spacing w:before="0" w:after="240"/>
        <w:rPr/>
      </w:pPr>
      <w:bookmarkStart w:id="46" w:name="__RefHeading___Toc19639_1878758519"/>
      <w:bookmarkStart w:id="47" w:name="chapitre-1-état-de-lart"/>
      <w:bookmarkEnd w:id="46"/>
      <w:bookmarkEnd w:id="47"/>
      <w:r>
        <w:rPr/>
        <w:t>Chapitre 1 – État de l’art</w:t>
      </w:r>
    </w:p>
    <w:p>
      <w:pPr>
        <w:pStyle w:val="Heading2"/>
        <w:rPr/>
      </w:pPr>
      <w:bookmarkStart w:id="48" w:name="__RefHeading___Toc19641_1878758519"/>
      <w:bookmarkStart w:id="49" w:name="introduction-du-chapitre"/>
      <w:bookmarkEnd w:id="48"/>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50"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50"/>
    </w:p>
    <w:p>
      <w:pPr>
        <w:pStyle w:val="Heading2"/>
        <w:rPr/>
      </w:pPr>
      <w:bookmarkStart w:id="51" w:name="__RefHeading___Toc19643_1878758519"/>
      <w:bookmarkStart w:id="52" w:name="cadre-théorique-ce-que-lon-peut-attendre"/>
      <w:bookmarkEnd w:id="51"/>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3" w:name="dépenses-publiques-et-taux-deux-visions"/>
      <w:r>
        <w:rPr/>
        <w:t>1.1.1 Dépenses publiques et taux : deux visions.</w:t>
      </w:r>
    </w:p>
    <w:p>
      <w:pPr>
        <w:pStyle w:val="FirstParagraph"/>
        <w:rPr/>
      </w:pPr>
      <w:bookmarkStart w:id="54" w:name="dépenses-publiques-et-taux-deux-visions"/>
      <w:r>
        <w:rPr/>
        <w:t>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bookmarkEnd w:id="54"/>
    </w:p>
    <w:p>
      <w:pPr>
        <w:pStyle w:val="Heading3"/>
        <w:rPr/>
      </w:pPr>
      <w:bookmarkStart w:id="55" w:name="lefficience-des-marchés-fama-1970"/>
      <w:r>
        <w:rPr/>
        <w:t>1.1.2 L’efficience des marchés (Fama, 1970).</w:t>
      </w:r>
    </w:p>
    <w:p>
      <w:pPr>
        <w:pStyle w:val="FirstParagraph"/>
        <w:rPr/>
      </w:pPr>
      <w:r>
        <w:rPr/>
        <w:t>Selon l’hypothèse d’efficience, dans sa forme semi-forte, les prix reflètent déjà toute l’information publique. Aucune donnée publique ne devrait alors permettre de prévoir de façon régulière les variations des prix.</w:t>
      </w:r>
    </w:p>
    <w:p>
      <w:pPr>
        <w:pStyle w:val="BodyText"/>
        <w:rPr/>
      </w:pPr>
      <w:bookmarkStart w:id="56" w:name="lefficience-des-marchés-fama-1970"/>
      <w:r>
        <w:rPr/>
        <w:t>Cela nous concerne directement. Les situations budgétaires de l’État sont publiques. Si le marché obligataire est efficient, elles sont intégrées dans le spread dès leur publication, et elles ne servent plus à prévoir le mois suivant.</w:t>
      </w:r>
      <w:bookmarkEnd w:id="56"/>
    </w:p>
    <w:p>
      <w:pPr>
        <w:pStyle w:val="Heading3"/>
        <w:rPr/>
      </w:pPr>
      <w:bookmarkStart w:id="57" w:name="les-dépenses-sont-anticipées-ramey-2011"/>
      <w:r>
        <w:rPr/>
        <w:t>1.1.3 Les dépenses sont anticipées (Ramey, 2011).</w:t>
      </w:r>
    </w:p>
    <w:p>
      <w:pPr>
        <w:pStyle w:val="FirstParagraph"/>
        <w:rPr/>
      </w:pPr>
      <w:r>
        <w:rPr/>
        <w:t>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8" w:name="les-dépenses-sont-anticipées-ramey-2011"/>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8"/>
    </w:p>
    <w:p>
      <w:pPr>
        <w:pStyle w:val="Heading3"/>
        <w:rPr/>
      </w:pPr>
      <w:bookmarkStart w:id="59" w:name="X07aa42a22fbcb3dee6d214c760cc0c20eb897be"/>
      <w:r>
        <w:rPr/>
        <w:t>1.1.4 Peu de prédicteurs résistent hors échantillon (Welch et Goyal, 2008).</w:t>
      </w:r>
    </w:p>
    <w:p>
      <w:pPr>
        <w:pStyle w:val="FirstParagraph"/>
        <w:rPr/>
      </w:pPr>
      <w:bookmarkStart w:id="60" w:name="X07aa42a22fbcb3dee6d214c760cc0c20eb897be"/>
      <w:r>
        <w:rPr/>
        <w:t>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bookmarkEnd w:id="60"/>
    </w:p>
    <w:p>
      <w:pPr>
        <w:pStyle w:val="Heading3"/>
        <w:rPr/>
      </w:pPr>
      <w:bookmarkStart w:id="61" w:name="ce-que-nous-en-retenons"/>
      <w:r>
        <w:rPr/>
        <w:t>1.1.5 Ce que nous en retenons.</w:t>
      </w:r>
    </w:p>
    <w:p>
      <w:pPr>
        <w:pStyle w:val="Compact"/>
        <w:numPr>
          <w:ilvl w:val="0"/>
          <w:numId w:val="20"/>
        </w:numPr>
        <w:rPr/>
      </w:pPr>
      <w:r>
        <w:rPr/>
        <w:t>Un pouvoir prédictif faible, voire nul, est plausible dès le départ. Un résultat négatif serait cohérent avec Fama et Ramey, et il aurait un sens.</w:t>
      </w:r>
    </w:p>
    <w:p>
      <w:pPr>
        <w:pStyle w:val="Compact"/>
        <w:numPr>
          <w:ilvl w:val="0"/>
          <w:numId w:val="21"/>
        </w:numPr>
        <w:rPr/>
      </w:pPr>
      <w:r>
        <w:rPr/>
        <w:t>Il faut évaluer les modèles hors échantillon, sur des mois qu’ils n’ont jamais vus.</w:t>
      </w:r>
    </w:p>
    <w:p>
      <w:pPr>
        <w:pStyle w:val="Compact"/>
        <w:numPr>
          <w:ilvl w:val="0"/>
          <w:numId w:val="22"/>
        </w:numPr>
        <w:rPr/>
      </w:pPr>
      <w:bookmarkStart w:id="62" w:name="cadre-théorique-ce-que-lon-peut-attendre"/>
      <w:bookmarkStart w:id="63" w:name="ce-que-nous-en-retenons"/>
      <w:r>
        <w:rPr/>
        <w:t>La référence à battre est simple : la moyenne historique. Un modèle qui ne la bat pas n’a pas de pouvoir prédictif utile par rapport à cette référence.</w:t>
      </w:r>
      <w:bookmarkEnd w:id="62"/>
      <w:bookmarkEnd w:id="63"/>
    </w:p>
    <w:p>
      <w:pPr>
        <w:pStyle w:val="Heading2"/>
        <w:rPr/>
      </w:pPr>
      <w:bookmarkStart w:id="64" w:name="__RefHeading___Toc19645_1878758519"/>
      <w:bookmarkStart w:id="65" w:name="Xfb34faa81f8d303ea1b5fa46b3b15873b7555c9"/>
      <w:bookmarkEnd w:id="64"/>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6" w:name="pourquoi-le-spread"/>
      <w:r>
        <w:rPr/>
        <w:t>1.2.1 Pourquoi le spread.</w:t>
      </w:r>
    </w:p>
    <w:p>
      <w:pPr>
        <w:pStyle w:val="FirstParagraph"/>
        <w:rPr/>
      </w:pPr>
      <w:bookmarkStart w:id="67"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7"/>
    </w:p>
    <w:p>
      <w:pPr>
        <w:pStyle w:val="Heading3"/>
        <w:rPr/>
      </w:pPr>
      <w:bookmarkStart w:id="68" w:name="ce-que-montrent-les-travaux-européens"/>
      <w:r>
        <w:rPr/>
        <w:t>1.2.2 Ce que montrent les travaux européens.</w:t>
      </w:r>
    </w:p>
    <w:p>
      <w:pPr>
        <w:pStyle w:val="FirstParagraph"/>
        <w:rPr/>
      </w:pPr>
      <w:r>
        <w:rPr/>
        <w:t>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 xml:space="preserve">Favero (2013)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8"/>
    </w:p>
    <w:p>
      <w:pPr>
        <w:pStyle w:val="Heading3"/>
        <w:rPr/>
      </w:pPr>
      <w:bookmarkStart w:id="69" w:name="le-cas-français"/>
      <w:r>
        <w:rPr/>
        <w:t>1.2.3 Le cas français.</w:t>
      </w:r>
    </w:p>
    <w:p>
      <w:pPr>
        <w:pStyle w:val="FirstParagraph"/>
        <w:rPr/>
      </w:pPr>
      <w:r>
        <w:rPr/>
        <w:t>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rPr/>
      </w:pPr>
      <w:bookmarkStart w:id="70"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70"/>
    </w:p>
    <w:p>
      <w:pPr>
        <w:pStyle w:val="Heading3"/>
        <w:rPr/>
      </w:pPr>
      <w:bookmarkStart w:id="71" w:name="X631363f92121cb0fbc005b65d04ad7aed35c764"/>
      <w:r>
        <w:rPr/>
        <w:t>1.2.4 Les travaux fondateurs, surtout américains.</w:t>
      </w:r>
    </w:p>
    <w:p>
      <w:pPr>
        <w:pStyle w:val="FirstParagraph"/>
        <w:rPr/>
      </w:pPr>
      <w:bookmarkStart w:id="72" w:name="X631363f92121cb0fbc005b65d04ad7aed35c764"/>
      <w:r>
        <w:rPr/>
        <w:t>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bookmarkEnd w:id="72"/>
    </w:p>
    <w:p>
      <w:pPr>
        <w:pStyle w:val="Heading3"/>
        <w:rPr/>
      </w:pPr>
      <w:bookmarkStart w:id="73" w:name="ce-que-nous-en-retenons-1"/>
      <w:r>
        <w:rPr/>
        <w:t>1.2.5 Ce que nous en retenons.</w:t>
      </w:r>
    </w:p>
    <w:p>
      <w:pPr>
        <w:pStyle w:val="Compact"/>
        <w:numPr>
          <w:ilvl w:val="0"/>
          <w:numId w:val="23"/>
        </w:numPr>
        <w:rPr/>
      </w:pPr>
      <w:r>
        <w:rPr/>
        <w:t>Le spread OAT–Bund est la cible la plus directement liée aux finances publiques françaises.</w:t>
      </w:r>
    </w:p>
    <w:p>
      <w:pPr>
        <w:pStyle w:val="Compact"/>
        <w:numPr>
          <w:ilvl w:val="0"/>
          <w:numId w:val="24"/>
        </w:numPr>
        <w:rPr/>
      </w:pPr>
      <w:r>
        <w:rPr/>
        <w:t>L’aversion au risque et la liquidité comptent beaucoup : elles doivent être dans le modèle comme variables de contrôle.</w:t>
      </w:r>
    </w:p>
    <w:p>
      <w:pPr>
        <w:pStyle w:val="Compact"/>
        <w:numPr>
          <w:ilvl w:val="0"/>
          <w:numId w:val="25"/>
        </w:numPr>
        <w:rPr/>
      </w:pPr>
      <w:r>
        <w:rPr/>
        <w:t>L’effet des finances publiques dépend de la période. Il faudra regarder séparément les périodes calmes et agitées.</w:t>
      </w:r>
    </w:p>
    <w:p>
      <w:pPr>
        <w:pStyle w:val="Compact"/>
        <w:numPr>
          <w:ilvl w:val="0"/>
          <w:numId w:val="26"/>
        </w:numPr>
        <w:rPr/>
      </w:pPr>
      <w:bookmarkStart w:id="74" w:name="Xfb34faa81f8d303ea1b5fa46b3b15873b7555c9"/>
      <w:bookmarkStart w:id="75"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74"/>
      <w:bookmarkEnd w:id="75"/>
    </w:p>
    <w:p>
      <w:pPr>
        <w:pStyle w:val="Heading2"/>
        <w:rPr/>
      </w:pPr>
      <w:bookmarkStart w:id="76" w:name="__RefHeading___Toc19647_1878758519"/>
      <w:bookmarkStart w:id="77" w:name="X27f0006f940c23a763f89cc3f723417490f25ae"/>
      <w:bookmarkEnd w:id="76"/>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8" w:name="les-travaux-européens"/>
      <w:r>
        <w:rPr/>
        <w:t>1.3.1 Les travaux européens.</w:t>
      </w:r>
    </w:p>
    <w:p>
      <w:pPr>
        <w:pStyle w:val="FirstParagraph"/>
        <w:rPr/>
      </w:pPr>
      <w:r>
        <w:rPr/>
        <w:t>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bookmarkStart w:id="79" w:name="les-travaux-européens"/>
      <w:r>
        <w:rPr/>
        <w:t>Enfin, Barbier-Gauchard et Sofianos (2025) appliquent le machine learning aux finances publiques elles-mêmes. Ils prévoient la dette publique de 17 pays de la zone euro, et XGBoost y fait mieux que les projections de la Commission européenne et du FMI.</w:t>
      </w:r>
      <w:bookmarkEnd w:id="79"/>
    </w:p>
    <w:p>
      <w:pPr>
        <w:pStyle w:val="Heading3"/>
        <w:rPr/>
      </w:pPr>
      <w:bookmarkStart w:id="80" w:name="le-contexte-américain-en-bref"/>
      <w:r>
        <w:rPr/>
        <w:t>1.3.2 Le contexte américain, en bref.</w:t>
      </w:r>
    </w:p>
    <w:p>
      <w:pPr>
        <w:pStyle w:val="FirstParagraph"/>
        <w:rPr/>
      </w:pPr>
      <w:bookmarkStart w:id="81" w:name="le-contexte-américain-en-bref"/>
      <w:r>
        <w:rPr/>
        <w:t>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bookmarkEnd w:id="81"/>
    </w:p>
    <w:p>
      <w:pPr>
        <w:pStyle w:val="Heading3"/>
        <w:rPr/>
      </w:pPr>
      <w:bookmarkStart w:id="82" w:name="quels-modèles-avec-peu-de-données"/>
      <w:r>
        <w:rPr/>
        <w:t>1.3.3 Quels modèles avec peu de données.</w:t>
      </w:r>
    </w:p>
    <w:p>
      <w:pPr>
        <w:pStyle w:val="FirstParagraph"/>
        <w:rPr/>
      </w:pPr>
      <w:bookmarkStart w:id="83" w:name="quels-modèles-avec-peu-de-données"/>
      <w:r>
        <w:rPr/>
        <w:t>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bookmarkEnd w:id="83"/>
    </w:p>
    <w:p>
      <w:pPr>
        <w:pStyle w:val="Heading3"/>
        <w:rPr/>
      </w:pPr>
      <w:bookmarkStart w:id="84" w:name="ce-que-nous-en-retenons-2"/>
      <w:r>
        <w:rPr/>
        <w:t>1.3.4 Ce que nous en retenons.</w:t>
      </w:r>
    </w:p>
    <w:p>
      <w:pPr>
        <w:pStyle w:val="Compact"/>
        <w:numPr>
          <w:ilvl w:val="0"/>
          <w:numId w:val="27"/>
        </w:numPr>
        <w:rPr/>
      </w:pPr>
      <w:r>
        <w:rPr/>
        <w:t>Il faut comparer le machine learning à des références simples : la moyenne historique, la variation nulle et un modèle linéaire.</w:t>
      </w:r>
    </w:p>
    <w:p>
      <w:pPr>
        <w:pStyle w:val="Compact"/>
        <w:numPr>
          <w:ilvl w:val="0"/>
          <w:numId w:val="28"/>
        </w:numPr>
        <w:rPr/>
      </w:pPr>
      <w:r>
        <w:rPr/>
        <w:t>Le spread passé, principal prédicteur chez Bouillot et al. (2025), doit être dans tous les modèles. Sinon, on attribuerait aux dépenses ce qui vient en réalité du spread lui-même.</w:t>
      </w:r>
    </w:p>
    <w:p>
      <w:pPr>
        <w:pStyle w:val="Compact"/>
        <w:numPr>
          <w:ilvl w:val="0"/>
          <w:numId w:val="29"/>
        </w:numPr>
        <w:rPr/>
      </w:pPr>
      <w:r>
        <w:rPr/>
        <w:t>La forêt aléatoire et XGBoost sont adaptés à notre volume de données ; le deep learning ne l’est pas.</w:t>
      </w:r>
    </w:p>
    <w:p>
      <w:pPr>
        <w:pStyle w:val="Compact"/>
        <w:numPr>
          <w:ilvl w:val="0"/>
          <w:numId w:val="30"/>
        </w:numPr>
        <w:rPr/>
      </w:pPr>
      <w:bookmarkStart w:id="85" w:name="X27f0006f940c23a763f89cc3f723417490f25ae"/>
      <w:bookmarkStart w:id="86" w:name="ce-que-nous-en-retenons-2"/>
      <w:r>
        <w:rPr/>
        <w:t>Aucun de ces travaux ne mesure séparément ce qu’apportent les dépenses publiques. C’est la question précise de ce mémoire.</w:t>
      </w:r>
      <w:bookmarkEnd w:id="85"/>
      <w:bookmarkEnd w:id="86"/>
    </w:p>
    <w:p>
      <w:pPr>
        <w:pStyle w:val="Heading2"/>
        <w:rPr/>
      </w:pPr>
      <w:bookmarkStart w:id="87" w:name="__RefHeading___Toc19649_1878758519"/>
      <w:bookmarkStart w:id="88" w:name="X9ae88ff3dd35a976078ba2fe427ef8b5284b26c"/>
      <w:bookmarkEnd w:id="87"/>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9" w:name="les-données-budgétaires-ouvertes"/>
      <w:r>
        <w:rPr/>
        <w:t>1.4.1 Les données budgétaires ouvertes.</w:t>
      </w:r>
    </w:p>
    <w:p>
      <w:pPr>
        <w:pStyle w:val="FirstParagraph"/>
        <w:rPr/>
      </w:pPr>
      <w:r>
        <w:rPr/>
        <w:t>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90"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90"/>
    </w:p>
    <w:p>
      <w:pPr>
        <w:pStyle w:val="Heading3"/>
        <w:rPr/>
      </w:pPr>
      <w:bookmarkStart w:id="91" w:name="calendrier-de-publication-et-révisions"/>
      <w:r>
        <w:rPr/>
        <w:t>1.4.2 Calendrier de publication et révisions.</w:t>
      </w:r>
    </w:p>
    <w:p>
      <w:pPr>
        <w:pStyle w:val="FirstParagraph"/>
        <w:rPr/>
      </w:pPr>
      <w:r>
        <w:rPr/>
        <w:t>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bookmarkStart w:id="92" w:name="calendrier-de-publication-et-révisions"/>
      <w:r>
        <w:rPr/>
        <w:t>Aux États-Unis, McCracken et Ng (2016) ont construit FRED-MD, une base mensuelle de plus d’une centaine d’indicateurs macroéconomiques. Il n’existe pas d’équivalent français qui intègre l’exécution budgétaire.</w:t>
      </w:r>
      <w:bookmarkEnd w:id="92"/>
    </w:p>
    <w:p>
      <w:pPr>
        <w:pStyle w:val="Heading3"/>
        <w:rPr/>
      </w:pPr>
      <w:bookmarkStart w:id="93" w:name="éviter-de-se-tromper-soi-même"/>
      <w:r>
        <w:rPr/>
        <w:t>1.4.3 Éviter de se tromper soi-même.</w:t>
      </w:r>
    </w:p>
    <w:p>
      <w:pPr>
        <w:pStyle w:val="FirstParagraph"/>
        <w:rPr/>
      </w:pPr>
      <w:bookmarkStart w:id="94" w:name="éviter-de-se-tromper-soi-même"/>
      <w:r>
        <w:rPr/>
        <w:t>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bookmarkEnd w:id="94"/>
    </w:p>
    <w:p>
      <w:pPr>
        <w:pStyle w:val="Heading3"/>
        <w:rPr/>
      </w:pPr>
      <w:bookmarkStart w:id="95" w:name="ce-que-nous-en-retenons-3"/>
      <w:r>
        <w:rPr/>
        <w:t>1.4.4 Ce que nous en retenons.</w:t>
      </w:r>
    </w:p>
    <w:p>
      <w:pPr>
        <w:pStyle w:val="Compact"/>
        <w:numPr>
          <w:ilvl w:val="0"/>
          <w:numId w:val="31"/>
        </w:numPr>
        <w:rPr/>
      </w:pPr>
      <w:r>
        <w:rPr/>
        <w:t>Les données budgétaires d’un mois ne peuvent servir qu’après leur publication : nous les décalons de deux mois.</w:t>
      </w:r>
    </w:p>
    <w:p>
      <w:pPr>
        <w:pStyle w:val="Compact"/>
        <w:numPr>
          <w:ilvl w:val="0"/>
          <w:numId w:val="32"/>
        </w:numPr>
        <w:rPr/>
      </w:pPr>
      <w:r>
        <w:rPr/>
        <w:t>Les montants cumulés doivent être transformés pour enlever la saisonnalité.</w:t>
      </w:r>
    </w:p>
    <w:p>
      <w:pPr>
        <w:pStyle w:val="Compact"/>
        <w:numPr>
          <w:ilvl w:val="0"/>
          <w:numId w:val="33"/>
        </w:numPr>
        <w:rPr/>
      </w:pPr>
      <w:r>
        <w:rPr/>
        <w:t>Les révisions seront discutées comme une limite.</w:t>
      </w:r>
    </w:p>
    <w:p>
      <w:pPr>
        <w:pStyle w:val="Compact"/>
        <w:numPr>
          <w:ilvl w:val="0"/>
          <w:numId w:val="34"/>
        </w:numPr>
        <w:rPr/>
      </w:pPr>
      <w:bookmarkStart w:id="96" w:name="X9ae88ff3dd35a976078ba2fe427ef8b5284b26c"/>
      <w:bookmarkStart w:id="97" w:name="ce-que-nous-en-retenons-3"/>
      <w:r>
        <w:rPr/>
        <w:t>Construire un jeu de données mensuel français qui croise budget et marchés est déjà, en soi, une contribution.</w:t>
      </w:r>
      <w:bookmarkEnd w:id="96"/>
      <w:bookmarkEnd w:id="97"/>
    </w:p>
    <w:p>
      <w:pPr>
        <w:pStyle w:val="Heading2"/>
        <w:rPr/>
      </w:pPr>
      <w:bookmarkStart w:id="98" w:name="__RefHeading___Toc19651_1878758519"/>
      <w:bookmarkStart w:id="99" w:name="synthèse-et-positionnement-du-mémoire"/>
      <w:bookmarkEnd w:id="98"/>
      <w:bookmarkEnd w:id="9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100" w:name="__RefHeading___Toc19735_1878758519"/>
      <w:bookmarkEnd w:id="10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(2013)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(2015)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(2012)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(1970)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(2020)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(2021)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101" w:name="le-vide-identifié"/>
      <w:r>
        <w:rPr/>
        <w:t>1.5.1 Le vide identifié.</w:t>
      </w:r>
    </w:p>
    <w:p>
      <w:pPr>
        <w:pStyle w:val="FirstParagraph"/>
        <w:rPr/>
      </w:pPr>
      <w:r>
        <w:rPr/>
        <w:t>La littérature se partage en deux blocs qui se croisent peu :</w:t>
      </w:r>
    </w:p>
    <w:p>
      <w:pPr>
        <w:pStyle w:val="Compact"/>
        <w:numPr>
          <w:ilvl w:val="0"/>
          <w:numId w:val="35"/>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6"/>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(2025) commencent à rapprocher les deux blocs. Notre travail s’en distingue sur trois points :</w:t>
      </w:r>
    </w:p>
    <w:p>
      <w:pPr>
        <w:pStyle w:val="Compact"/>
        <w:numPr>
          <w:ilvl w:val="0"/>
          <w:numId w:val="37"/>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8"/>
        </w:numPr>
        <w:rPr/>
      </w:pPr>
      <w:r>
        <w:rPr>
          <w:b/>
          <w:bCs/>
        </w:rPr>
        <w:t>Nous utilisons les données détaillées d’exécution du budget français</w:t>
      </w:r>
      <w:r>
        <w:rPr/>
        <w:t>, par catégorie de dépense, en données ouvertes.</w:t>
      </w:r>
    </w:p>
    <w:p>
      <w:pPr>
        <w:pStyle w:val="Compact"/>
        <w:numPr>
          <w:ilvl w:val="0"/>
          <w:numId w:val="39"/>
        </w:numPr>
        <w:rPr/>
      </w:pPr>
      <w:r>
        <w:rPr>
          <w:b/>
          <w:bCs/>
        </w:rPr>
        <w:t>Nous comparons trois indicateurs</w:t>
      </w:r>
      <w:r>
        <w:rPr/>
        <w:t xml:space="preserve"> plus ou moins exposés au risque souverain : le spread, le taux OAT et le CAC 40.</w:t>
      </w:r>
      <w:bookmarkEnd w:id="101"/>
    </w:p>
    <w:p>
      <w:pPr>
        <w:pStyle w:val="Heading3"/>
        <w:rPr/>
      </w:pPr>
      <w:bookmarkStart w:id="102" w:name="problématique-et-hypothèses"/>
      <w:bookmarkEnd w:id="10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40"/>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41"/>
        </w:numPr>
        <w:rPr/>
      </w:pPr>
      <w:r>
        <w:rPr>
          <w:b/>
          <w:bCs/>
        </w:rPr>
        <w:t>H2.</w:t>
      </w:r>
      <w:r>
        <w:rPr/>
        <w:t xml:space="preserve"> L’apport des dépenses diminue du spread au taux OAT, puis au CAC 40, à mesure que l’indicateur est moins exposé au risque souverain.</w:t>
      </w:r>
    </w:p>
    <w:p>
      <w:pPr>
        <w:pStyle w:val="Compact"/>
        <w:numPr>
          <w:ilvl w:val="0"/>
          <w:numId w:val="42"/>
        </w:numPr>
        <w:rPr/>
      </w:pPr>
      <w:r>
        <w:rPr>
          <w:b/>
          <w:bCs/>
        </w:rPr>
        <w:t>H3.</w:t>
      </w:r>
      <w:r>
        <w:rPr/>
        <w:t xml:space="preserve"> Les modèles de machine learning (forêt aléatoire, XGBoost) prévoient mieux que les modèles linéaires.</w:t>
      </w:r>
    </w:p>
    <w:p>
      <w:pPr>
        <w:pStyle w:val="Compact"/>
        <w:numPr>
          <w:ilvl w:val="0"/>
          <w:numId w:val="43"/>
        </w:numPr>
        <w:rPr/>
      </w:pPr>
      <w:r>
        <w:rPr>
          <w:b/>
          <w:bCs/>
        </w:rPr>
        <w:t>H4.</w:t>
      </w:r>
      <w:r>
        <w:rPr/>
        <w:t xml:space="preserve"> Parmi les dépenses, la charge de la dette et les dépenses d’intervention sont les plus prédictives.</w:t>
      </w:r>
    </w:p>
    <w:p>
      <w:pPr>
        <w:pStyle w:val="FirstParagraph"/>
        <w:rPr/>
      </w:pPr>
      <w:r>
        <w:rPr/>
        <w:t>En suivant Fama (1970) et Ramey (2011), un rejet de H1 reste un résultat plausible, et il nous apprendrait quelque chose.</w:t>
      </w:r>
    </w:p>
    <w:p>
      <w:pPr>
        <w:pStyle w:val="Normal"/>
        <w:rPr/>
      </w:pPr>
      <w:r>
        <w:rPr/>
      </w:r>
      <w:bookmarkStart w:id="103" w:name="chapitre-1-état-de-lart"/>
      <w:bookmarkStart w:id="104" w:name="synthèse-et-positionnement-du-mémoire"/>
      <w:bookmarkStart w:id="105" w:name="problématique-et-hypothèses"/>
      <w:bookmarkStart w:id="106" w:name="chapitre-1-état-de-lart"/>
      <w:bookmarkStart w:id="107" w:name="synthèse-et-positionnement-du-mémoire"/>
      <w:bookmarkStart w:id="108" w:name="problématique-et-hypothèses"/>
      <w:bookmarkEnd w:id="106"/>
      <w:bookmarkEnd w:id="107"/>
      <w:bookmarkEnd w:id="108"/>
      <w:r>
        <w:br w:type="page"/>
      </w:r>
    </w:p>
    <w:p>
      <w:pPr>
        <w:pStyle w:val="Heading1"/>
        <w:spacing w:before="0" w:after="240"/>
        <w:rPr/>
      </w:pPr>
      <w:bookmarkStart w:id="109" w:name="__RefHeading___Toc19653_1878758519"/>
      <w:bookmarkStart w:id="110" w:name="chapitre-2-données-et-méthodologie"/>
      <w:bookmarkEnd w:id="109"/>
      <w:bookmarkEnd w:id="110"/>
      <w:r>
        <w:rPr/>
        <w:t>Chapitre 2 – Données et méthodologie</w:t>
      </w:r>
    </w:p>
    <w:p>
      <w:pPr>
        <w:pStyle w:val="Heading2"/>
        <w:rPr/>
      </w:pPr>
      <w:bookmarkStart w:id="111" w:name="__RefHeading___Toc19655_1878758519"/>
      <w:bookmarkStart w:id="112" w:name="introduction-du-chapitre-1"/>
      <w:bookmarkEnd w:id="11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13" w:name="introduction-du-chapitre-1"/>
      <w:r>
        <w:rPr/>
        <w:t>Le code et les données sont conservés dans un dépôt GitHub (accessible sur demande). Chaque tableau et chaque figure de ce mémoire peut donc être recalculé à partir des fichiers bruts.</w:t>
      </w:r>
      <w:bookmarkEnd w:id="113"/>
    </w:p>
    <w:p>
      <w:pPr>
        <w:pStyle w:val="Heading2"/>
        <w:rPr/>
      </w:pPr>
      <w:bookmarkStart w:id="114" w:name="__RefHeading___Toc19657_1878758519"/>
      <w:bookmarkStart w:id="115" w:name="sources-des-données"/>
      <w:bookmarkEnd w:id="11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16" w:name="__RefHeading___Toc19777_1878758519"/>
      <w:bookmarkEnd w:id="11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4"/>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5"/>
        </w:numPr>
        <w:rPr/>
      </w:pPr>
      <w:r>
        <w:rPr>
          <w:b/>
          <w:bCs/>
        </w:rPr>
        <w:t>Le CAC 40 est un indice de prix</w:t>
      </w:r>
      <w:r>
        <w:rPr/>
        <w:t>, qui ne compte pas les dividendes.</w:t>
      </w:r>
    </w:p>
    <w:p>
      <w:pPr>
        <w:pStyle w:val="Compact"/>
        <w:numPr>
          <w:ilvl w:val="0"/>
          <w:numId w:val="46"/>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7"/>
        </w:numPr>
        <w:rPr/>
      </w:pPr>
      <w:r>
        <w:rPr>
          <w:b/>
          <w:bCs/>
        </w:rPr>
        <w:t>Le budget voté pour 2026 n’est pas dans les fichiers ouverts.</w:t>
      </w:r>
      <w:r>
        <w:rPr/>
        <w:t xml:space="preserve"> L’extension qui l’utilise (E4) s’arrête donc en février 2026.</w:t>
      </w:r>
      <w:bookmarkEnd w:id="115"/>
    </w:p>
    <w:p>
      <w:pPr>
        <w:pStyle w:val="Heading2"/>
        <w:rPr/>
      </w:pPr>
      <w:bookmarkStart w:id="117" w:name="__RefHeading___Toc19659_1878758519"/>
      <w:bookmarkStart w:id="118" w:name="construction-du-jeu-de-données"/>
      <w:bookmarkEnd w:id="11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692275" cy="23050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692275" cy="230505"/>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1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19"/>
    </w:p>
    <w:p>
      <w:pPr>
        <w:pStyle w:val="Heading3"/>
        <w:rPr/>
      </w:pPr>
      <w:bookmarkStart w:id="12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8"/>
        </w:numPr>
        <w:rPr/>
      </w:pPr>
      <w:r>
        <w:rPr>
          <w:b/>
          <w:bCs/>
        </w:rPr>
        <w:t>La somme des 12 derniers mois</w:t>
      </w:r>
      <w:r>
        <w:rPr/>
        <w:t xml:space="preserve"> (en milliards d’euros). Elle donne le niveau annuel, sans effet de saison.</w:t>
      </w:r>
    </w:p>
    <w:p>
      <w:pPr>
        <w:pStyle w:val="Compact"/>
        <w:numPr>
          <w:ilvl w:val="0"/>
          <w:numId w:val="49"/>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janvier, le cumul est presque nul, et le taux prend des valeurs absurdes : de -902 % à +1 789 % pour l’impôt sur les sociétés.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456305" cy="4781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456305" cy="47815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21" w:name="neutraliser-la-saisonnalité"/>
      <w:r>
        <w:rPr/>
        <w:t>Nous avons exclu les opérations financières. Ce sont des prises de participation ou des soutiens exceptionnels, très irréguliers, et non une dépense économique courante. Leur écart annuel atteignait -462 %.</w:t>
      </w:r>
      <w:bookmarkEnd w:id="121"/>
    </w:p>
    <w:p>
      <w:pPr>
        <w:pStyle w:val="Heading3"/>
        <w:rPr/>
      </w:pPr>
      <w:bookmarkStart w:id="12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bookmarkStart w:id="123" w:name="respecter-le-calendrier-de-publication"/>
      <w:r>
        <w:rPr/>
        <w:t>Sans ces décalages, le modèle utiliserait des chiffres que personne ne connaissait encore au moment de la prévision. Ses performances seraient alors gonflées artificiellement. C’est le biais d’anticipation, bien connu pour les données macroéconomiques (Croushore, 2011).</w:t>
      </w:r>
      <w:bookmarkEnd w:id="123"/>
    </w:p>
    <w:p>
      <w:pPr>
        <w:pStyle w:val="Heading3"/>
        <w:rPr/>
      </w:pPr>
      <w:bookmarkStart w:id="124"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25" w:name="__RefHeading___Toc19775_1878758519"/>
      <w:bookmarkEnd w:id="125"/>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18"/>
      <w:bookmarkEnd w:id="124"/>
    </w:p>
    <w:p>
      <w:pPr>
        <w:pStyle w:val="Heading2"/>
        <w:rPr/>
      </w:pPr>
      <w:bookmarkStart w:id="126" w:name="__RefHeading___Toc19661_1878758519"/>
      <w:bookmarkStart w:id="127" w:name="variables-cibles-et-stationnarité"/>
      <w:bookmarkEnd w:id="126"/>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8" w:name="__RefHeading___Toc19773_1878758519"/>
      <w:bookmarkEnd w:id="12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9" w:name="X1f226371d223a388ad860388f2edd529dc4d91f"/>
      <w:r>
        <w:rPr/>
        <w:t>Pourquoi prédire des variations plutôt que des niveaux.</w:t>
      </w:r>
    </w:p>
    <w:p>
      <w:pPr>
        <w:pStyle w:val="FirstParagraph"/>
        <w:rPr/>
      </w:pPr>
      <w:r>
        <w:rPr/>
        <w:t>Le test de Dickey-Fuller augmenté (ADF ; Dickey et Fuller, 1979) confirme que les trois cibles, en variations, sont stationnaires, alors que les niveaux ne le sont pas :</w:t>
      </w:r>
    </w:p>
    <w:p>
      <w:pPr>
        <w:pStyle w:val="CaptionTable"/>
        <w:keepNext w:val="true"/>
        <w:spacing w:lineRule="auto" w:line="240" w:before="120" w:after="80"/>
        <w:jc w:val="left"/>
        <w:rPr/>
      </w:pPr>
      <w:bookmarkStart w:id="130" w:name="__RefHeading___Toc19771_1878758519"/>
      <w:bookmarkEnd w:id="13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31" w:name="variables-cibles-et-stationnarité"/>
      <w:bookmarkStart w:id="132" w:name="X1f226371d223a388ad860388f2edd529dc4d91f"/>
      <w:r>
        <w:rPr/>
        <w:t>Nous testons aussi une version plus simple dans les extensions : deviner seulement si le spread va monter ou baisser. Sur notre échantillon, il a monté dans 52 % des mois.</w:t>
      </w:r>
      <w:bookmarkEnd w:id="131"/>
      <w:bookmarkEnd w:id="132"/>
    </w:p>
    <w:p>
      <w:pPr>
        <w:pStyle w:val="Heading2"/>
        <w:rPr/>
      </w:pPr>
      <w:bookmarkStart w:id="133" w:name="__RefHeading___Toc19663_1878758519"/>
      <w:bookmarkStart w:id="134" w:name="variables-explicatives"/>
      <w:bookmarkEnd w:id="133"/>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35" w:name="__RefHeading___Toc19769_1878758519"/>
      <w:bookmarkEnd w:id="13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36"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34"/>
      <w:bookmarkEnd w:id="136"/>
    </w:p>
    <w:p>
      <w:pPr>
        <w:pStyle w:val="Heading2"/>
        <w:rPr/>
      </w:pPr>
      <w:bookmarkStart w:id="137" w:name="__RefHeading___Toc19665_1878758519"/>
      <w:bookmarkStart w:id="138" w:name="modèles-retenus"/>
      <w:bookmarkEnd w:id="137"/>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(Gu, Kelly et Xiu, 2020 ; Bouillot, Candelon et Kool, 2025). Nous comparons cinq approches, des plus simples aux plus flexibles :</w:t>
      </w:r>
    </w:p>
    <w:p>
      <w:pPr>
        <w:pStyle w:val="CaptionTable"/>
        <w:keepNext w:val="true"/>
        <w:spacing w:lineRule="auto" w:line="240" w:before="120" w:after="80"/>
        <w:jc w:val="left"/>
        <w:rPr/>
      </w:pPr>
      <w:bookmarkStart w:id="139" w:name="__RefHeading___Toc19767_1878758519"/>
      <w:bookmarkEnd w:id="139"/>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utile (Welch et Goyal, 2008 ; 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(Breiman, 2001 ; Medeiros et al., 2021)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(2025) pour les spreads européens (Chen et Guestrin, 2016)</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(2018), travaillent sur des données quotidiennes de centaines d’actions, soit des centaines de milliers d’observations.</w:t>
      </w:r>
    </w:p>
    <w:p>
      <w:pPr>
        <w:pStyle w:val="Heading3"/>
        <w:rPr/>
      </w:pPr>
      <w:bookmarkStart w:id="140"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50"/>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51"/>
        </w:numPr>
        <w:rPr/>
      </w:pPr>
      <w:r>
        <w:rPr>
          <w:b/>
          <w:bCs/>
        </w:rPr>
        <w:t>Forêt aléatoire</w:t>
      </w:r>
      <w:r>
        <w:rPr/>
        <w:t xml:space="preserve"> : 300 arbres, profondeur maximale 4, au moins 5 observations par feuille, 50 % des variables tirées à chaque division.</w:t>
      </w:r>
    </w:p>
    <w:p>
      <w:pPr>
        <w:pStyle w:val="Compact"/>
        <w:numPr>
          <w:ilvl w:val="0"/>
          <w:numId w:val="52"/>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023870" cy="4216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023870" cy="42164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41" w:name="modèles-retenus"/>
      <w:bookmarkStart w:id="142"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41"/>
      <w:bookmarkEnd w:id="142"/>
    </w:p>
    <w:p>
      <w:pPr>
        <w:pStyle w:val="Heading2"/>
        <w:rPr/>
      </w:pPr>
      <w:bookmarkStart w:id="143" w:name="__RefHeading___Toc19667_1878758519"/>
      <w:bookmarkStart w:id="144" w:name="protocole-dévaluation"/>
      <w:bookmarkEnd w:id="143"/>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5"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3"/>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5"/>
    </w:p>
    <w:p>
      <w:pPr>
        <w:pStyle w:val="Heading3"/>
        <w:rPr/>
      </w:pPr>
      <w:bookmarkStart w:id="146" w:name="mesures-de-performance"/>
      <w:r>
        <w:rPr/>
        <w:t>2.6.2 Mesures de performance.</w:t>
      </w:r>
    </w:p>
    <w:p>
      <w:pPr>
        <w:pStyle w:val="CaptionTable"/>
        <w:keepNext w:val="true"/>
        <w:spacing w:lineRule="auto" w:line="240" w:before="120" w:after="80"/>
        <w:jc w:val="left"/>
        <w:rPr/>
      </w:pPr>
      <w:bookmarkStart w:id="147" w:name="__RefHeading___Toc19765_1878758519"/>
      <w:bookmarkEnd w:id="147"/>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(Campbell et Thompson, 2008)</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11935" cy="68453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11935" cy="684530"/>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6"/>
    </w:p>
    <w:p>
      <w:pPr>
        <w:pStyle w:val="Heading3"/>
        <w:rPr/>
      </w:pPr>
      <w:bookmarkStart w:id="148"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(1995)</w:t>
      </w:r>
      <w:r>
        <w:rPr/>
        <w:t>, avec la correction de Harvey, Leybourne et Newbold (1997) pour les petits échantillons. Il nous dit si l’écart d’erreurs entre deux modèles est assez grand pour ne pas être dû au hasard. Nous l’appliquons à trois comparaisons :</w:t>
      </w:r>
    </w:p>
    <w:p>
      <w:pPr>
        <w:pStyle w:val="Compact"/>
        <w:numPr>
          <w:ilvl w:val="0"/>
          <w:numId w:val="54"/>
        </w:numPr>
        <w:rPr/>
      </w:pPr>
      <w:r>
        <w:rPr/>
        <w:t>M1 contre M0 pour chaque modèle (test de l’hypothèse H1) ;</w:t>
      </w:r>
    </w:p>
    <w:p>
      <w:pPr>
        <w:pStyle w:val="Compact"/>
        <w:numPr>
          <w:ilvl w:val="0"/>
          <w:numId w:val="55"/>
        </w:numPr>
        <w:rPr/>
      </w:pPr>
      <w:r>
        <w:rPr/>
        <w:t>chaque modèle contre la prévision « variation nulle » ;</w:t>
      </w:r>
    </w:p>
    <w:p>
      <w:pPr>
        <w:pStyle w:val="Compact"/>
        <w:numPr>
          <w:ilvl w:val="0"/>
          <w:numId w:val="56"/>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3924300" cy="52514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924300" cy="52514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xml:space="preserve">* est la statistique corrigée de Harvey, Leybourne et Newbold (1997)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48"/>
    </w:p>
    <w:p>
      <w:pPr>
        <w:pStyle w:val="Heading3"/>
        <w:rPr/>
      </w:pPr>
      <w:bookmarkStart w:id="149"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9"/>
    </w:p>
    <w:p>
      <w:pPr>
        <w:pStyle w:val="Heading3"/>
        <w:rPr/>
      </w:pPr>
      <w:bookmarkStart w:id="150"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7"/>
        </w:numPr>
        <w:rPr/>
      </w:pPr>
      <w:r>
        <w:rPr>
          <w:b/>
          <w:bCs/>
        </w:rPr>
        <w:t>Graine aléatoire</w:t>
      </w:r>
      <w:r>
        <w:rPr/>
        <w:t xml:space="preserve"> : la forêt aléatoire et XGBoost sont réestimés avec 5 et 10 graines différentes.</w:t>
      </w:r>
    </w:p>
    <w:p>
      <w:pPr>
        <w:pStyle w:val="Compact"/>
        <w:numPr>
          <w:ilvl w:val="0"/>
          <w:numId w:val="58"/>
        </w:numPr>
        <w:rPr/>
      </w:pPr>
      <w:r>
        <w:rPr>
          <w:b/>
          <w:bCs/>
        </w:rPr>
        <w:t>Contrôle positif (puissance)</w:t>
      </w:r>
      <w:r>
        <w:rPr/>
        <w:t xml:space="preserve"> : on ajoute à M0 une variable fictive construite pour avoir une corrélation ρ donnée avec la cible (ρ = 0,1 à 1), avec 10 tirages par valeur, pour mesurer ce que le dispositif est capable de détecter.</w:t>
      </w:r>
    </w:p>
    <w:p>
      <w:pPr>
        <w:pStyle w:val="Compact"/>
        <w:numPr>
          <w:ilvl w:val="0"/>
          <w:numId w:val="59"/>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60"/>
        </w:numPr>
        <w:rPr/>
      </w:pPr>
      <w:r>
        <w:rPr>
          <w:b/>
          <w:bCs/>
        </w:rPr>
        <w:t>Décalage de publication</w:t>
      </w:r>
      <w:r>
        <w:rPr/>
        <w:t xml:space="preserve"> : les modèles principaux sont relancés avec un décalage budgétaire de 1 et de 3 mois au lieu de 2.</w:t>
      </w:r>
    </w:p>
    <w:p>
      <w:pPr>
        <w:pStyle w:val="Compact"/>
        <w:numPr>
          <w:ilvl w:val="0"/>
          <w:numId w:val="61"/>
        </w:numPr>
        <w:rPr/>
      </w:pPr>
      <w:r>
        <w:rPr>
          <w:b/>
          <w:bCs/>
        </w:rPr>
        <w:t>Importance par permutation hors échantillon</w:t>
      </w:r>
      <w:r>
        <w:rPr/>
        <w:t xml:space="preserve"> : sur la période de test, on mélange au hasard les valeurs d’un groupe de variables et on mesure la hausse de l’erreur.</w:t>
      </w:r>
      <w:bookmarkEnd w:id="144"/>
      <w:bookmarkEnd w:id="150"/>
    </w:p>
    <w:p>
      <w:pPr>
        <w:pStyle w:val="Heading2"/>
        <w:rPr/>
      </w:pPr>
      <w:bookmarkStart w:id="151" w:name="__RefHeading___Toc19669_1878758519"/>
      <w:bookmarkStart w:id="152" w:name="X2874266e848e71ac1567061d5b746f8fddf42e0"/>
      <w:bookmarkEnd w:id="151"/>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(2014)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mais avant leurs propres données. E18 est donc présentée comme exploratoire, car son idée vient directement d’un résultat d’E15.</w:t>
      </w:r>
    </w:p>
    <w:p>
      <w:pPr>
        <w:pStyle w:val="CaptionTable"/>
        <w:keepNext w:val="true"/>
        <w:spacing w:lineRule="auto" w:line="240" w:before="120" w:after="80"/>
        <w:jc w:val="left"/>
        <w:rPr/>
      </w:pPr>
      <w:bookmarkStart w:id="153" w:name="__RefHeading___Toc19763_1878758519"/>
      <w:bookmarkEnd w:id="153"/>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(Ramey, 2011)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(Afonso et al., 2015)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(2025)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Baker, Bloom et Davis, 2016)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4"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(1995)</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548130" cy="3270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548130" cy="327025"/>
                    </a:xfrm>
                    <a:prstGeom prst="rect">
                      <a:avLst/>
                    </a:prstGeom>
                  </pic:spPr>
                </pic:pic>
              </a:graphicData>
            </a:graphic>
          </wp:inline>
        </w:drawing>
      </w:r>
    </w:p>
    <w:p>
      <w:pPr>
        <w:pStyle w:val="BodyText"/>
        <w:rPr/>
      </w:pPr>
      <w:bookmarkStart w:id="155" w:name="X2874266e848e71ac1567061d5b746f8fddf42e0"/>
      <w:bookmarkStart w:id="156"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5"/>
      <w:bookmarkEnd w:id="156"/>
    </w:p>
    <w:p>
      <w:pPr>
        <w:pStyle w:val="Heading2"/>
        <w:rPr/>
      </w:pPr>
      <w:bookmarkStart w:id="157" w:name="__RefHeading___Toc19671_1878758519"/>
      <w:bookmarkStart w:id="158" w:name="considérations-éthiques"/>
      <w:bookmarkEnd w:id="157"/>
      <w:bookmarkEnd w:id="158"/>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(Bailey et al., 2014).</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59" w:name="chapitre-2-données-et-méthodologie"/>
      <w:bookmarkStart w:id="160" w:name="considérations-éthiques"/>
      <w:bookmarkStart w:id="161" w:name="chapitre-2-données-et-méthodologie"/>
      <w:bookmarkStart w:id="162" w:name="considérations-éthiques"/>
      <w:bookmarkEnd w:id="161"/>
      <w:bookmarkEnd w:id="162"/>
      <w:r>
        <w:br w:type="page"/>
      </w:r>
    </w:p>
    <w:p>
      <w:pPr>
        <w:pStyle w:val="Heading1"/>
        <w:spacing w:before="0" w:after="240"/>
        <w:rPr/>
      </w:pPr>
      <w:bookmarkStart w:id="163" w:name="__RefHeading___Toc19673_1878758519"/>
      <w:bookmarkStart w:id="164" w:name="chapitre-3-résultats"/>
      <w:bookmarkEnd w:id="163"/>
      <w:bookmarkEnd w:id="164"/>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5" w:name="__RefHeading___Toc19675_1878758519"/>
      <w:bookmarkStart w:id="166" w:name="statistiques-descriptives"/>
      <w:bookmarkEnd w:id="165"/>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7" w:name="__RefHeading___Toc19761_1878758519"/>
      <w:bookmarkEnd w:id="167"/>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8" w:name="__RefHeading___Toc19779_1878758519"/>
      <w:bookmarkEnd w:id="168"/>
      <w:r>
        <w:rPr>
          <w:b/>
          <w:bCs/>
          <w:sz w:val="22"/>
        </w:rPr>
        <w:t>Figure 3.1 – Distribution des trois cibles</w:t>
      </w:r>
    </w:p>
    <w:p>
      <w:pPr>
        <w:pStyle w:val="BodyText"/>
        <w:keepNext w:val="false"/>
        <w:spacing w:lineRule="auto" w:line="240" w:before="40" w:after="240"/>
        <w:jc w:val="left"/>
        <w:rPr/>
      </w:pPr>
      <w:bookmarkStart w:id="169" w:name="statistiques-descriptives"/>
      <w:r>
        <w:rPr>
          <w:i/>
          <w:iCs/>
          <w:sz w:val="20"/>
        </w:rPr>
        <w:t>Source : calculs de l’auteur.</w:t>
      </w:r>
      <w:bookmarkEnd w:id="169"/>
    </w:p>
    <w:p>
      <w:pPr>
        <w:pStyle w:val="Heading2"/>
        <w:rPr/>
      </w:pPr>
      <w:bookmarkStart w:id="170" w:name="__RefHeading___Toc19677_1878758519"/>
      <w:bookmarkStart w:id="171" w:name="modèles-principaux"/>
      <w:bookmarkEnd w:id="170"/>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2" w:name="__RefHeading___Toc19759_1878758519"/>
      <w:bookmarkEnd w:id="172"/>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3" w:name="__RefHeading___Toc19757_1878758519"/>
      <w:bookmarkEnd w:id="173"/>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4" w:name="__RefHeading___Toc19785_1878758519"/>
      <w:bookmarkEnd w:id="174"/>
      <w:r>
        <w:rPr>
          <w:b/>
          <w:bCs/>
          <w:sz w:val="22"/>
        </w:rPr>
        <w:t>Figure 3.2 – RMSE relatif à la moyenne historique</w:t>
      </w:r>
    </w:p>
    <w:p>
      <w:pPr>
        <w:pStyle w:val="BodyText"/>
        <w:keepNext w:val="false"/>
        <w:spacing w:lineRule="auto" w:line="240" w:before="40" w:after="240"/>
        <w:jc w:val="left"/>
        <w:rPr/>
      </w:pPr>
      <w:bookmarkStart w:id="175" w:name="modèles-principaux"/>
      <w:r>
        <w:rPr>
          <w:i/>
          <w:iCs/>
          <w:sz w:val="20"/>
        </w:rPr>
        <w:t>Source : calculs de l’auteur.</w:t>
      </w:r>
      <w:bookmarkEnd w:id="175"/>
    </w:p>
    <w:p>
      <w:pPr>
        <w:pStyle w:val="Heading2"/>
        <w:rPr/>
      </w:pPr>
      <w:bookmarkStart w:id="176" w:name="__RefHeading___Toc19679_1878758519"/>
      <w:bookmarkStart w:id="177" w:name="solidité-des-résultats"/>
      <w:bookmarkEnd w:id="176"/>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(tableau 3.4).</w:t>
      </w:r>
    </w:p>
    <w:p>
      <w:pPr>
        <w:pStyle w:val="CaptionTable"/>
        <w:keepNext w:val="true"/>
        <w:spacing w:lineRule="auto" w:line="240" w:before="120" w:after="80"/>
        <w:jc w:val="left"/>
        <w:rPr/>
      </w:pPr>
      <w:bookmarkStart w:id="178" w:name="__RefHeading___Toc19755_1878758519"/>
      <w:bookmarkEnd w:id="178"/>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7"/>
    </w:p>
    <w:p>
      <w:pPr>
        <w:pStyle w:val="Heading2"/>
        <w:rPr/>
      </w:pPr>
      <w:bookmarkStart w:id="179" w:name="__RefHeading___Toc19681_1878758519"/>
      <w:bookmarkStart w:id="180" w:name="importance-des-variables-1"/>
      <w:bookmarkEnd w:id="179"/>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81" w:name="__RefHeading___Toc19753_1878758519"/>
      <w:bookmarkEnd w:id="181"/>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sur un modèle M1 auquel on ajoute les variables de bruit et le signal fictif, qui servent de repères.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2" w:name="__RefHeading___Toc19783_1878758519"/>
      <w:bookmarkEnd w:id="182"/>
      <w:r>
        <w:rPr>
          <w:b/>
          <w:bCs/>
          <w:sz w:val="22"/>
        </w:rPr>
        <w:t>Figure 3.3 – Importance SHAP des variables</w:t>
      </w:r>
    </w:p>
    <w:p>
      <w:pPr>
        <w:pStyle w:val="BodyText"/>
        <w:keepNext w:val="false"/>
        <w:spacing w:lineRule="auto" w:line="240" w:before="40" w:after="240"/>
        <w:jc w:val="left"/>
        <w:rPr/>
      </w:pPr>
      <w:bookmarkStart w:id="183" w:name="importance-des-variables-1"/>
      <w:r>
        <w:rPr>
          <w:i/>
          <w:iCs/>
          <w:sz w:val="20"/>
        </w:rPr>
        <w:t>Source : calculs de l’auteur.</w:t>
      </w:r>
      <w:bookmarkEnd w:id="183"/>
    </w:p>
    <w:p>
      <w:pPr>
        <w:pStyle w:val="Heading2"/>
        <w:rPr/>
      </w:pPr>
      <w:bookmarkStart w:id="184" w:name="__RefHeading___Toc19683_1878758519"/>
      <w:bookmarkStart w:id="185" w:name="extensions-sur-les-données-françaises"/>
      <w:bookmarkEnd w:id="184"/>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6" w:name="__RefHeading___Toc19751_1878758519"/>
      <w:bookmarkEnd w:id="186"/>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7" w:name="__RefHeading___Toc19781_1878758519"/>
      <w:bookmarkEnd w:id="187"/>
      <w:r>
        <w:rPr>
          <w:b/>
          <w:bCs/>
          <w:sz w:val="22"/>
        </w:rPr>
        <w:t>Figure 3.4 – Synthèse des extensions</w:t>
      </w:r>
    </w:p>
    <w:p>
      <w:pPr>
        <w:pStyle w:val="BodyText"/>
        <w:keepNext w:val="false"/>
        <w:spacing w:lineRule="auto" w:line="240" w:before="40" w:after="240"/>
        <w:jc w:val="left"/>
        <w:rPr/>
      </w:pPr>
      <w:bookmarkStart w:id="188" w:name="extensions-sur-les-données-françaises"/>
      <w:r>
        <w:rPr>
          <w:i/>
          <w:iCs/>
          <w:sz w:val="20"/>
        </w:rPr>
        <w:t>Source : calculs de l’auteur.</w:t>
      </w:r>
      <w:bookmarkEnd w:id="188"/>
    </w:p>
    <w:p>
      <w:pPr>
        <w:pStyle w:val="Heading2"/>
        <w:rPr/>
      </w:pPr>
      <w:bookmarkStart w:id="189" w:name="__RefHeading___Toc19685_1878758519"/>
      <w:bookmarkStart w:id="190" w:name="X98da76a2dfe6287c3d8c5b97d63fcea983b716d"/>
      <w:bookmarkEnd w:id="189"/>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(2025).</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91" w:name="__RefHeading___Toc19749_1878758519"/>
      <w:bookmarkEnd w:id="191"/>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90"/>
    </w:p>
    <w:p>
      <w:pPr>
        <w:pStyle w:val="Heading2"/>
        <w:rPr/>
      </w:pPr>
      <w:bookmarkStart w:id="192" w:name="__RefHeading___Toc19687_1878758519"/>
      <w:bookmarkStart w:id="193" w:name="synthèse-état-des-hypothèses"/>
      <w:bookmarkEnd w:id="192"/>
      <w:bookmarkEnd w:id="193"/>
      <w:r>
        <w:rPr/>
        <w:t>3.7 Synthèse : état des hypothèses</w:t>
      </w:r>
    </w:p>
    <w:p>
      <w:pPr>
        <w:pStyle w:val="CaptionTable"/>
        <w:keepNext w:val="true"/>
        <w:spacing w:lineRule="auto" w:line="240" w:before="120" w:after="80"/>
        <w:jc w:val="left"/>
        <w:rPr/>
      </w:pPr>
      <w:bookmarkStart w:id="194" w:name="__RefHeading___Toc19747_1878758519"/>
      <w:bookmarkEnd w:id="194"/>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5" w:name="chapitre-3-résultats"/>
      <w:bookmarkStart w:id="196" w:name="synthèse-état-des-hypothèses"/>
      <w:bookmarkStart w:id="197" w:name="chapitre-3-résultats"/>
      <w:bookmarkStart w:id="198" w:name="synthèse-état-des-hypothèses"/>
      <w:bookmarkEnd w:id="197"/>
      <w:bookmarkEnd w:id="198"/>
      <w:r>
        <w:br w:type="page"/>
      </w:r>
    </w:p>
    <w:p>
      <w:pPr>
        <w:pStyle w:val="Heading1"/>
        <w:spacing w:before="0" w:after="240"/>
        <w:rPr/>
      </w:pPr>
      <w:bookmarkStart w:id="199" w:name="__RefHeading___Toc19689_1878758519"/>
      <w:bookmarkStart w:id="200" w:name="chapitre-4-discussion"/>
      <w:bookmarkEnd w:id="199"/>
      <w:bookmarkEnd w:id="200"/>
      <w:r>
        <w:rPr/>
        <w:t>Chapitre 4 – Discussion</w:t>
      </w:r>
    </w:p>
    <w:p>
      <w:pPr>
        <w:pStyle w:val="Heading2"/>
        <w:rPr/>
      </w:pPr>
      <w:bookmarkStart w:id="201" w:name="__RefHeading___Toc19691_1878758519"/>
      <w:bookmarkStart w:id="202" w:name="réponse-à-la-problématique"/>
      <w:bookmarkEnd w:id="201"/>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dix-neuf extensions réalisées, avec un décalage de publication d’un à trois mois, et après correction pour les tests multiples.</w:t>
      </w:r>
    </w:p>
    <w:p>
      <w:pPr>
        <w:pStyle w:val="BodyText"/>
        <w:rPr/>
      </w:pPr>
      <w:r>
        <w:rPr/>
        <w:t>Cette réponse a une portée précise. Elle ne dit pas que les dépenses n’ont aucun lien avec les marchés. Elle dit que, avec 79 mois de test, un lien faible ou modéré pourrait nous échapper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même si l’écart n’est significatif que dans quelques cas. À un mois, ces marchés sont donc très difficiles à prévoir, quelles que soient les variables utilisées.</w:t>
      </w:r>
      <w:bookmarkEnd w:id="202"/>
    </w:p>
    <w:p>
      <w:pPr>
        <w:pStyle w:val="Heading2"/>
        <w:rPr/>
      </w:pPr>
      <w:bookmarkStart w:id="203" w:name="__RefHeading___Toc19693_1878758519"/>
      <w:bookmarkStart w:id="204" w:name="Xa5e5ce56c40b921dc4fb73ef6c887ec2a5a3779"/>
      <w:bookmarkEnd w:id="203"/>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205"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confirmerait surtout ce qui était attendu.</w:t>
      </w:r>
    </w:p>
    <w:p>
      <w:pPr>
        <w:pStyle w:val="BodyText"/>
        <w:rPr/>
      </w:pPr>
      <w:r>
        <w:rPr/>
        <w:t>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rPr/>
      </w:pPr>
      <w:bookmarkStart w:id="206"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(sections 4.7 et 4.8).</w:t>
      </w:r>
      <w:bookmarkEnd w:id="206"/>
    </w:p>
    <w:p>
      <w:pPr>
        <w:pStyle w:val="Heading3"/>
        <w:rPr/>
      </w:pPr>
      <w:bookmarkStart w:id="207" w:name="X57f8577d700eaa38cd6c624300c66f71b06c5e6"/>
      <w:r>
        <w:rPr/>
        <w:t>Ce qui fait bouger le spread n’est pas budgétaire.</w:t>
      </w:r>
    </w:p>
    <w:p>
      <w:pPr>
        <w:pStyle w:val="FirstParagraph"/>
        <w:rPr/>
      </w:pPr>
      <w:r>
        <w:rPr/>
        <w:t>Les plus fortes variations mensuelles du spread OAT–Bund sont observées en mars 2020 (+20,5 pb), autour de l’élection présidentielle de 2017 (+16,3 pb en février, -18,1 pb en mai) et en juin 2024 (+15,5 pb). Ces mouvements coïncident avec des événements politiques ou mondiaux : le début de la crise du Covid-19 en mars 2020, la campagne présidentielle de 2017 (premier tour le 23 avril, second tour le 7 mai) et l’annonce de la dissolution de l’Assemblée nationale le 9 juin 2024.</w:t>
      </w:r>
    </w:p>
    <w:p>
      <w:pPr>
        <w:pStyle w:val="BodyText"/>
        <w:rPr/>
      </w:pPr>
      <w:bookmarkStart w:id="208"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208"/>
    </w:p>
    <w:p>
      <w:pPr>
        <w:pStyle w:val="Heading3"/>
        <w:rPr/>
      </w:pPr>
      <w:bookmarkStart w:id="209"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 xml:space="preserve">La littérature européenne trouve pourtant un lien entre finances publiques et spreads (Bernoth et al., 2012 ; Afonso et al., 2015).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bookmarkStart w:id="210" w:name="Xa5e5ce56c40b921dc4fb73ef6c887ec2a5a3779"/>
      <w:bookmarkStart w:id="211" w:name="une-variable-lente-pour-une-cible-rapide"/>
      <w:r>
        <w:rPr/>
        <w:t>Enfin, la France n’a pas connu de crise de la dette pendant notre période (2014-2026), contrairement à l’Italie ou à l’Espagne en 2011-2012. Il est possible que les dépenses ne comptent pour les marchés qu’en période de tension (Afonso et al., 2015). Le panel trimestriel va dans ce sens : sur 2010-2014, ajouter les dépenses améliore le R² de 3 à 4 points, alors qu’il le dégrade après 2015 (section 3.6). Mais ces écarts ne sont pas testés, et le modèle qui introduit explicitement des interactions avec les périodes de tension (E18) ne les confirme pas.</w:t>
      </w:r>
      <w:bookmarkEnd w:id="210"/>
      <w:bookmarkEnd w:id="211"/>
    </w:p>
    <w:p>
      <w:pPr>
        <w:pStyle w:val="Heading2"/>
        <w:rPr/>
      </w:pPr>
      <w:bookmarkStart w:id="212" w:name="__RefHeading___Toc19695_1878758519"/>
      <w:bookmarkStart w:id="213" w:name="X4f24273c89b93f863aba17af74a867268801037"/>
      <w:bookmarkEnd w:id="212"/>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14"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15" w:name="X5c4ef77c170152c1e9564333d059fa01c8bab33"/>
      <w:r>
        <w:rPr/>
        <w:t>Cela définit la portée de notre conclusion : nos tests ne montrent pas de pouvoir prédictif fort des dépenses ; un effet faible reste possible. La cause principale est la taille de l’échantillon : les séries budgétaires ouvertes commencent en 2013, ce qui laisse 79 mois de test. C’est d’abord une limite des données disponibles ; le choix de commencer le test en 2020, pour garder assez de mois d’entraînement, y contribue aussi.</w:t>
      </w:r>
      <w:bookmarkEnd w:id="215"/>
    </w:p>
    <w:p>
      <w:pPr>
        <w:pStyle w:val="Heading3"/>
        <w:rPr/>
      </w:pPr>
      <w:bookmarkStart w:id="216"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17"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17"/>
    </w:p>
    <w:p>
      <w:pPr>
        <w:pStyle w:val="Heading3"/>
        <w:rPr/>
      </w:pPr>
      <w:bookmarkStart w:id="218"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(Working, 1960). Avec le spread de fin de trimestre, le R² devient négatif.</w:t>
      </w:r>
    </w:p>
    <w:p>
      <w:pPr>
        <w:pStyle w:val="BodyText"/>
        <w:rPr/>
      </w:pPr>
      <w:bookmarkStart w:id="219" w:name="X4f24273c89b93f863aba17af74a867268801037"/>
      <w:bookmarkStart w:id="220"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19"/>
      <w:bookmarkEnd w:id="220"/>
    </w:p>
    <w:p>
      <w:pPr>
        <w:pStyle w:val="Heading2"/>
        <w:rPr/>
      </w:pPr>
      <w:bookmarkStart w:id="221" w:name="__RefHeading___Toc19697_1878758519"/>
      <w:bookmarkStart w:id="222" w:name="X876c5a005e765b855c401f44da374027e63bdc7"/>
      <w:bookmarkEnd w:id="221"/>
      <w:r>
        <w:rPr/>
        <w:t>4.4 Retour sur les modèles : pourquoi le machine learning ne fait pas mieux, et ce qui reste prévisible</w:t>
      </w:r>
    </w:p>
    <w:p>
      <w:pPr>
        <w:pStyle w:val="Heading3"/>
        <w:rPr/>
      </w:pPr>
      <w:bookmarkStart w:id="223" w:name="X111e64c5de6cd11ba7950b222c03253a307fd34"/>
      <w:r>
        <w:rPr/>
        <w:t>Pourquoi les modèles d’arbres font moins bien que Ridge (H3).</w:t>
      </w:r>
    </w:p>
    <w:p>
      <w:pPr>
        <w:pStyle w:val="FirstParagraph"/>
        <w:rPr/>
      </w:pPr>
      <w:r>
        <w:rPr/>
        <w:t>On aurait pu attendre du machine learning qu’il trouve des relations non linéaires que la régression ne voit pas. C’est l’inverse qui se produit : XGBoost est le moins bon des trois modèles, et la forêt aléatoire ne fait pas mieux que Ridge. Deux éléments peuvent l’expliquer.</w:t>
      </w:r>
    </w:p>
    <w:p>
      <w:pPr>
        <w:pStyle w:val="BodyText"/>
        <w:rPr/>
      </w:pPr>
      <w:r>
        <w:rPr/>
        <w:t>Le premier est le rapport entre le signal et le bruit. Avec 70 à 148 mois d’entraînement et des cibles très bruitées, un modèle flexible trouve toujours des régularités dans l’échantillon d’apprentissage, mais ce sont surtout des coïncidences qui ne se répètent pas. L’instabilité de XGBoost en est un indice : son R² varie d’environ 9 points selon la seule graine aléatoire. Un modèle qui change autant avec le hasard du tirage apprend surtout du bruit.</w:t>
      </w:r>
    </w:p>
    <w:p>
      <w:pPr>
        <w:pStyle w:val="BodyText"/>
        <w:rPr/>
      </w:pPr>
      <w:r>
        <w:rPr/>
        <w:t>Le second est le comportement de Ridge. Quand il ne trouve pas de signal, Ridge augmente sa pénalité et rapproche sa prévision de la moyenne. C’est ce qui se passe pour le CAC 40 : la pénalité choisie est souvent très forte (supérieure à 10 000 dans 27 à 44 % des mois, contre moins de 100 le plus souvent pour le spread), et Ridge devient presque la moyenne historique, d’où son R² proche de zéro (-1,3 %). Autrement dit, le « meilleur » modèle est celui qui renonce le plus à prévoir. Ce résultat rejoint une observation de Bouillot et al. (2025) : même dans leur étude, des régressions pénalisées simples font mieux que XGBoost dans certains pays (Belgique, Espagne).</w:t>
      </w:r>
    </w:p>
    <w:p>
      <w:pPr>
        <w:pStyle w:val="BodyText"/>
        <w:rPr/>
      </w:pPr>
      <w:bookmarkStart w:id="224" w:name="X111e64c5de6cd11ba7950b222c03253a307fd34"/>
      <w:r>
        <w:rPr/>
        <w:t>Le machine learning n’est donc pas inutile en soi ; il a besoin de plus d’observations et d’un signal plus fort que ce que nos données offrent à un mois.</w:t>
      </w:r>
      <w:bookmarkEnd w:id="224"/>
    </w:p>
    <w:p>
      <w:pPr>
        <w:pStyle w:val="Heading3"/>
        <w:rPr/>
      </w:pPr>
      <w:bookmarkStart w:id="225" w:name="X6daa0ba95e94039e7e58e086844563595c3eacb"/>
      <w:r>
        <w:rPr/>
        <w:t>Pourquoi l’importance des variables ne dit rien ici (H4).</w:t>
      </w:r>
    </w:p>
    <w:p>
      <w:pPr>
        <w:pStyle w:val="FirstParagraph"/>
        <w:rPr/>
      </w:pPr>
      <w:bookmarkStart w:id="226" w:name="X6daa0ba95e94039e7e58e086844563595c3eacb"/>
      <w:r>
        <w:rPr/>
        <w:t>L’hypothèse H4 supposait que la charge de la dette et les dépenses d’intervention seraient les plus prédictives. Les valeurs SHAP semblaient d’abord aller dans ce sens, avec les dépenses d’intervention en tête. Mais des variables de pur bruit obtiennent la même part d’importance, et mélanger les dépenses sur la période de test n’augmente pas l’erreur. Un modèle d’arbres utilise toutes les variables qu’on lui donne, même inutiles ; il faut donc toujours comparer leur importance à celle du bruit avant d’en tirer une conclusion.</w:t>
      </w:r>
      <w:bookmarkEnd w:id="226"/>
    </w:p>
    <w:p>
      <w:pPr>
        <w:pStyle w:val="Heading3"/>
        <w:rPr/>
      </w:pPr>
      <w:bookmarkStart w:id="227" w:name="ce-qui-reste-prévisible"/>
      <w:r>
        <w:rPr/>
        <w:t>Ce qui reste prévisible.</w:t>
      </w:r>
    </w:p>
    <w:p>
      <w:pPr>
        <w:pStyle w:val="FirstParagraph"/>
        <w:rPr/>
      </w:pPr>
      <w:r>
        <w:rPr/>
        <w:t xml:space="preserve">Le résultat n’est pas entièrement négatif. Certaines extensions battent la moyenne, mais </w:t>
      </w:r>
      <w:r>
        <w:rPr>
          <w:b/>
          <w:bCs/>
        </w:rPr>
        <w:t>sans les dépenses</w:t>
      </w:r>
      <w:r>
        <w:rPr/>
        <w:t xml:space="preserve"> :</w:t>
      </w:r>
    </w:p>
    <w:p>
      <w:pPr>
        <w:pStyle w:val="Compact"/>
        <w:numPr>
          <w:ilvl w:val="0"/>
          <w:numId w:val="62"/>
        </w:numPr>
        <w:rPr/>
      </w:pPr>
      <w:r>
        <w:rPr>
          <w:b/>
          <w:bCs/>
        </w:rPr>
        <w:t>La volatilité</w:t>
      </w:r>
      <w:r>
        <w:rPr/>
        <w:t xml:space="preserve"> (E3) : l’ampleur des mouvements du mois suivant est en partie prévisible (R² de +9,6 % pour le CAC 40, +3,3 % pour l’OAT). C’est cohérent avec un fait bien connu des marchés : les périodes agitées se suivent, et les périodes calmes aussi (Engle, 1982). On prévoit mieux l’intensité d’un mouvement que sa direction.</w:t>
      </w:r>
    </w:p>
    <w:p>
      <w:pPr>
        <w:pStyle w:val="Compact"/>
        <w:numPr>
          <w:ilvl w:val="0"/>
          <w:numId w:val="63"/>
        </w:numPr>
        <w:rPr/>
      </w:pPr>
      <w:r>
        <w:rPr>
          <w:b/>
          <w:bCs/>
        </w:rPr>
        <w:t>Le sens de variation de l’OAT</w:t>
      </w:r>
      <w:r>
        <w:rPr/>
        <w:t xml:space="preserve"> (E2) : la classification hausse / baisse fait un peu mieux que la fréquence historique (score de Brier +2,5 %).</w:t>
      </w:r>
    </w:p>
    <w:p>
      <w:pPr>
        <w:pStyle w:val="Compact"/>
        <w:numPr>
          <w:ilvl w:val="0"/>
          <w:numId w:val="64"/>
        </w:numPr>
        <w:rPr/>
      </w:pPr>
      <w:r>
        <w:rPr>
          <w:b/>
          <w:bCs/>
        </w:rPr>
        <w:t>Le CAC 40 à 12 mois</w:t>
      </w:r>
      <w:r>
        <w:rPr/>
        <w:t xml:space="preserve"> (E1 : +11,8 %). Ce résultat est fragile : il repose sur 68 prévisions qui se chevauchent, donc sur très peu d’informations indépendantes.</w:t>
      </w:r>
    </w:p>
    <w:p>
      <w:pPr>
        <w:pStyle w:val="FirstParagraph"/>
        <w:rPr/>
      </w:pPr>
      <w:bookmarkStart w:id="228" w:name="X876c5a005e765b855c401f44da374027e63bdc7"/>
      <w:bookmarkStart w:id="229" w:name="ce-qui-reste-prévisible"/>
      <w:r>
        <w:rPr/>
        <w:t>Dans aucun de ces cas l’ajout des dépenses n’apporte un gain significatif. Ce qui est prévisible vient des marchés eux-mêmes, pas du budget de l’État.</w:t>
      </w:r>
      <w:bookmarkEnd w:id="228"/>
      <w:bookmarkEnd w:id="229"/>
    </w:p>
    <w:p>
      <w:pPr>
        <w:pStyle w:val="Heading2"/>
        <w:rPr/>
      </w:pPr>
      <w:bookmarkStart w:id="230" w:name="__RefHeading___Toc19699_1878758519"/>
      <w:bookmarkStart w:id="231" w:name="comparaison-avec-la-littérature"/>
      <w:bookmarkEnd w:id="230"/>
      <w:r>
        <w:rPr/>
        <w:t>4.5 Comparaison avec la littérature</w:t>
      </w:r>
    </w:p>
    <w:p>
      <w:pPr>
        <w:pStyle w:val="Heading3"/>
        <w:rPr/>
      </w:pPr>
      <w:bookmarkStart w:id="232" w:name="X38da42998e753696a184ac02ba53813e7b5557d"/>
      <w:r>
        <w:rPr/>
        <w:t>Bouillot, Candelon et Kool (2025) : un R² élevé n’est pas une bonne prévision.</w:t>
      </w:r>
    </w:p>
    <w:p>
      <w:pPr>
        <w:pStyle w:val="FirstParagraph"/>
        <w:rPr/>
      </w:pPr>
      <w:r>
        <w:rPr/>
        <w:t>L’étude la plus proche de la nôtre annonce d’excellents résultats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33" w:name="X38da42998e753696a184ac02ba53813e7b5557d"/>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bookmarkEnd w:id="233"/>
    </w:p>
    <w:p>
      <w:pPr>
        <w:pStyle w:val="Heading3"/>
        <w:rPr/>
      </w:pPr>
      <w:bookmarkStart w:id="234" w:name="welch-et-goyal-2008-un-résultat-attendu"/>
      <w:r>
        <w:rPr/>
        <w:t>Welch et Goyal (2008) : un résultat attendu.</w:t>
      </w:r>
    </w:p>
    <w:p>
      <w:pPr>
        <w:pStyle w:val="FirstParagraph"/>
        <w:rPr/>
      </w:pPr>
      <w:bookmarkStart w:id="235" w:name="welch-et-goyal-2008-un-résultat-attendu"/>
      <w:r>
        <w:rPr/>
        <w:t>Welch et Goyal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35"/>
    </w:p>
    <w:p>
      <w:pPr>
        <w:pStyle w:val="Heading3"/>
        <w:rPr/>
      </w:pPr>
      <w:bookmarkStart w:id="236" w:name="X753ea51395fb05b75cf0b45d5b5430777b1a82f"/>
      <w:r>
        <w:rPr/>
        <w:t>Les études européennes sur les finances publiques.</w:t>
      </w:r>
    </w:p>
    <w:p>
      <w:pPr>
        <w:pStyle w:val="FirstParagraph"/>
        <w:rPr/>
      </w:pPr>
      <w:r>
        <w:rPr/>
        <w:t>Afonso et al. (2015) et Bernoth et al. (2012)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(2023)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bookmarkStart w:id="237" w:name="comparaison-avec-la-littérature"/>
      <w:bookmarkStart w:id="238" w:name="X753ea51395fb05b75cf0b45d5b5430777b1a82f"/>
      <w:r>
        <w:rPr/>
        <w:t>Enfin, Garlanda-Longueville (2023) trouve un effet des annonces budgétaires françaises sur le spread, avec des données quotidiennes. Ce résultat est compatible avec le nôtre : il suggère que ce sont les annonces, observées au jour le jour, qui font bouger les marchés, plutôt que l’exécution mensuelle publiée deux mois plus tard.</w:t>
      </w:r>
      <w:bookmarkEnd w:id="237"/>
      <w:bookmarkEnd w:id="238"/>
    </w:p>
    <w:p>
      <w:pPr>
        <w:pStyle w:val="Heading2"/>
        <w:rPr/>
      </w:pPr>
      <w:bookmarkStart w:id="239" w:name="__RefHeading___Toc19701_1878758519"/>
      <w:bookmarkStart w:id="240" w:name="implications"/>
      <w:bookmarkEnd w:id="239"/>
      <w:r>
        <w:rPr/>
        <w:t>4.6 Implications</w:t>
      </w:r>
    </w:p>
    <w:p>
      <w:pPr>
        <w:pStyle w:val="FirstParagraph"/>
        <w:rPr/>
      </w:pPr>
      <w:r>
        <w:rPr>
          <w:b/>
          <w:bCs/>
        </w:rPr>
        <w:t>Pour la recherche.</w:t>
      </w:r>
      <w:r>
        <w:rPr/>
        <w:t xml:space="preserve"> Un résultat de prévision doit toujours être comparé à une référence naïve (moyenne historique et, pour les taux, variation nulle) et à du bruit. Sans ces deux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semble plutôt se trouver dans les annonces et les anticipations.</w:t>
      </w:r>
    </w:p>
    <w:p>
      <w:pPr>
        <w:pStyle w:val="BodyText"/>
        <w:rPr/>
      </w:pPr>
      <w:r>
        <w:rPr>
          <w:b/>
          <w:bCs/>
        </w:rPr>
        <w:t>Pour les producteurs de données ouvertes.</w:t>
      </w:r>
      <w:r>
        <w:rPr/>
        <w:t xml:space="preserve"> L’intérêt des situations budgétaires pour la recherche serait plus grand avec un calendrier de publication archivé et la conservation des versions successives des chiffres. Ces deux éléments permettraient de travailler avec l’information réellement disponible à chaque date.</w:t>
      </w:r>
      <w:bookmarkEnd w:id="240"/>
    </w:p>
    <w:p>
      <w:pPr>
        <w:pStyle w:val="Heading2"/>
        <w:rPr/>
      </w:pPr>
      <w:bookmarkStart w:id="241" w:name="__RefHeading___Toc19703_1878758519"/>
      <w:bookmarkStart w:id="242" w:name="limites"/>
      <w:bookmarkEnd w:id="241"/>
      <w:r>
        <w:rPr/>
        <w:t>4.7 Limites</w:t>
      </w:r>
    </w:p>
    <w:p>
      <w:pPr>
        <w:pStyle w:val="Heading3"/>
        <w:rPr/>
      </w:pPr>
      <w:bookmarkStart w:id="243" w:name="limites-des-données"/>
      <w:r>
        <w:rPr/>
        <w:t>Limites des données.</w:t>
      </w:r>
    </w:p>
    <w:p>
      <w:pPr>
        <w:pStyle w:val="Compact"/>
        <w:numPr>
          <w:ilvl w:val="0"/>
          <w:numId w:val="65"/>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66"/>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7"/>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68"/>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69"/>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43"/>
    </w:p>
    <w:p>
      <w:pPr>
        <w:pStyle w:val="Heading3"/>
        <w:rPr/>
      </w:pPr>
      <w:bookmarkStart w:id="244" w:name="limites-de-méthode"/>
      <w:r>
        <w:rPr/>
        <w:t>Limites de méthode.</w:t>
      </w:r>
    </w:p>
    <w:p>
      <w:pPr>
        <w:pStyle w:val="Compact"/>
        <w:numPr>
          <w:ilvl w:val="0"/>
          <w:numId w:val="70"/>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71"/>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72"/>
        </w:numPr>
        <w:rPr/>
      </w:pPr>
      <w:r>
        <w:rPr>
          <w:b/>
          <w:bCs/>
        </w:rPr>
        <w:t>Instabilité de XGBoost.</w:t>
      </w:r>
      <w:r>
        <w:rPr/>
        <w:t xml:space="preserve"> Son R² varie d’environ 9 points selon la graine aléatoire. Les conclusions ne changent pas, mais les chiffres précis dépendent aussi des versions des bibliothèques logicielles.</w:t>
      </w:r>
    </w:p>
    <w:p>
      <w:pPr>
        <w:pStyle w:val="Compact"/>
        <w:numPr>
          <w:ilvl w:val="0"/>
          <w:numId w:val="73"/>
        </w:numPr>
        <w:rPr/>
      </w:pPr>
      <w:r>
        <w:rPr>
          <w:b/>
          <w:bCs/>
        </w:rPr>
        <w:t>Extensions ajoutées en cours de route.</w:t>
      </w:r>
      <w:r>
        <w:rPr/>
        <w:t xml:space="preserve"> Toutes les extensions ont été définies après les résultats du modèle principal, mais datées avant leur exécution. E17 à E20 ont été ajoutées après avoir vu les résultats d’E15 et E16, et E18 est explicitement exploratoire. E14 (étude d’événement) n’a pas pu être réalisée.</w:t>
      </w:r>
    </w:p>
    <w:p>
      <w:pPr>
        <w:pStyle w:val="Compact"/>
        <w:numPr>
          <w:ilvl w:val="0"/>
          <w:numId w:val="74"/>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75"/>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42"/>
      <w:bookmarkEnd w:id="244"/>
    </w:p>
    <w:p>
      <w:pPr>
        <w:pStyle w:val="Heading2"/>
        <w:rPr/>
      </w:pPr>
      <w:bookmarkStart w:id="245" w:name="__RefHeading___Toc19705_1878758519"/>
      <w:bookmarkStart w:id="246" w:name="recherches-futures"/>
      <w:bookmarkEnd w:id="245"/>
      <w:bookmarkEnd w:id="246"/>
      <w:r>
        <w:rPr/>
        <w:t>4.8 Recherches futures</w:t>
      </w:r>
    </w:p>
    <w:p>
      <w:pPr>
        <w:pStyle w:val="Compact"/>
        <w:numPr>
          <w:ilvl w:val="0"/>
          <w:numId w:val="76"/>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(2023) montre qu’une telle approche trouve des effets pour les annonces budgétaires.</w:t>
      </w:r>
    </w:p>
    <w:p>
      <w:pPr>
        <w:pStyle w:val="Compact"/>
        <w:numPr>
          <w:ilvl w:val="0"/>
          <w:numId w:val="77"/>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78"/>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79"/>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80"/>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47" w:name="chapitre-4-discussion"/>
      <w:bookmarkStart w:id="248" w:name="recherches-futures"/>
      <w:bookmarkStart w:id="249" w:name="chapitre-4-discussion"/>
      <w:bookmarkStart w:id="250" w:name="recherches-futures"/>
      <w:bookmarkEnd w:id="249"/>
      <w:bookmarkEnd w:id="250"/>
      <w:r>
        <w:br w:type="page"/>
      </w:r>
    </w:p>
    <w:p>
      <w:pPr>
        <w:pStyle w:val="Heading1"/>
        <w:spacing w:before="0" w:after="240"/>
        <w:rPr/>
      </w:pPr>
      <w:bookmarkStart w:id="251" w:name="__RefHeading___Toc19707_1878758519"/>
      <w:bookmarkStart w:id="252" w:name="conclusion-générale"/>
      <w:bookmarkEnd w:id="251"/>
      <w:bookmarkEnd w:id="252"/>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53" w:name="__RefHeading___Toc19709_1878758519"/>
      <w:bookmarkStart w:id="254" w:name="principaux-résultats"/>
      <w:bookmarkEnd w:id="253"/>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55"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55"/>
    </w:p>
    <w:p>
      <w:pPr>
        <w:pStyle w:val="Heading2"/>
        <w:rPr/>
      </w:pPr>
      <w:bookmarkStart w:id="256" w:name="__RefHeading___Toc19711_1878758519"/>
      <w:bookmarkStart w:id="257" w:name="apports-1"/>
      <w:bookmarkEnd w:id="256"/>
      <w:r>
        <w:rPr/>
        <w:t>Apports</w:t>
      </w:r>
    </w:p>
    <w:p>
      <w:pPr>
        <w:pStyle w:val="FirstParagraph"/>
        <w:rPr/>
      </w:pPr>
      <w:bookmarkStart w:id="258"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58"/>
    </w:p>
    <w:p>
      <w:pPr>
        <w:pStyle w:val="Heading2"/>
        <w:rPr/>
      </w:pPr>
      <w:bookmarkStart w:id="259" w:name="__RefHeading___Toc19713_1878758519"/>
      <w:bookmarkStart w:id="260" w:name="limites-1"/>
      <w:bookmarkEnd w:id="259"/>
      <w:r>
        <w:rPr/>
        <w:t>Limites</w:t>
      </w:r>
    </w:p>
    <w:p>
      <w:pPr>
        <w:pStyle w:val="FirstParagraph"/>
        <w:rPr/>
      </w:pPr>
      <w:bookmarkStart w:id="261"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61"/>
    </w:p>
    <w:p>
      <w:pPr>
        <w:pStyle w:val="Heading2"/>
        <w:rPr/>
      </w:pPr>
      <w:bookmarkStart w:id="262" w:name="__RefHeading___Toc19715_1878758519"/>
      <w:bookmarkStart w:id="263" w:name="perspectives"/>
      <w:bookmarkEnd w:id="262"/>
      <w:bookmarkEnd w:id="263"/>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64" w:name="conclusion-générale"/>
      <w:bookmarkStart w:id="265" w:name="perspectives"/>
      <w:bookmarkStart w:id="266" w:name="conclusion-générale"/>
      <w:bookmarkStart w:id="267" w:name="perspectives"/>
      <w:bookmarkEnd w:id="266"/>
      <w:bookmarkEnd w:id="267"/>
      <w:r>
        <w:br w:type="page"/>
      </w:r>
    </w:p>
    <w:p>
      <w:pPr>
        <w:pStyle w:val="Heading1"/>
        <w:spacing w:before="0" w:after="240"/>
        <w:rPr/>
      </w:pPr>
      <w:bookmarkStart w:id="268" w:name="__RefHeading___Toc19717_1878758519"/>
      <w:bookmarkStart w:id="269" w:name="références"/>
      <w:bookmarkEnd w:id="268"/>
      <w:bookmarkEnd w:id="269"/>
      <w:r>
        <w:rPr/>
        <w:t>Références</w:t>
      </w:r>
    </w:p>
    <w:p>
      <w:pPr>
        <w:pStyle w:val="Bibliography"/>
        <w:rPr/>
      </w:pPr>
      <w:r>
        <w:rPr/>
        <w:t xml:space="preserve">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r>
        <w:rPr/>
        <w:t xml:space="preserve">Afonso, A., &amp; Sousa, R. M. (2011). What are the effects of fiscal policy on asset markets? </w:t>
      </w:r>
      <w:r>
        <w:rPr>
          <w:i/>
          <w:iCs/>
        </w:rPr>
        <w:t>Economic Modelling</w:t>
      </w:r>
      <w:r>
        <w:rPr/>
        <w:t>, 28(4), 1871–1890.</w:t>
      </w:r>
    </w:p>
    <w:p>
      <w:pPr>
        <w:pStyle w:val="Bibliography"/>
        <w:rPr/>
      </w:pPr>
      <w:r>
        <w:rPr/>
        <w:t xml:space="preserve">Ardagna, S. (2009). Financial markets’ behavior around episodes of large changes in the fiscal stance. </w:t>
      </w:r>
      <w:r>
        <w:rPr>
          <w:i/>
          <w:iCs/>
        </w:rPr>
        <w:t>European Economic Review</w:t>
      </w:r>
      <w:r>
        <w:rPr/>
        <w:t>, 53(1), 37–55.</w:t>
      </w:r>
    </w:p>
    <w:p>
      <w:pPr>
        <w:pStyle w:val="Bibliography"/>
        <w:rPr/>
      </w:pPr>
      <w:r>
        <w:rPr/>
        <w:t xml:space="preserve">Attinasi, M.-G., Checherita, C., &amp; Nickel, C. (2009). </w:t>
      </w:r>
      <w:r>
        <w:rPr>
          <w:i/>
          <w:iCs/>
        </w:rPr>
        <w:t>What explains the surge in euro area sovereign spreads during the financial crisis of 2007-09?</w:t>
      </w:r>
      <w:r>
        <w:rPr/>
        <w:t xml:space="preserve"> ECB Working Paper No. 1131.</w:t>
      </w:r>
    </w:p>
    <w:p>
      <w:pPr>
        <w:pStyle w:val="Bibliography"/>
        <w:rPr/>
      </w:pPr>
      <w:r>
        <w:rPr/>
        <w:t xml:space="preserve">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r>
        <w:rPr/>
        <w:t xml:space="preserve">Baker, S. R., Bloom, N., &amp; Davis, S. J. (2016). Measuring economic policy uncertainty. </w:t>
      </w:r>
      <w:r>
        <w:rPr>
          <w:i/>
          <w:iCs/>
        </w:rPr>
        <w:t>The Quarterly Journal of Economics</w:t>
      </w:r>
      <w:r>
        <w:rPr/>
        <w:t>, 131(4), 1593–1636.</w:t>
      </w:r>
    </w:p>
    <w:p>
      <w:pPr>
        <w:pStyle w:val="Bibliography"/>
        <w:rPr/>
      </w:pPr>
      <w:r>
        <w:rPr/>
        <w:t xml:space="preserve">Barbier-Gauchard, A., &amp; Sofianos, E. (2025). </w:t>
      </w:r>
      <w:hyperlink r:id="rId13">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r>
        <w:rPr/>
        <w:t xml:space="preserve">Barro, R. J. (1974). Are government bonds net wealth? </w:t>
      </w:r>
      <w:r>
        <w:rPr>
          <w:i/>
          <w:iCs/>
        </w:rPr>
        <w:t>Journal of Political Economy</w:t>
      </w:r>
      <w:r>
        <w:rPr/>
        <w:t>, 82(6), 1095–1117.</w:t>
      </w:r>
    </w:p>
    <w:p>
      <w:pPr>
        <w:pStyle w:val="Bibliography"/>
        <w:rPr/>
      </w:pPr>
      <w:r>
        <w:rPr/>
        <w:t xml:space="preserve">Belly, G., Boeckelmann, L., Caicedo Graciano, C. M., Di Iorio, A., Istrefi, K., Siakoulis, V., &amp; Stalla-Bourdillon, A. (2023). </w:t>
      </w:r>
      <w:hyperlink r:id="rId14">
        <w:r>
          <w:rPr>
            <w:rStyle w:val="Hyperlink"/>
          </w:rPr>
          <w:t>Forecasting sovereign risk in the Euro area via machine learning</w:t>
        </w:r>
      </w:hyperlink>
      <w:r>
        <w:rPr/>
        <w:t xml:space="preserve">. </w:t>
      </w:r>
      <w:r>
        <w:rPr>
          <w:i/>
          <w:iCs/>
        </w:rPr>
        <w:t>Journal of Forecasting</w:t>
      </w:r>
      <w:r>
        <w:rPr/>
        <w:t>, 42(3), 657–684.</w:t>
      </w:r>
    </w:p>
    <w:p>
      <w:pPr>
        <w:pStyle w:val="Bibliography"/>
        <w:rPr/>
      </w:pPr>
      <w:r>
        <w:rPr/>
        <w:t xml:space="preserve">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r>
        <w:rPr/>
        <w:t xml:space="preserve">Bernoth, K., von Hagen, J., &amp; Schuknecht, L. (2012). Sovereign risk premiums in the European government bond market. </w:t>
      </w:r>
      <w:r>
        <w:rPr>
          <w:i/>
          <w:iCs/>
        </w:rPr>
        <w:t>Journal of International Money and Finance</w:t>
      </w:r>
      <w:r>
        <w:rPr/>
        <w:t>, 31(5), 975–995.</w:t>
      </w:r>
    </w:p>
    <w:p>
      <w:pPr>
        <w:pStyle w:val="Bibliography"/>
        <w:rPr/>
      </w:pPr>
      <w:r>
        <w:rPr/>
        <w:t xml:space="preserve">Bianchi, D., Büchner, M., &amp; Tamoni, A. (2021). </w:t>
      </w:r>
      <w:hyperlink r:id="rId15">
        <w:r>
          <w:rPr>
            <w:rStyle w:val="Hyperlink"/>
          </w:rPr>
          <w:t>Bond risk premiums with machine learning</w:t>
        </w:r>
      </w:hyperlink>
      <w:r>
        <w:rPr/>
        <w:t xml:space="preserve">. </w:t>
      </w:r>
      <w:r>
        <w:rPr>
          <w:i/>
          <w:iCs/>
        </w:rPr>
        <w:t>The Review of Financial Studies</w:t>
      </w:r>
      <w:r>
        <w:rPr/>
        <w:t>, 34(2), 1046–1089.</w:t>
      </w:r>
    </w:p>
    <w:p>
      <w:pPr>
        <w:pStyle w:val="Bibliography"/>
        <w:rPr/>
      </w:pPr>
      <w:r>
        <w:rPr/>
        <w:t xml:space="preserve">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r>
        <w:rPr/>
        <w:t xml:space="preserve">Bouillot, R., Candelon, B., &amp; Kool, C. (2025). </w:t>
      </w:r>
      <w:hyperlink r:id="rId16">
        <w:r>
          <w:rPr>
            <w:rStyle w:val="Hyperlink"/>
            <w:i/>
            <w:iCs/>
          </w:rPr>
          <w:t>Forecasting European sovereign spreads using machine learning</w:t>
        </w:r>
      </w:hyperlink>
      <w:r>
        <w:rPr/>
        <w:t>. LIDAM Discussion Paper LFIN 2025/04, UCLouvain.</w:t>
      </w:r>
    </w:p>
    <w:p>
      <w:pPr>
        <w:pStyle w:val="Bibliography"/>
        <w:rPr/>
      </w:pPr>
      <w:r>
        <w:rPr/>
        <w:t xml:space="preserve">Breiman, L. (2001). Random forests. </w:t>
      </w:r>
      <w:r>
        <w:rPr>
          <w:i/>
          <w:iCs/>
        </w:rPr>
        <w:t>Machine Learning</w:t>
      </w:r>
      <w:r>
        <w:rPr/>
        <w:t>, 45(1), 5–32.</w:t>
      </w:r>
    </w:p>
    <w:p>
      <w:pPr>
        <w:pStyle w:val="Bibliography"/>
        <w:rPr/>
      </w:pPr>
      <w:r>
        <w:rPr/>
        <w:t xml:space="preserve">Campbell, J. Y., &amp; Thompson, S. B. (2008). Predicting excess stock returns out of sample: Can anything beat the historical average? </w:t>
      </w:r>
      <w:r>
        <w:rPr>
          <w:i/>
          <w:iCs/>
        </w:rPr>
        <w:t>The Review of Financial Studies</w:t>
      </w:r>
      <w:r>
        <w:rPr/>
        <w:t>, 21(4), 1509–1531.</w:t>
      </w:r>
    </w:p>
    <w:p>
      <w:pPr>
        <w:pStyle w:val="Bibliography"/>
        <w:rPr/>
      </w:pPr>
      <w:r>
        <w:rPr/>
        <w:t xml:space="preserve">Chen, T., &amp; Guestrin, C. (2016). XGBoost: A scalable tree boosting system. </w:t>
      </w:r>
      <w:r>
        <w:rPr>
          <w:i/>
          <w:iCs/>
        </w:rPr>
        <w:t>Proceedings of the 22nd ACM SIGKDD International Conference on Knowledge Discovery and Data Mining</w:t>
      </w:r>
      <w:r>
        <w:rPr/>
        <w:t>, 785–794.</w:t>
      </w:r>
    </w:p>
    <w:p>
      <w:pPr>
        <w:pStyle w:val="Bibliography"/>
        <w:rPr/>
      </w:pPr>
      <w:r>
        <w:rPr/>
        <w:t xml:space="preserve">Croushore, D. (2011). Frontiers of real-time data analysis. </w:t>
      </w:r>
      <w:r>
        <w:rPr>
          <w:i/>
          <w:iCs/>
        </w:rPr>
        <w:t>Journal of Economic Literature</w:t>
      </w:r>
      <w:r>
        <w:rPr/>
        <w:t>, 49(1), 72–100.</w:t>
      </w:r>
    </w:p>
    <w:p>
      <w:pPr>
        <w:pStyle w:val="Bibliography"/>
        <w:rPr/>
      </w:pPr>
      <w:r>
        <w:rPr/>
        <w:t xml:space="preserve">Dickey, D. A., &amp; Fuller, W. A. (1979). Distribution of the estimators for autoregressive time series with a unit root. </w:t>
      </w:r>
      <w:r>
        <w:rPr>
          <w:i/>
          <w:iCs/>
        </w:rPr>
        <w:t>Journal of the American Statistical Association</w:t>
      </w:r>
      <w:r>
        <w:rPr/>
        <w:t>, 74(366), 427–431.</w:t>
      </w:r>
    </w:p>
    <w:p>
      <w:pPr>
        <w:pStyle w:val="Bibliography"/>
        <w:rPr/>
      </w:pPr>
      <w:r>
        <w:rPr/>
        <w:t xml:space="preserve">Diebold, F. X., &amp; Mariano, R. S. (1995). Comparing predictive accuracy. </w:t>
      </w:r>
      <w:r>
        <w:rPr>
          <w:i/>
          <w:iCs/>
        </w:rPr>
        <w:t>Journal of Business &amp; Economic Statistics</w:t>
      </w:r>
      <w:r>
        <w:rPr/>
        <w:t>, 13(3), 253–263.</w:t>
      </w:r>
    </w:p>
    <w:p>
      <w:pPr>
        <w:pStyle w:val="Bibliography"/>
        <w:rPr/>
      </w:pPr>
      <w:r>
        <w:rPr/>
        <w:t xml:space="preserve">Engle, R. F. (1982). Autoregressive conditional heteroscedasticity with estimates of the variance of United Kingdom inflation. </w:t>
      </w:r>
      <w:r>
        <w:rPr>
          <w:i/>
          <w:iCs/>
        </w:rPr>
        <w:t>Econometrica</w:t>
      </w:r>
      <w:r>
        <w:rPr/>
        <w:t>, 50(4), 987–1007.</w:t>
      </w:r>
    </w:p>
    <w:p>
      <w:pPr>
        <w:pStyle w:val="Bibliography"/>
        <w:rPr/>
      </w:pPr>
      <w:r>
        <w:rPr/>
        <w:t xml:space="preserve">Fama, E. F. (1970). Efficient capital markets: A review of theory and empirical work. </w:t>
      </w:r>
      <w:r>
        <w:rPr>
          <w:i/>
          <w:iCs/>
        </w:rPr>
        <w:t>The Journal of Finance</w:t>
      </w:r>
      <w:r>
        <w:rPr/>
        <w:t>, 25(2), 383–417.</w:t>
      </w:r>
    </w:p>
    <w:p>
      <w:pPr>
        <w:pStyle w:val="Bibliography"/>
        <w:rPr/>
      </w:pPr>
      <w:r>
        <w:rPr/>
        <w:t xml:space="preserve">Favero, C. A. (2013). </w:t>
      </w:r>
      <w:hyperlink r:id="rId17">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r>
        <w:rPr/>
        <w:t xml:space="preserve">Fischer, T., &amp; Krauss, C. (2018). Deep learning with long short-term memory networks for financial market predictions. </w:t>
      </w:r>
      <w:r>
        <w:rPr>
          <w:i/>
          <w:iCs/>
        </w:rPr>
        <w:t>European Journal of Operational Research</w:t>
      </w:r>
      <w:r>
        <w:rPr/>
        <w:t>, 270(2), 654–669.</w:t>
      </w:r>
    </w:p>
    <w:p>
      <w:pPr>
        <w:pStyle w:val="Bibliography"/>
        <w:rPr/>
      </w:pPr>
      <w:r>
        <w:rPr/>
        <w:t xml:space="preserve">Garlanda-Longueville, L. (2023). </w:t>
      </w:r>
      <w:hyperlink r:id="rId18">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r>
        <w:rPr/>
        <w:t xml:space="preserve">Giannone, D., Reichlin, L., &amp; Small, D. (2008). Nowcasting: The real-time informational content of macroeconomic data. </w:t>
      </w:r>
      <w:r>
        <w:rPr>
          <w:i/>
          <w:iCs/>
        </w:rPr>
        <w:t>Journal of Monetary Economics</w:t>
      </w:r>
      <w:r>
        <w:rPr/>
        <w:t>, 55(4), 665–676.</w:t>
      </w:r>
    </w:p>
    <w:p>
      <w:pPr>
        <w:pStyle w:val="Bibliography"/>
        <w:rPr/>
      </w:pPr>
      <w:r>
        <w:rPr/>
        <w:t xml:space="preserve">Goulet Coulombe, P., Leroux, M., Stevanovic, D., &amp; Surprenant, S. (2022). How is machine learning useful for macroeconomic forecasting? </w:t>
      </w:r>
      <w:r>
        <w:rPr>
          <w:i/>
          <w:iCs/>
        </w:rPr>
        <w:t>Journal of Applied Econometrics</w:t>
      </w:r>
      <w:r>
        <w:rPr/>
        <w:t>, 37(5), 920–964.</w:t>
      </w:r>
    </w:p>
    <w:p>
      <w:pPr>
        <w:pStyle w:val="Bibliography"/>
        <w:rPr/>
      </w:pPr>
      <w:r>
        <w:rPr/>
        <w:t xml:space="preserve">Gu, S., Kelly, B., &amp; Xiu, D. (2020). Empirical asset pricing via machine learning. </w:t>
      </w:r>
      <w:r>
        <w:rPr>
          <w:i/>
          <w:iCs/>
        </w:rPr>
        <w:t>The Review of Financial Studies</w:t>
      </w:r>
      <w:r>
        <w:rPr/>
        <w:t>, 33(5), 2223–2273.</w:t>
      </w:r>
    </w:p>
    <w:p>
      <w:pPr>
        <w:pStyle w:val="Bibliography"/>
        <w:rPr/>
      </w:pPr>
      <w:r>
        <w:rPr/>
        <w:t xml:space="preserve">Harvey, D., Leybourne, S., &amp; Newbold, P. (1997). Testing the equality of prediction mean squared errors. </w:t>
      </w:r>
      <w:r>
        <w:rPr>
          <w:i/>
          <w:iCs/>
        </w:rPr>
        <w:t>International Journal of Forecasting</w:t>
      </w:r>
      <w:r>
        <w:rPr/>
        <w:t>, 13(2), 281–291.</w:t>
      </w:r>
    </w:p>
    <w:p>
      <w:pPr>
        <w:pStyle w:val="Bibliography"/>
        <w:rPr/>
      </w:pPr>
      <w:r>
        <w:rPr/>
        <w:t xml:space="preserve">Janssen, M., Charalabidis, Y., &amp; Zuiderwijk, A. (2012). Benefits, adoption barriers and myths of open data and open government. </w:t>
      </w:r>
      <w:r>
        <w:rPr>
          <w:i/>
          <w:iCs/>
        </w:rPr>
        <w:t>Information Systems Management</w:t>
      </w:r>
      <w:r>
        <w:rPr/>
        <w:t>, 29(4), 258–268.</w:t>
      </w:r>
    </w:p>
    <w:p>
      <w:pPr>
        <w:pStyle w:val="Bibliography"/>
        <w:rPr/>
      </w:pPr>
      <w:r>
        <w:rPr/>
        <w:t xml:space="preserve">Laubach, T. (2009). New evidence on the interest rate effects of budget deficits and debt. </w:t>
      </w:r>
      <w:r>
        <w:rPr>
          <w:i/>
          <w:iCs/>
        </w:rPr>
        <w:t>Journal of the European Economic Association</w:t>
      </w:r>
      <w:r>
        <w:rPr/>
        <w:t>, 7(4), 858–885.</w:t>
      </w:r>
    </w:p>
    <w:p>
      <w:pPr>
        <w:pStyle w:val="Bibliography"/>
        <w:rPr/>
      </w:pPr>
      <w:r>
        <w:rPr/>
        <w:t xml:space="preserve">Lundberg, S. M., &amp; Lee, S.-I. (2017). A unified approach to interpreting model predictions. </w:t>
      </w:r>
      <w:r>
        <w:rPr>
          <w:i/>
          <w:iCs/>
        </w:rPr>
        <w:t>Advances in Neural Information Processing Systems</w:t>
      </w:r>
      <w:r>
        <w:rPr/>
        <w:t>, 30.</w:t>
      </w:r>
    </w:p>
    <w:p>
      <w:pPr>
        <w:pStyle w:val="Bibliography"/>
        <w:rPr/>
      </w:pPr>
      <w:r>
        <w:rPr/>
        <w:t xml:space="preserve">McCracken, M. W., &amp; Ng, S. (2016). FRED-MD: A monthly database for macroeconomic research. </w:t>
      </w:r>
      <w:r>
        <w:rPr>
          <w:i/>
          <w:iCs/>
        </w:rPr>
        <w:t>Journal of Business &amp; Economic Statistics</w:t>
      </w:r>
      <w:r>
        <w:rPr/>
        <w:t>, 34(4), 574–589.</w:t>
      </w:r>
    </w:p>
    <w:p>
      <w:pPr>
        <w:pStyle w:val="Bibliography"/>
        <w:rPr/>
      </w:pPr>
      <w:r>
        <w:rPr/>
        <w:t xml:space="preserve">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r>
        <w:rPr/>
        <w:t xml:space="preserve">Ramey, V. A. (2011). Identifying government spending shocks: It’s all in the timing. </w:t>
      </w:r>
      <w:r>
        <w:rPr>
          <w:i/>
          <w:iCs/>
        </w:rPr>
        <w:t>The Quarterly Journal of Economics</w:t>
      </w:r>
      <w:r>
        <w:rPr/>
        <w:t>, 126(1), 1–50.</w:t>
      </w:r>
    </w:p>
    <w:p>
      <w:pPr>
        <w:pStyle w:val="Bibliography"/>
        <w:rPr/>
      </w:pPr>
      <w:r>
        <w:rPr/>
        <w:t xml:space="preserve">Welch, I., &amp; Goyal, A. (2008). A comprehensive look at the empirical performance of equity premium prediction. </w:t>
      </w:r>
      <w:r>
        <w:rPr>
          <w:i/>
          <w:iCs/>
        </w:rPr>
        <w:t>The Review of Financial Studies</w:t>
      </w:r>
      <w:r>
        <w:rPr/>
        <w:t>, 21(4), 1455–1508.</w:t>
      </w:r>
    </w:p>
    <w:p>
      <w:pPr>
        <w:pStyle w:val="Bibliography"/>
        <w:rPr/>
      </w:pPr>
      <w:r>
        <w:rPr/>
        <w:t xml:space="preserve">Working, H. (1960). Note on the correlation of first differences of averages in a random chain. </w:t>
      </w:r>
      <w:r>
        <w:rPr>
          <w:i/>
          <w:iCs/>
        </w:rPr>
        <w:t>Econometrica</w:t>
      </w:r>
      <w:r>
        <w:rPr/>
        <w:t>, 28(4), 916–918.</w:t>
      </w:r>
    </w:p>
    <w:p>
      <w:pPr>
        <w:pStyle w:val="Heading2"/>
        <w:rPr/>
      </w:pPr>
      <w:bookmarkStart w:id="270" w:name="__RefHeading___Toc19719_1878758519"/>
      <w:bookmarkStart w:id="271" w:name="sources-en-ligne"/>
      <w:bookmarkEnd w:id="270"/>
      <w:bookmarkEnd w:id="271"/>
      <w:r>
        <w:rPr/>
        <w:t>Sources en ligne</w:t>
      </w:r>
    </w:p>
    <w:p>
      <w:pPr>
        <w:pStyle w:val="Bibliography"/>
        <w:rPr/>
      </w:pPr>
      <w:r>
        <w:rPr/>
        <w:t xml:space="preserve">Ministère de l’Économie. </w:t>
      </w:r>
      <w:hyperlink r:id="rId19">
        <w:r>
          <w:rPr>
            <w:rStyle w:val="Hyperlink"/>
          </w:rPr>
          <w:t>Situations mensuelles budgétaires de l’État, séries longues depuis 2013</w:t>
        </w:r>
      </w:hyperlink>
      <w:r>
        <w:rPr/>
        <w:t>. data.economie.gouv.fr.</w:t>
      </w:r>
    </w:p>
    <w:p>
      <w:pPr>
        <w:pStyle w:val="Bibliography"/>
        <w:rPr/>
      </w:pPr>
      <w:r>
        <w:rPr/>
        <w:t xml:space="preserve">DGFiP. </w:t>
      </w:r>
      <w:hyperlink r:id="rId20">
        <w:r>
          <w:rPr>
            <w:rStyle w:val="Hyperlink"/>
          </w:rPr>
          <w:t>La situation mensuelle de l’État</w:t>
        </w:r>
      </w:hyperlink>
      <w:r>
        <w:rPr/>
        <w:t>. economie.gouv.fr.</w:t>
      </w:r>
    </w:p>
    <w:p>
      <w:pPr>
        <w:pStyle w:val="Bibliography"/>
        <w:rPr/>
      </w:pPr>
      <w:hyperlink r:id="rId21">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22">
        <w:r>
          <w:rPr>
            <w:rStyle w:val="Hyperlink"/>
          </w:rPr>
          <w:t>FRED</w:t>
        </w:r>
      </w:hyperlink>
      <w:r>
        <w:rPr/>
        <w:t>, Federal Reserve Bank of St. Louis (taux OAT et Bund, séries OCDE, VIX).</w:t>
      </w:r>
    </w:p>
    <w:p>
      <w:pPr>
        <w:pStyle w:val="Bibliography"/>
        <w:rPr/>
      </w:pPr>
      <w:hyperlink r:id="rId23">
        <w:r>
          <w:rPr>
            <w:rStyle w:val="Hyperlink"/>
          </w:rPr>
          <w:t>Portail de données de la BCE</w:t>
        </w:r>
      </w:hyperlink>
      <w:r>
        <w:rPr/>
        <w:t xml:space="preserve"> (taux directeurs).</w:t>
      </w:r>
    </w:p>
    <w:p>
      <w:pPr>
        <w:pStyle w:val="Bibliography"/>
        <w:rPr/>
      </w:pPr>
      <w:hyperlink r:id="rId24">
        <w:r>
          <w:rPr>
            <w:rStyle w:val="Hyperlink"/>
          </w:rPr>
          <w:t>Eurostat</w:t>
        </w:r>
      </w:hyperlink>
      <w:r>
        <w:rPr/>
        <w:t xml:space="preserve"> (IPCH, finances publiques trimestrielles).</w:t>
      </w:r>
    </w:p>
    <w:p>
      <w:pPr>
        <w:pStyle w:val="Bibliography"/>
        <w:rPr/>
      </w:pPr>
      <w:hyperlink r:id="rId25">
        <w:r>
          <w:rPr>
            <w:rStyle w:val="Hyperlink"/>
          </w:rPr>
          <w:t>Yahoo Finance</w:t>
        </w:r>
      </w:hyperlink>
      <w:r>
        <w:rPr/>
        <w:t xml:space="preserve"> (CAC 40 et actions sectorielles).</w:t>
      </w:r>
    </w:p>
    <w:p>
      <w:pPr>
        <w:pStyle w:val="Bibliography"/>
        <w:rPr/>
      </w:pPr>
      <w:hyperlink r:id="rId26">
        <w:r>
          <w:rPr>
            <w:rStyle w:val="Hyperlink"/>
          </w:rPr>
          <w:t>Economic Policy Uncertainty</w:t>
        </w:r>
      </w:hyperlink>
      <w:r>
        <w:rPr/>
        <w:t xml:space="preserve"> (indice européen d’incertitude).</w:t>
      </w:r>
    </w:p>
    <w:p>
      <w:pPr>
        <w:pStyle w:val="Normal"/>
        <w:rPr/>
      </w:pPr>
      <w:r>
        <w:rPr/>
      </w:r>
      <w:bookmarkStart w:id="272" w:name="références"/>
      <w:bookmarkStart w:id="273" w:name="sources-en-ligne"/>
      <w:bookmarkStart w:id="274" w:name="références"/>
      <w:bookmarkStart w:id="275" w:name="sources-en-ligne"/>
      <w:bookmarkEnd w:id="274"/>
      <w:bookmarkEnd w:id="275"/>
      <w:r>
        <w:br w:type="page"/>
      </w:r>
    </w:p>
    <w:p>
      <w:pPr>
        <w:pStyle w:val="Heading1"/>
        <w:spacing w:before="0" w:after="240"/>
        <w:rPr/>
      </w:pPr>
      <w:bookmarkStart w:id="276" w:name="__RefHeading___Toc19721_1878758519"/>
      <w:bookmarkStart w:id="277" w:name="annexes"/>
      <w:bookmarkEnd w:id="276"/>
      <w:r>
        <w:rPr/>
        <w:t>Annexes</w:t>
      </w:r>
    </w:p>
    <w:p>
      <w:pPr>
        <w:pStyle w:val="Heading2"/>
        <w:rPr/>
      </w:pPr>
      <w:bookmarkStart w:id="278" w:name="__RefHeading___Toc19723_1878758519"/>
      <w:bookmarkStart w:id="279" w:name="X3ca383dbffb9d55a756372c83cc12a5ba689804"/>
      <w:bookmarkEnd w:id="278"/>
      <w:r>
        <w:rPr/>
        <w:t>Annexe A – Variables des modèles principaux</w:t>
      </w:r>
    </w:p>
    <w:p>
      <w:pPr>
        <w:pStyle w:val="CaptionTable"/>
        <w:keepNext w:val="true"/>
        <w:spacing w:lineRule="auto" w:line="240" w:before="120" w:after="80"/>
        <w:jc w:val="left"/>
        <w:rPr/>
      </w:pPr>
      <w:bookmarkStart w:id="280" w:name="__RefHeading___Toc19745_1878758519"/>
      <w:bookmarkEnd w:id="280"/>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79"/>
    </w:p>
    <w:p>
      <w:pPr>
        <w:pStyle w:val="Heading2"/>
        <w:rPr/>
      </w:pPr>
      <w:bookmarkStart w:id="281" w:name="__RefHeading___Toc19725_1878758519"/>
      <w:bookmarkStart w:id="282" w:name="annexe-b-détail-des-extensions-e1-à-e20"/>
      <w:bookmarkEnd w:id="281"/>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83" w:name="__RefHeading___Toc19743_1878758519"/>
      <w:bookmarkEnd w:id="283"/>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82"/>
    </w:p>
    <w:p>
      <w:pPr>
        <w:pStyle w:val="Heading2"/>
        <w:rPr/>
      </w:pPr>
      <w:bookmarkStart w:id="284" w:name="__RefHeading___Toc19727_1878758519"/>
      <w:bookmarkStart w:id="285" w:name="Xb3e285cc14b2fbc3f04dfc3a545449b954bfbe1"/>
      <w:bookmarkEnd w:id="284"/>
      <w:r>
        <w:rPr/>
        <w:t>Annexe C – Sensibilité à la graine aléatoire</w:t>
      </w:r>
    </w:p>
    <w:p>
      <w:pPr>
        <w:pStyle w:val="CaptionTable"/>
        <w:keepNext w:val="true"/>
        <w:spacing w:lineRule="auto" w:line="240" w:before="120" w:after="80"/>
        <w:jc w:val="left"/>
        <w:rPr/>
      </w:pPr>
      <w:bookmarkStart w:id="286" w:name="__RefHeading___Toc19741_1878758519"/>
      <w:bookmarkEnd w:id="286"/>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85"/>
    </w:p>
    <w:p>
      <w:pPr>
        <w:pStyle w:val="Heading2"/>
        <w:rPr/>
      </w:pPr>
      <w:bookmarkStart w:id="287" w:name="__RefHeading___Toc19729_1878758519"/>
      <w:bookmarkStart w:id="288" w:name="Xd68da8618e318907bf0faf326720b285d49eebd"/>
      <w:bookmarkEnd w:id="287"/>
      <w:r>
        <w:rPr/>
        <w:t>Annexe D – Contrôle négatif : dépenses contre variables de bruit</w:t>
      </w:r>
    </w:p>
    <w:p>
      <w:pPr>
        <w:pStyle w:val="CaptionTable"/>
        <w:keepNext w:val="true"/>
        <w:spacing w:lineRule="auto" w:line="240" w:before="120" w:after="80"/>
        <w:jc w:val="left"/>
        <w:rPr/>
      </w:pPr>
      <w:bookmarkStart w:id="289" w:name="__RefHeading___Toc19739_1878758519"/>
      <w:bookmarkEnd w:id="289"/>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288"/>
    </w:p>
    <w:p>
      <w:pPr>
        <w:pStyle w:val="Heading2"/>
        <w:rPr/>
      </w:pPr>
      <w:bookmarkStart w:id="290" w:name="__RefHeading___Toc19731_1878758519"/>
      <w:bookmarkStart w:id="291" w:name="Xe4aa703dc8ae53bd5a3baef5b8de368c6e05d88"/>
      <w:bookmarkEnd w:id="290"/>
      <w:r>
        <w:rPr/>
        <w:t>Annexe E – Robustesse au décalage de publication</w:t>
      </w:r>
    </w:p>
    <w:p>
      <w:pPr>
        <w:pStyle w:val="CaptionTable"/>
        <w:keepNext w:val="true"/>
        <w:spacing w:lineRule="auto" w:line="240" w:before="120" w:after="80"/>
        <w:jc w:val="left"/>
        <w:rPr/>
      </w:pPr>
      <w:bookmarkStart w:id="292" w:name="__RefHeading___Toc19737_1878758519"/>
      <w:bookmarkEnd w:id="292"/>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291"/>
    </w:p>
    <w:p>
      <w:pPr>
        <w:pStyle w:val="Heading2"/>
        <w:rPr/>
      </w:pPr>
      <w:bookmarkStart w:id="293" w:name="__RefHeading___Toc19733_1878758519"/>
      <w:bookmarkStart w:id="294" w:name="annexe-f-code-et-reproductibilité"/>
      <w:bookmarkEnd w:id="293"/>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77"/>
      <w:bookmarkEnd w:id="294"/>
    </w:p>
    <w:sectPr>
      <w:footerReference w:type="even" r:id="rId27"/>
      <w:footerReference w:type="default" r:id="rId28"/>
      <w:footerReference w:type="first" r:id="rId2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2"/>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link.springer.com/article/10.1007/s10614-025-11106-9" TargetMode="External"/><Relationship Id="rId14" Type="http://schemas.openxmlformats.org/officeDocument/2006/relationships/hyperlink" Target="https://ideas.repec.org/a/wly/jforec/v42y2023i3p657-684.html" TargetMode="External"/><Relationship Id="rId15" Type="http://schemas.openxmlformats.org/officeDocument/2006/relationships/hyperlink" Target="https://academic.oup.com/rfs/article-abstract/34/2/1046/5843806" TargetMode="External"/><Relationship Id="rId16" Type="http://schemas.openxmlformats.org/officeDocument/2006/relationships/hyperlink" Target="https://research.dial.uclouvain.be/server/api/core/bitstreams/f99c9d92-b208-429f-84ec-256595aa55a5/content" TargetMode="External"/><Relationship Id="rId17" Type="http://schemas.openxmlformats.org/officeDocument/2006/relationships/hyperlink" Target="https://www.sciencedirect.com/science/article/abs/pii/S030440761300081X" TargetMode="External"/><Relationship Id="rId18" Type="http://schemas.openxmlformats.org/officeDocument/2006/relationships/hyperlink" Target="https://theses.fr/2023PA100145" TargetMode="External"/><Relationship Id="rId19" Type="http://schemas.openxmlformats.org/officeDocument/2006/relationships/hyperlink" Target="https://data.economie.gouv.fr/explore/assets/situations-mensuelles-budgetaires-series-longues/" TargetMode="External"/><Relationship Id="rId20" Type="http://schemas.openxmlformats.org/officeDocument/2006/relationships/hyperlink" Target="https://www.economie.gouv.fr/dgfip/la-situation-mensuelle-de-letat" TargetMode="External"/><Relationship Id="rId21" Type="http://schemas.openxmlformats.org/officeDocument/2006/relationships/hyperlink" Target="https://github.com/lyaminedb1/public-spending-market-prediction" TargetMode="External"/><Relationship Id="rId22" Type="http://schemas.openxmlformats.org/officeDocument/2006/relationships/hyperlink" Target="https://fred.stlouisfed.org/" TargetMode="External"/><Relationship Id="rId23" Type="http://schemas.openxmlformats.org/officeDocument/2006/relationships/hyperlink" Target="https://data.ecb.europa.eu/" TargetMode="External"/><Relationship Id="rId24" Type="http://schemas.openxmlformats.org/officeDocument/2006/relationships/hyperlink" Target="https://ec.europa.eu/eurostat" TargetMode="External"/><Relationship Id="rId25" Type="http://schemas.openxmlformats.org/officeDocument/2006/relationships/hyperlink" Target="https://finance.yahoo.com/" TargetMode="External"/><Relationship Id="rId26" Type="http://schemas.openxmlformats.org/officeDocument/2006/relationships/hyperlink" Target="https://www.policyuncertainty.com/"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88</Pages>
  <Words>22087</Words>
  <Characters>109322</Characters>
  <CharactersWithSpaces>128211</CharactersWithSpaces>
  <Paragraphs>3170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2026-09-30T18:18:05Z</dcterms:created>
  <dc:creator>Abdellah Elyamine DALI BRAHAM</dc:creator>
  <dc:description/>
  <dc:language>en-US</dc:language>
  <cp:lastModifiedBy/>
  <dcterms:modified xsi:type="dcterms:W3CDTF">2026-09-30T20:18:09Z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