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86_730630497"/>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88_730630497"/>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990_730630497"/>
      <w:bookmarkStart w:id="9" w:name="résumé"/>
      <w:bookmarkEnd w:id="8"/>
      <w:bookmarkEnd w:id="9"/>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992_730630497"/>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86_730630497">
            <w:r>
              <w:rPr>
                <w:webHidden/>
                <w:rStyle w:val="IndexLink"/>
              </w:rPr>
              <w:t>Remerciements</w:t>
              <w:tab/>
              <w:t>2</w:t>
            </w:r>
          </w:hyperlink>
        </w:p>
        <w:p>
          <w:pPr>
            <w:pStyle w:val="TOC1"/>
            <w:tabs>
              <w:tab w:val="clear" w:pos="9026"/>
              <w:tab w:val="right" w:pos="9025" w:leader="dot"/>
            </w:tabs>
            <w:rPr/>
          </w:pPr>
          <w:hyperlink w:anchor="__RefHeading___Toc19988_730630497">
            <w:r>
              <w:rPr>
                <w:webHidden/>
                <w:rStyle w:val="IndexLink"/>
              </w:rPr>
              <w:t>Déclaration d’utilisation de l’intelligence artificielle</w:t>
              <w:tab/>
              <w:t>3</w:t>
            </w:r>
          </w:hyperlink>
        </w:p>
        <w:p>
          <w:pPr>
            <w:pStyle w:val="TOC1"/>
            <w:tabs>
              <w:tab w:val="clear" w:pos="9026"/>
              <w:tab w:val="right" w:pos="9025" w:leader="dot"/>
            </w:tabs>
            <w:rPr/>
          </w:pPr>
          <w:hyperlink w:anchor="__RefHeading___Toc19990_730630497">
            <w:r>
              <w:rPr>
                <w:webHidden/>
                <w:rStyle w:val="IndexLink"/>
              </w:rPr>
              <w:t>Résumé</w:t>
              <w:tab/>
              <w:t>4</w:t>
            </w:r>
          </w:hyperlink>
        </w:p>
        <w:p>
          <w:pPr>
            <w:pStyle w:val="TOC1"/>
            <w:tabs>
              <w:tab w:val="clear" w:pos="9026"/>
              <w:tab w:val="right" w:pos="9025" w:leader="dot"/>
            </w:tabs>
            <w:rPr/>
          </w:pPr>
          <w:hyperlink w:anchor="__RefHeading___Toc19992_730630497">
            <w:r>
              <w:rPr>
                <w:webHidden/>
                <w:rStyle w:val="IndexLink"/>
              </w:rPr>
              <w:t>Sommaire</w:t>
              <w:tab/>
              <w:t>5</w:t>
            </w:r>
          </w:hyperlink>
        </w:p>
        <w:p>
          <w:pPr>
            <w:pStyle w:val="TOC1"/>
            <w:tabs>
              <w:tab w:val="clear" w:pos="9026"/>
              <w:tab w:val="right" w:pos="9025" w:leader="dot"/>
            </w:tabs>
            <w:rPr/>
          </w:pPr>
          <w:hyperlink w:anchor="__RefHeading___Toc19994_730630497">
            <w:r>
              <w:rPr>
                <w:webHidden/>
                <w:rStyle w:val="IndexLink"/>
              </w:rPr>
              <w:t>Liste des tableaux</w:t>
              <w:tab/>
              <w:t>9</w:t>
            </w:r>
          </w:hyperlink>
        </w:p>
        <w:p>
          <w:pPr>
            <w:pStyle w:val="TOC1"/>
            <w:tabs>
              <w:tab w:val="clear" w:pos="9026"/>
              <w:tab w:val="right" w:pos="9025" w:leader="dot"/>
            </w:tabs>
            <w:rPr/>
          </w:pPr>
          <w:hyperlink w:anchor="__RefHeading___Toc19996_730630497">
            <w:r>
              <w:rPr>
                <w:webHidden/>
                <w:rStyle w:val="IndexLink"/>
              </w:rPr>
              <w:t>Liste des figures</w:t>
              <w:tab/>
              <w:t>10</w:t>
            </w:r>
          </w:hyperlink>
        </w:p>
        <w:p>
          <w:pPr>
            <w:pStyle w:val="TOC1"/>
            <w:tabs>
              <w:tab w:val="clear" w:pos="9026"/>
              <w:tab w:val="right" w:pos="9025" w:leader="dot"/>
            </w:tabs>
            <w:rPr/>
          </w:pPr>
          <w:hyperlink w:anchor="__RefHeading___Toc19998_730630497">
            <w:r>
              <w:rPr>
                <w:webHidden/>
                <w:rStyle w:val="IndexLink"/>
              </w:rPr>
              <w:t>Liste des abréviations</w:t>
              <w:tab/>
              <w:t>11</w:t>
            </w:r>
          </w:hyperlink>
        </w:p>
        <w:p>
          <w:pPr>
            <w:pStyle w:val="TOC1"/>
            <w:tabs>
              <w:tab w:val="clear" w:pos="9026"/>
              <w:tab w:val="right" w:pos="9025" w:leader="dot"/>
            </w:tabs>
            <w:rPr/>
          </w:pPr>
          <w:hyperlink w:anchor="__RefHeading___Toc20000_730630497">
            <w:r>
              <w:rPr>
                <w:webHidden/>
                <w:rStyle w:val="IndexLink"/>
              </w:rPr>
              <w:t>Glossaire</w:t>
              <w:tab/>
              <w:t>11</w:t>
            </w:r>
          </w:hyperlink>
        </w:p>
        <w:p>
          <w:pPr>
            <w:pStyle w:val="TOC1"/>
            <w:tabs>
              <w:tab w:val="clear" w:pos="9026"/>
              <w:tab w:val="right" w:pos="9025" w:leader="dot"/>
            </w:tabs>
            <w:rPr/>
          </w:pPr>
          <w:hyperlink w:anchor="__RefHeading___Toc20002_730630497">
            <w:r>
              <w:rPr>
                <w:webHidden/>
                <w:rStyle w:val="IndexLink"/>
              </w:rPr>
              <w:t>Introduction générale</w:t>
              <w:tab/>
              <w:t>13</w:t>
            </w:r>
          </w:hyperlink>
        </w:p>
        <w:p>
          <w:pPr>
            <w:pStyle w:val="TOC2"/>
            <w:tabs>
              <w:tab w:val="clear" w:pos="8743"/>
              <w:tab w:val="right" w:pos="9025" w:leader="dot"/>
            </w:tabs>
            <w:rPr/>
          </w:pPr>
          <w:hyperlink w:anchor="__RefHeading___Toc20004_730630497">
            <w:r>
              <w:rPr>
                <w:webHidden/>
                <w:rStyle w:val="IndexLink"/>
              </w:rPr>
              <w:t>Contexte</w:t>
              <w:tab/>
              <w:t>13</w:t>
            </w:r>
          </w:hyperlink>
        </w:p>
        <w:p>
          <w:pPr>
            <w:pStyle w:val="TOC2"/>
            <w:tabs>
              <w:tab w:val="clear" w:pos="8743"/>
              <w:tab w:val="right" w:pos="9025" w:leader="dot"/>
            </w:tabs>
            <w:rPr/>
          </w:pPr>
          <w:hyperlink w:anchor="__RefHeading___Toc20006_730630497">
            <w:r>
              <w:rPr>
                <w:webHidden/>
                <w:rStyle w:val="IndexLink"/>
              </w:rPr>
              <w:t>Problématique</w:t>
              <w:tab/>
              <w:t>13</w:t>
            </w:r>
          </w:hyperlink>
        </w:p>
        <w:p>
          <w:pPr>
            <w:pStyle w:val="TOC2"/>
            <w:tabs>
              <w:tab w:val="clear" w:pos="8743"/>
              <w:tab w:val="right" w:pos="9025" w:leader="dot"/>
            </w:tabs>
            <w:rPr/>
          </w:pPr>
          <w:hyperlink w:anchor="__RefHeading___Toc20008_730630497">
            <w:r>
              <w:rPr>
                <w:webHidden/>
                <w:rStyle w:val="IndexLink"/>
              </w:rPr>
              <w:t>Objectif et démarche</w:t>
              <w:tab/>
              <w:t>14</w:t>
            </w:r>
          </w:hyperlink>
        </w:p>
        <w:p>
          <w:pPr>
            <w:pStyle w:val="TOC2"/>
            <w:tabs>
              <w:tab w:val="clear" w:pos="8743"/>
              <w:tab w:val="right" w:pos="9025" w:leader="dot"/>
            </w:tabs>
            <w:rPr/>
          </w:pPr>
          <w:hyperlink w:anchor="__RefHeading___Toc20010_730630497">
            <w:r>
              <w:rPr>
                <w:webHidden/>
                <w:rStyle w:val="IndexLink"/>
              </w:rPr>
              <w:t>Apports</w:t>
              <w:tab/>
              <w:t>14</w:t>
            </w:r>
          </w:hyperlink>
        </w:p>
        <w:p>
          <w:pPr>
            <w:pStyle w:val="TOC2"/>
            <w:tabs>
              <w:tab w:val="clear" w:pos="8743"/>
              <w:tab w:val="right" w:pos="9025" w:leader="dot"/>
            </w:tabs>
            <w:rPr/>
          </w:pPr>
          <w:hyperlink w:anchor="__RefHeading___Toc20012_730630497">
            <w:r>
              <w:rPr>
                <w:webHidden/>
                <w:rStyle w:val="IndexLink"/>
              </w:rPr>
              <w:t>Plan du mémoire</w:t>
              <w:tab/>
              <w:t>15</w:t>
            </w:r>
          </w:hyperlink>
        </w:p>
        <w:p>
          <w:pPr>
            <w:pStyle w:val="TOC1"/>
            <w:tabs>
              <w:tab w:val="clear" w:pos="9026"/>
              <w:tab w:val="right" w:pos="9025" w:leader="dot"/>
            </w:tabs>
            <w:rPr/>
          </w:pPr>
          <w:hyperlink w:anchor="__RefHeading___Toc20014_730630497">
            <w:r>
              <w:rPr>
                <w:webHidden/>
                <w:rStyle w:val="IndexLink"/>
              </w:rPr>
              <w:t>Chapitre 1 : État de l’art</w:t>
              <w:tab/>
              <w:t>16</w:t>
            </w:r>
          </w:hyperlink>
        </w:p>
        <w:p>
          <w:pPr>
            <w:pStyle w:val="TOC2"/>
            <w:tabs>
              <w:tab w:val="clear" w:pos="8743"/>
              <w:tab w:val="right" w:pos="9025" w:leader="dot"/>
            </w:tabs>
            <w:rPr/>
          </w:pPr>
          <w:hyperlink w:anchor="__RefHeading___Toc20016_730630497">
            <w:r>
              <w:rPr>
                <w:webHidden/>
                <w:rStyle w:val="IndexLink"/>
              </w:rPr>
              <w:t>Introduction du chapitre</w:t>
              <w:tab/>
              <w:t>16</w:t>
            </w:r>
          </w:hyperlink>
        </w:p>
        <w:p>
          <w:pPr>
            <w:pStyle w:val="TOC2"/>
            <w:tabs>
              <w:tab w:val="clear" w:pos="8743"/>
              <w:tab w:val="right" w:pos="9025" w:leader="dot"/>
            </w:tabs>
            <w:rPr/>
          </w:pPr>
          <w:hyperlink w:anchor="__RefHeading___Toc20018_730630497">
            <w:r>
              <w:rPr>
                <w:webHidden/>
                <w:rStyle w:val="IndexLink"/>
              </w:rPr>
              <w:t>1.1 Cadre théorique : ce que l’on peut attendre</w:t>
              <w:tab/>
              <w:t>17</w:t>
            </w:r>
          </w:hyperlink>
        </w:p>
        <w:p>
          <w:pPr>
            <w:pStyle w:val="TOC2"/>
            <w:tabs>
              <w:tab w:val="clear" w:pos="8743"/>
              <w:tab w:val="right" w:pos="9025" w:leader="dot"/>
            </w:tabs>
            <w:rPr/>
          </w:pPr>
          <w:hyperlink w:anchor="__RefHeading___Toc20020_730630497">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022_730630497">
            <w:r>
              <w:rPr>
                <w:webHidden/>
                <w:rStyle w:val="IndexLink"/>
              </w:rPr>
              <w:t>1.3 Machine learning et prévision des spreads</w:t>
              <w:tab/>
              <w:t>21</w:t>
            </w:r>
          </w:hyperlink>
        </w:p>
        <w:p>
          <w:pPr>
            <w:pStyle w:val="TOC2"/>
            <w:tabs>
              <w:tab w:val="clear" w:pos="8743"/>
              <w:tab w:val="right" w:pos="9025" w:leader="dot"/>
            </w:tabs>
            <w:rPr/>
          </w:pPr>
          <w:hyperlink w:anchor="__RefHeading___Toc20024_730630497">
            <w:r>
              <w:rPr>
                <w:webHidden/>
                <w:rStyle w:val="IndexLink"/>
              </w:rPr>
              <w:t>1.4 Données ouvertes et précautions de méthode</w:t>
              <w:tab/>
              <w:t>23</w:t>
            </w:r>
          </w:hyperlink>
        </w:p>
        <w:p>
          <w:pPr>
            <w:pStyle w:val="TOC2"/>
            <w:tabs>
              <w:tab w:val="clear" w:pos="8743"/>
              <w:tab w:val="right" w:pos="9025" w:leader="dot"/>
            </w:tabs>
            <w:rPr/>
          </w:pPr>
          <w:hyperlink w:anchor="__RefHeading___Toc20026_730630497">
            <w:r>
              <w:rPr>
                <w:webHidden/>
                <w:rStyle w:val="IndexLink"/>
              </w:rPr>
              <w:t>1.5 Synthèse et positionnement du mémoire</w:t>
              <w:tab/>
              <w:t>24</w:t>
            </w:r>
          </w:hyperlink>
        </w:p>
        <w:p>
          <w:pPr>
            <w:pStyle w:val="TOC1"/>
            <w:tabs>
              <w:tab w:val="clear" w:pos="9026"/>
              <w:tab w:val="right" w:pos="9025" w:leader="dot"/>
            </w:tabs>
            <w:rPr/>
          </w:pPr>
          <w:hyperlink w:anchor="__RefHeading___Toc20028_730630497">
            <w:r>
              <w:rPr>
                <w:webHidden/>
                <w:rStyle w:val="IndexLink"/>
              </w:rPr>
              <w:t>Chapitre 2 : Données et méthodologie</w:t>
              <w:tab/>
              <w:t>29</w:t>
            </w:r>
          </w:hyperlink>
        </w:p>
        <w:p>
          <w:pPr>
            <w:pStyle w:val="TOC2"/>
            <w:tabs>
              <w:tab w:val="clear" w:pos="8743"/>
              <w:tab w:val="right" w:pos="9025" w:leader="dot"/>
            </w:tabs>
            <w:rPr/>
          </w:pPr>
          <w:hyperlink w:anchor="__RefHeading___Toc20030_730630497">
            <w:r>
              <w:rPr>
                <w:webHidden/>
                <w:rStyle w:val="IndexLink"/>
              </w:rPr>
              <w:t>Introduction du chapitre</w:t>
              <w:tab/>
              <w:t>29</w:t>
            </w:r>
          </w:hyperlink>
        </w:p>
        <w:p>
          <w:pPr>
            <w:pStyle w:val="TOC2"/>
            <w:tabs>
              <w:tab w:val="clear" w:pos="8743"/>
              <w:tab w:val="right" w:pos="9025" w:leader="dot"/>
            </w:tabs>
            <w:rPr/>
          </w:pPr>
          <w:hyperlink w:anchor="__RefHeading___Toc20032_730630497">
            <w:r>
              <w:rPr>
                <w:webHidden/>
                <w:rStyle w:val="IndexLink"/>
              </w:rPr>
              <w:t>2.1 Sources des données</w:t>
              <w:tab/>
              <w:t>29</w:t>
            </w:r>
          </w:hyperlink>
        </w:p>
        <w:p>
          <w:pPr>
            <w:pStyle w:val="TOC2"/>
            <w:tabs>
              <w:tab w:val="clear" w:pos="8743"/>
              <w:tab w:val="right" w:pos="9025" w:leader="dot"/>
            </w:tabs>
            <w:rPr/>
          </w:pPr>
          <w:hyperlink w:anchor="__RefHeading___Toc20034_730630497">
            <w:r>
              <w:rPr>
                <w:webHidden/>
                <w:rStyle w:val="IndexLink"/>
              </w:rPr>
              <w:t>2.2 Construction du jeu de données</w:t>
              <w:tab/>
              <w:t>30</w:t>
            </w:r>
          </w:hyperlink>
        </w:p>
        <w:p>
          <w:pPr>
            <w:pStyle w:val="TOC2"/>
            <w:tabs>
              <w:tab w:val="clear" w:pos="8743"/>
              <w:tab w:val="right" w:pos="9025" w:leader="dot"/>
            </w:tabs>
            <w:rPr/>
          </w:pPr>
          <w:hyperlink w:anchor="__RefHeading___Toc20036_730630497">
            <w:r>
              <w:rPr>
                <w:webHidden/>
                <w:rStyle w:val="IndexLink"/>
              </w:rPr>
              <w:t>2.3 Variables cibles et stationnarité</w:t>
              <w:tab/>
              <w:t>34</w:t>
            </w:r>
          </w:hyperlink>
        </w:p>
        <w:p>
          <w:pPr>
            <w:pStyle w:val="TOC2"/>
            <w:tabs>
              <w:tab w:val="clear" w:pos="8743"/>
              <w:tab w:val="right" w:pos="9025" w:leader="dot"/>
            </w:tabs>
            <w:rPr/>
          </w:pPr>
          <w:hyperlink w:anchor="__RefHeading___Toc20038_730630497">
            <w:r>
              <w:rPr>
                <w:webHidden/>
                <w:rStyle w:val="IndexLink"/>
              </w:rPr>
              <w:t>2.4 Variables explicatives</w:t>
              <w:tab/>
              <w:t>35</w:t>
            </w:r>
          </w:hyperlink>
        </w:p>
        <w:p>
          <w:pPr>
            <w:pStyle w:val="TOC2"/>
            <w:tabs>
              <w:tab w:val="clear" w:pos="8743"/>
              <w:tab w:val="right" w:pos="9025" w:leader="dot"/>
            </w:tabs>
            <w:rPr/>
          </w:pPr>
          <w:hyperlink w:anchor="__RefHeading___Toc20040_730630497">
            <w:r>
              <w:rPr>
                <w:webHidden/>
                <w:rStyle w:val="IndexLink"/>
              </w:rPr>
              <w:t>2.5 Modèles retenus</w:t>
              <w:tab/>
              <w:t>36</w:t>
            </w:r>
          </w:hyperlink>
        </w:p>
        <w:p>
          <w:pPr>
            <w:pStyle w:val="TOC2"/>
            <w:tabs>
              <w:tab w:val="clear" w:pos="8743"/>
              <w:tab w:val="right" w:pos="9025" w:leader="dot"/>
            </w:tabs>
            <w:rPr/>
          </w:pPr>
          <w:hyperlink w:anchor="__RefHeading___Toc20042_730630497">
            <w:r>
              <w:rPr>
                <w:webHidden/>
                <w:rStyle w:val="IndexLink"/>
              </w:rPr>
              <w:t>2.6 Protocole d’évaluation</w:t>
              <w:tab/>
              <w:t>38</w:t>
            </w:r>
          </w:hyperlink>
        </w:p>
        <w:p>
          <w:pPr>
            <w:pStyle w:val="TOC2"/>
            <w:tabs>
              <w:tab w:val="clear" w:pos="8743"/>
              <w:tab w:val="right" w:pos="9025" w:leader="dot"/>
            </w:tabs>
            <w:rPr/>
          </w:pPr>
          <w:hyperlink w:anchor="__RefHeading___Toc20044_730630497">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046_730630497">
            <w:r>
              <w:rPr>
                <w:webHidden/>
                <w:rStyle w:val="IndexLink"/>
              </w:rPr>
              <w:t>2.8 Considérations éthiques</w:t>
              <w:tab/>
              <w:t>44</w:t>
            </w:r>
          </w:hyperlink>
        </w:p>
        <w:p>
          <w:pPr>
            <w:pStyle w:val="TOC1"/>
            <w:tabs>
              <w:tab w:val="clear" w:pos="9026"/>
              <w:tab w:val="right" w:pos="9025" w:leader="dot"/>
            </w:tabs>
            <w:rPr/>
          </w:pPr>
          <w:hyperlink w:anchor="__RefHeading___Toc20048_730630497">
            <w:r>
              <w:rPr>
                <w:webHidden/>
                <w:rStyle w:val="IndexLink"/>
              </w:rPr>
              <w:t>Chapitre 3 : Résultats</w:t>
              <w:tab/>
              <w:t>46</w:t>
            </w:r>
          </w:hyperlink>
        </w:p>
        <w:p>
          <w:pPr>
            <w:pStyle w:val="TOC2"/>
            <w:tabs>
              <w:tab w:val="clear" w:pos="8743"/>
              <w:tab w:val="right" w:pos="9025" w:leader="dot"/>
            </w:tabs>
            <w:rPr/>
          </w:pPr>
          <w:hyperlink w:anchor="__RefHeading___Toc20050_730630497">
            <w:r>
              <w:rPr>
                <w:webHidden/>
                <w:rStyle w:val="IndexLink"/>
              </w:rPr>
              <w:t>3.1 Statistiques descriptives</w:t>
              <w:tab/>
              <w:t>46</w:t>
            </w:r>
          </w:hyperlink>
        </w:p>
        <w:p>
          <w:pPr>
            <w:pStyle w:val="TOC2"/>
            <w:tabs>
              <w:tab w:val="clear" w:pos="8743"/>
              <w:tab w:val="right" w:pos="9025" w:leader="dot"/>
            </w:tabs>
            <w:rPr/>
          </w:pPr>
          <w:hyperlink w:anchor="__RefHeading___Toc20052_730630497">
            <w:r>
              <w:rPr>
                <w:webHidden/>
                <w:rStyle w:val="IndexLink"/>
              </w:rPr>
              <w:t>3.2 Modèles principaux</w:t>
              <w:tab/>
              <w:t>47</w:t>
            </w:r>
          </w:hyperlink>
        </w:p>
        <w:p>
          <w:pPr>
            <w:pStyle w:val="TOC2"/>
            <w:tabs>
              <w:tab w:val="clear" w:pos="8743"/>
              <w:tab w:val="right" w:pos="9025" w:leader="dot"/>
            </w:tabs>
            <w:rPr/>
          </w:pPr>
          <w:hyperlink w:anchor="__RefHeading___Toc20054_730630497">
            <w:r>
              <w:rPr>
                <w:webHidden/>
                <w:rStyle w:val="IndexLink"/>
              </w:rPr>
              <w:t>3.3 Solidité des résultats</w:t>
              <w:tab/>
              <w:t>49</w:t>
            </w:r>
          </w:hyperlink>
        </w:p>
        <w:p>
          <w:pPr>
            <w:pStyle w:val="TOC2"/>
            <w:tabs>
              <w:tab w:val="clear" w:pos="8743"/>
              <w:tab w:val="right" w:pos="9025" w:leader="dot"/>
            </w:tabs>
            <w:rPr/>
          </w:pPr>
          <w:hyperlink w:anchor="__RefHeading___Toc20056_730630497">
            <w:r>
              <w:rPr>
                <w:webHidden/>
                <w:rStyle w:val="IndexLink"/>
              </w:rPr>
              <w:t>3.4 Importance des variables</w:t>
              <w:tab/>
              <w:t>50</w:t>
            </w:r>
          </w:hyperlink>
        </w:p>
        <w:p>
          <w:pPr>
            <w:pStyle w:val="TOC2"/>
            <w:tabs>
              <w:tab w:val="clear" w:pos="8743"/>
              <w:tab w:val="right" w:pos="9025" w:leader="dot"/>
            </w:tabs>
            <w:rPr/>
          </w:pPr>
          <w:hyperlink w:anchor="__RefHeading___Toc20058_730630497">
            <w:r>
              <w:rPr>
                <w:webHidden/>
                <w:rStyle w:val="IndexLink"/>
              </w:rPr>
              <w:t>3.5 Extensions sur les données françaises</w:t>
              <w:tab/>
              <w:t>51</w:t>
            </w:r>
          </w:hyperlink>
        </w:p>
        <w:p>
          <w:pPr>
            <w:pStyle w:val="TOC2"/>
            <w:tabs>
              <w:tab w:val="clear" w:pos="8743"/>
              <w:tab w:val="right" w:pos="9025" w:leader="dot"/>
            </w:tabs>
            <w:rPr/>
          </w:pPr>
          <w:hyperlink w:anchor="__RefHeading___Toc20060_730630497">
            <w:r>
              <w:rPr>
                <w:webHidden/>
                <w:rStyle w:val="IndexLink"/>
              </w:rPr>
              <w:t>3.6 Panel européen et marche aléatoire (E15 à E18)</w:t>
              <w:tab/>
              <w:t>54</w:t>
            </w:r>
          </w:hyperlink>
        </w:p>
        <w:p>
          <w:pPr>
            <w:pStyle w:val="TOC2"/>
            <w:tabs>
              <w:tab w:val="clear" w:pos="8743"/>
              <w:tab w:val="right" w:pos="9025" w:leader="dot"/>
            </w:tabs>
            <w:rPr/>
          </w:pPr>
          <w:hyperlink w:anchor="__RefHeading___Toc20062_730630497">
            <w:r>
              <w:rPr>
                <w:webHidden/>
                <w:rStyle w:val="IndexLink"/>
              </w:rPr>
              <w:t>3.7 Synthèse : état des hypothèses</w:t>
              <w:tab/>
              <w:t>55</w:t>
            </w:r>
          </w:hyperlink>
        </w:p>
        <w:p>
          <w:pPr>
            <w:pStyle w:val="TOC1"/>
            <w:tabs>
              <w:tab w:val="clear" w:pos="9026"/>
              <w:tab w:val="right" w:pos="9025" w:leader="dot"/>
            </w:tabs>
            <w:rPr/>
          </w:pPr>
          <w:hyperlink w:anchor="__RefHeading___Toc20064_730630497">
            <w:r>
              <w:rPr>
                <w:webHidden/>
                <w:rStyle w:val="IndexLink"/>
              </w:rPr>
              <w:t>Chapitre 4 : Discussion</w:t>
              <w:tab/>
              <w:t>57</w:t>
            </w:r>
          </w:hyperlink>
        </w:p>
        <w:p>
          <w:pPr>
            <w:pStyle w:val="TOC2"/>
            <w:tabs>
              <w:tab w:val="clear" w:pos="8743"/>
              <w:tab w:val="right" w:pos="9025" w:leader="dot"/>
            </w:tabs>
            <w:rPr/>
          </w:pPr>
          <w:hyperlink w:anchor="__RefHeading___Toc20066_730630497">
            <w:r>
              <w:rPr>
                <w:webHidden/>
                <w:rStyle w:val="IndexLink"/>
              </w:rPr>
              <w:t>4.1 Réponse à la problématique</w:t>
              <w:tab/>
              <w:t>57</w:t>
            </w:r>
          </w:hyperlink>
        </w:p>
        <w:p>
          <w:pPr>
            <w:pStyle w:val="TOC2"/>
            <w:tabs>
              <w:tab w:val="clear" w:pos="8743"/>
              <w:tab w:val="right" w:pos="9025" w:leader="dot"/>
            </w:tabs>
            <w:rPr/>
          </w:pPr>
          <w:hyperlink w:anchor="__RefHeading___Toc20068_730630497">
            <w:r>
              <w:rPr>
                <w:webHidden/>
                <w:rStyle w:val="IndexLink"/>
              </w:rPr>
              <w:t>4.2 Pourquoi les dépenses n’aident pas : des pistes</w:t>
              <w:tab/>
              <w:t>58</w:t>
            </w:r>
          </w:hyperlink>
        </w:p>
        <w:p>
          <w:pPr>
            <w:pStyle w:val="TOC2"/>
            <w:tabs>
              <w:tab w:val="clear" w:pos="8743"/>
              <w:tab w:val="right" w:pos="9025" w:leader="dot"/>
            </w:tabs>
            <w:rPr/>
          </w:pPr>
          <w:hyperlink w:anchor="__RefHeading___Toc20070_730630497">
            <w:r>
              <w:rPr>
                <w:webHidden/>
                <w:rStyle w:val="IndexLink"/>
              </w:rPr>
              <w:t>4.3 Ce que le résultat négatif veut dire, et ce qu’il ne veut pas dire</w:t>
              <w:tab/>
              <w:t>60</w:t>
            </w:r>
          </w:hyperlink>
        </w:p>
        <w:p>
          <w:pPr>
            <w:pStyle w:val="TOC2"/>
            <w:tabs>
              <w:tab w:val="clear" w:pos="8743"/>
              <w:tab w:val="right" w:pos="9025" w:leader="dot"/>
            </w:tabs>
            <w:rPr/>
          </w:pPr>
          <w:hyperlink w:anchor="__RefHeading___Toc20072_730630497">
            <w:r>
              <w:rPr>
                <w:webHidden/>
                <w:rStyle w:val="IndexLink"/>
              </w:rPr>
              <w:t>4.4 Retour sur les modèles</w:t>
              <w:tab/>
              <w:t>61</w:t>
            </w:r>
          </w:hyperlink>
        </w:p>
        <w:p>
          <w:pPr>
            <w:pStyle w:val="TOC2"/>
            <w:tabs>
              <w:tab w:val="clear" w:pos="8743"/>
              <w:tab w:val="right" w:pos="9025" w:leader="dot"/>
            </w:tabs>
            <w:rPr/>
          </w:pPr>
          <w:hyperlink w:anchor="__RefHeading___Toc20074_730630497">
            <w:r>
              <w:rPr>
                <w:webHidden/>
                <w:rStyle w:val="IndexLink"/>
              </w:rPr>
              <w:t>4.5 Comparaison avec la littérature</w:t>
              <w:tab/>
              <w:t>63</w:t>
            </w:r>
          </w:hyperlink>
        </w:p>
        <w:p>
          <w:pPr>
            <w:pStyle w:val="TOC2"/>
            <w:tabs>
              <w:tab w:val="clear" w:pos="8743"/>
              <w:tab w:val="right" w:pos="9025" w:leader="dot"/>
            </w:tabs>
            <w:rPr/>
          </w:pPr>
          <w:hyperlink w:anchor="__RefHeading___Toc20076_730630497">
            <w:r>
              <w:rPr>
                <w:webHidden/>
                <w:rStyle w:val="IndexLink"/>
              </w:rPr>
              <w:t>4.6 Implications</w:t>
              <w:tab/>
              <w:t>64</w:t>
            </w:r>
          </w:hyperlink>
        </w:p>
        <w:p>
          <w:pPr>
            <w:pStyle w:val="TOC2"/>
            <w:tabs>
              <w:tab w:val="clear" w:pos="8743"/>
              <w:tab w:val="right" w:pos="9025" w:leader="dot"/>
            </w:tabs>
            <w:rPr/>
          </w:pPr>
          <w:hyperlink w:anchor="__RefHeading___Toc20078_730630497">
            <w:r>
              <w:rPr>
                <w:webHidden/>
                <w:rStyle w:val="IndexLink"/>
              </w:rPr>
              <w:t>4.7 Limites</w:t>
              <w:tab/>
              <w:t>65</w:t>
            </w:r>
          </w:hyperlink>
        </w:p>
        <w:p>
          <w:pPr>
            <w:pStyle w:val="TOC2"/>
            <w:tabs>
              <w:tab w:val="clear" w:pos="8743"/>
              <w:tab w:val="right" w:pos="9025" w:leader="dot"/>
            </w:tabs>
            <w:rPr/>
          </w:pPr>
          <w:hyperlink w:anchor="__RefHeading___Toc20080_730630497">
            <w:r>
              <w:rPr>
                <w:webHidden/>
                <w:rStyle w:val="IndexLink"/>
              </w:rPr>
              <w:t>4.8 Recherches futures</w:t>
              <w:tab/>
              <w:t>66</w:t>
            </w:r>
          </w:hyperlink>
        </w:p>
        <w:p>
          <w:pPr>
            <w:pStyle w:val="TOC1"/>
            <w:tabs>
              <w:tab w:val="clear" w:pos="9026"/>
              <w:tab w:val="right" w:pos="9025" w:leader="dot"/>
            </w:tabs>
            <w:rPr/>
          </w:pPr>
          <w:hyperlink w:anchor="__RefHeading___Toc20082_730630497">
            <w:r>
              <w:rPr>
                <w:webHidden/>
                <w:rStyle w:val="IndexLink"/>
              </w:rPr>
              <w:t>Conclusion générale</w:t>
              <w:tab/>
              <w:t>68</w:t>
            </w:r>
          </w:hyperlink>
        </w:p>
        <w:p>
          <w:pPr>
            <w:pStyle w:val="TOC2"/>
            <w:tabs>
              <w:tab w:val="clear" w:pos="8743"/>
              <w:tab w:val="right" w:pos="9025" w:leader="dot"/>
            </w:tabs>
            <w:rPr/>
          </w:pPr>
          <w:hyperlink w:anchor="__RefHeading___Toc20084_730630497">
            <w:r>
              <w:rPr>
                <w:webHidden/>
                <w:rStyle w:val="IndexLink"/>
              </w:rPr>
              <w:t>Principaux résultats</w:t>
              <w:tab/>
              <w:t>68</w:t>
            </w:r>
          </w:hyperlink>
        </w:p>
        <w:p>
          <w:pPr>
            <w:pStyle w:val="TOC2"/>
            <w:tabs>
              <w:tab w:val="clear" w:pos="8743"/>
              <w:tab w:val="right" w:pos="9025" w:leader="dot"/>
            </w:tabs>
            <w:rPr/>
          </w:pPr>
          <w:hyperlink w:anchor="__RefHeading___Toc20086_730630497">
            <w:r>
              <w:rPr>
                <w:webHidden/>
                <w:rStyle w:val="IndexLink"/>
              </w:rPr>
              <w:t>Apports</w:t>
              <w:tab/>
              <w:t>68</w:t>
            </w:r>
          </w:hyperlink>
        </w:p>
        <w:p>
          <w:pPr>
            <w:pStyle w:val="TOC2"/>
            <w:tabs>
              <w:tab w:val="clear" w:pos="8743"/>
              <w:tab w:val="right" w:pos="9025" w:leader="dot"/>
            </w:tabs>
            <w:rPr/>
          </w:pPr>
          <w:hyperlink w:anchor="__RefHeading___Toc20088_730630497">
            <w:r>
              <w:rPr>
                <w:webHidden/>
                <w:rStyle w:val="IndexLink"/>
              </w:rPr>
              <w:t>Limites</w:t>
              <w:tab/>
              <w:t>69</w:t>
            </w:r>
          </w:hyperlink>
        </w:p>
        <w:p>
          <w:pPr>
            <w:pStyle w:val="TOC2"/>
            <w:tabs>
              <w:tab w:val="clear" w:pos="8743"/>
              <w:tab w:val="right" w:pos="9025" w:leader="dot"/>
            </w:tabs>
            <w:rPr/>
          </w:pPr>
          <w:hyperlink w:anchor="__RefHeading___Toc20090_730630497">
            <w:r>
              <w:rPr>
                <w:webHidden/>
                <w:rStyle w:val="IndexLink"/>
              </w:rPr>
              <w:t>Perspectives</w:t>
              <w:tab/>
              <w:t>69</w:t>
            </w:r>
          </w:hyperlink>
        </w:p>
        <w:p>
          <w:pPr>
            <w:pStyle w:val="TOC1"/>
            <w:tabs>
              <w:tab w:val="clear" w:pos="9026"/>
              <w:tab w:val="right" w:pos="9025" w:leader="dot"/>
            </w:tabs>
            <w:rPr/>
          </w:pPr>
          <w:hyperlink w:anchor="__RefHeading___Toc20092_730630497">
            <w:r>
              <w:rPr>
                <w:webHidden/>
                <w:rStyle w:val="IndexLink"/>
              </w:rPr>
              <w:t>Références</w:t>
              <w:tab/>
              <w:t>70</w:t>
            </w:r>
          </w:hyperlink>
        </w:p>
        <w:p>
          <w:pPr>
            <w:pStyle w:val="TOC2"/>
            <w:tabs>
              <w:tab w:val="clear" w:pos="8743"/>
              <w:tab w:val="right" w:pos="9025" w:leader="dot"/>
            </w:tabs>
            <w:rPr/>
          </w:pPr>
          <w:hyperlink w:anchor="__RefHeading___Toc20094_730630497">
            <w:r>
              <w:rPr>
                <w:webHidden/>
                <w:rStyle w:val="IndexLink"/>
              </w:rPr>
              <w:t>Sources en ligne</w:t>
              <w:tab/>
              <w:t>73</w:t>
            </w:r>
          </w:hyperlink>
        </w:p>
        <w:p>
          <w:pPr>
            <w:pStyle w:val="TOC1"/>
            <w:tabs>
              <w:tab w:val="clear" w:pos="9026"/>
              <w:tab w:val="right" w:pos="9025" w:leader="dot"/>
            </w:tabs>
            <w:rPr/>
          </w:pPr>
          <w:hyperlink w:anchor="__RefHeading___Toc20096_730630497">
            <w:r>
              <w:rPr>
                <w:webHidden/>
                <w:rStyle w:val="IndexLink"/>
              </w:rPr>
              <w:t>Annexes</w:t>
              <w:tab/>
              <w:t>74</w:t>
            </w:r>
          </w:hyperlink>
        </w:p>
        <w:p>
          <w:pPr>
            <w:pStyle w:val="TOC2"/>
            <w:tabs>
              <w:tab w:val="clear" w:pos="8743"/>
              <w:tab w:val="right" w:pos="9025" w:leader="dot"/>
            </w:tabs>
            <w:rPr/>
          </w:pPr>
          <w:hyperlink w:anchor="__RefHeading___Toc20098_730630497">
            <w:r>
              <w:rPr>
                <w:webHidden/>
                <w:rStyle w:val="IndexLink"/>
              </w:rPr>
              <w:t>Annexe A : Variables des modèles principaux</w:t>
              <w:tab/>
              <w:t>74</w:t>
            </w:r>
          </w:hyperlink>
        </w:p>
        <w:p>
          <w:pPr>
            <w:pStyle w:val="TOC2"/>
            <w:tabs>
              <w:tab w:val="clear" w:pos="8743"/>
              <w:tab w:val="right" w:pos="9025" w:leader="dot"/>
            </w:tabs>
            <w:rPr/>
          </w:pPr>
          <w:hyperlink w:anchor="__RefHeading___Toc20100_730630497">
            <w:r>
              <w:rPr>
                <w:webHidden/>
                <w:rStyle w:val="IndexLink"/>
              </w:rPr>
              <w:t>Annexe B : Détail des extensions E1 à E20</w:t>
              <w:tab/>
              <w:t>74</w:t>
            </w:r>
          </w:hyperlink>
        </w:p>
        <w:p>
          <w:pPr>
            <w:pStyle w:val="TOC2"/>
            <w:tabs>
              <w:tab w:val="clear" w:pos="8743"/>
              <w:tab w:val="right" w:pos="9025" w:leader="dot"/>
            </w:tabs>
            <w:rPr/>
          </w:pPr>
          <w:hyperlink w:anchor="__RefHeading___Toc20102_730630497">
            <w:r>
              <w:rPr>
                <w:webHidden/>
                <w:rStyle w:val="IndexLink"/>
              </w:rPr>
              <w:t>Annexe C : Sensibilité à la graine aléatoire</w:t>
              <w:tab/>
              <w:t>88</w:t>
            </w:r>
          </w:hyperlink>
        </w:p>
        <w:p>
          <w:pPr>
            <w:pStyle w:val="TOC2"/>
            <w:tabs>
              <w:tab w:val="clear" w:pos="8743"/>
              <w:tab w:val="right" w:pos="9025" w:leader="dot"/>
            </w:tabs>
            <w:rPr/>
          </w:pPr>
          <w:hyperlink w:anchor="__RefHeading___Toc20104_730630497">
            <w:r>
              <w:rPr>
                <w:webHidden/>
                <w:rStyle w:val="IndexLink"/>
              </w:rPr>
              <w:t>Annexe D : Contrôle négatif : dépenses contre variables de bruit</w:t>
              <w:tab/>
              <w:t>88</w:t>
            </w:r>
          </w:hyperlink>
        </w:p>
        <w:p>
          <w:pPr>
            <w:pStyle w:val="TOC2"/>
            <w:tabs>
              <w:tab w:val="clear" w:pos="8743"/>
              <w:tab w:val="right" w:pos="9025" w:leader="dot"/>
            </w:tabs>
            <w:rPr/>
          </w:pPr>
          <w:hyperlink w:anchor="__RefHeading___Toc20106_730630497">
            <w:r>
              <w:rPr>
                <w:webHidden/>
                <w:rStyle w:val="IndexLink"/>
              </w:rPr>
              <w:t>Annexe E : Robustesse au décalage de publication</w:t>
              <w:tab/>
              <w:t>89</w:t>
            </w:r>
          </w:hyperlink>
        </w:p>
        <w:p>
          <w:pPr>
            <w:pStyle w:val="TOC2"/>
            <w:tabs>
              <w:tab w:val="clear" w:pos="8743"/>
              <w:tab w:val="right" w:pos="9025" w:leader="dot"/>
            </w:tabs>
            <w:rPr/>
          </w:pPr>
          <w:hyperlink w:anchor="__RefHeading___Toc20108_730630497">
            <w:r>
              <w:rPr>
                <w:webHidden/>
                <w:rStyle w:val="IndexLink"/>
              </w:rPr>
              <w:t>Annexe F : Étude d’événement préliminaire sur le CAC 40</w:t>
              <w:tab/>
              <w:t>89</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994_730630497"/>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10_730630497">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20154_730630497">
            <w:r>
              <w:rPr>
                <w:webHidden/>
                <w:rStyle w:val="IndexLink"/>
              </w:rPr>
              <w:t>Tableau 2.1 : Sources des données</w:t>
              <w:tab/>
              <w:t>29</w:t>
            </w:r>
          </w:hyperlink>
        </w:p>
        <w:p>
          <w:pPr>
            <w:pStyle w:val="TOC1"/>
            <w:tabs>
              <w:tab w:val="clear" w:pos="9026"/>
              <w:tab w:val="right" w:pos="9025" w:leader="dot"/>
            </w:tabs>
            <w:rPr/>
          </w:pPr>
          <w:hyperlink w:anchor="__RefHeading___Toc20152_730630497">
            <w:r>
              <w:rPr>
                <w:webHidden/>
                <w:rStyle w:val="IndexLink"/>
              </w:rPr>
              <w:t>Tableau 2.2 : Soldes annuels reconstitués</w:t>
              <w:tab/>
              <w:t>33</w:t>
            </w:r>
          </w:hyperlink>
        </w:p>
        <w:p>
          <w:pPr>
            <w:pStyle w:val="TOC1"/>
            <w:tabs>
              <w:tab w:val="clear" w:pos="9026"/>
              <w:tab w:val="right" w:pos="9025" w:leader="dot"/>
            </w:tabs>
            <w:rPr/>
          </w:pPr>
          <w:hyperlink w:anchor="__RefHeading___Toc20150_730630497">
            <w:r>
              <w:rPr>
                <w:webHidden/>
                <w:rStyle w:val="IndexLink"/>
              </w:rPr>
              <w:t>Tableau 2.3 : Variables cibles</w:t>
              <w:tab/>
              <w:t>34</w:t>
            </w:r>
          </w:hyperlink>
        </w:p>
        <w:p>
          <w:pPr>
            <w:pStyle w:val="TOC1"/>
            <w:tabs>
              <w:tab w:val="clear" w:pos="9026"/>
              <w:tab w:val="right" w:pos="9025" w:leader="dot"/>
            </w:tabs>
            <w:rPr/>
          </w:pPr>
          <w:hyperlink w:anchor="__RefHeading___Toc20148_730630497">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146_730630497">
            <w:r>
              <w:rPr>
                <w:webHidden/>
                <w:rStyle w:val="IndexLink"/>
              </w:rPr>
              <w:t>Tableau 2.5 : Jeux de variables emboîtés</w:t>
              <w:tab/>
              <w:t>35</w:t>
            </w:r>
          </w:hyperlink>
        </w:p>
        <w:p>
          <w:pPr>
            <w:pStyle w:val="TOC1"/>
            <w:tabs>
              <w:tab w:val="clear" w:pos="9026"/>
              <w:tab w:val="right" w:pos="9025" w:leader="dot"/>
            </w:tabs>
            <w:rPr/>
          </w:pPr>
          <w:hyperlink w:anchor="__RefHeading___Toc20144_730630497">
            <w:r>
              <w:rPr>
                <w:webHidden/>
                <w:rStyle w:val="IndexLink"/>
              </w:rPr>
              <w:t>Tableau 2.6 : Modèles comparés</w:t>
              <w:tab/>
              <w:t>36</w:t>
            </w:r>
          </w:hyperlink>
        </w:p>
        <w:p>
          <w:pPr>
            <w:pStyle w:val="TOC1"/>
            <w:tabs>
              <w:tab w:val="clear" w:pos="9026"/>
              <w:tab w:val="right" w:pos="9025" w:leader="dot"/>
            </w:tabs>
            <w:rPr/>
          </w:pPr>
          <w:hyperlink w:anchor="__RefHeading___Toc20142_730630497">
            <w:r>
              <w:rPr>
                <w:webHidden/>
                <w:rStyle w:val="IndexLink"/>
              </w:rPr>
              <w:t>Tableau 2.7 : Mesures de performance</w:t>
              <w:tab/>
              <w:t>39</w:t>
            </w:r>
          </w:hyperlink>
        </w:p>
        <w:p>
          <w:pPr>
            <w:pStyle w:val="TOC1"/>
            <w:tabs>
              <w:tab w:val="clear" w:pos="9026"/>
              <w:tab w:val="right" w:pos="9025" w:leader="dot"/>
            </w:tabs>
            <w:rPr/>
          </w:pPr>
          <w:hyperlink w:anchor="__RefHeading___Toc20140_730630497">
            <w:r>
              <w:rPr>
                <w:webHidden/>
                <w:rStyle w:val="IndexLink"/>
              </w:rPr>
              <w:t>Tableau 2.8 : Extensions testées</w:t>
              <w:tab/>
              <w:t>42</w:t>
            </w:r>
          </w:hyperlink>
        </w:p>
        <w:p>
          <w:pPr>
            <w:pStyle w:val="TOC1"/>
            <w:tabs>
              <w:tab w:val="clear" w:pos="9026"/>
              <w:tab w:val="right" w:pos="9025" w:leader="dot"/>
            </w:tabs>
            <w:rPr/>
          </w:pPr>
          <w:hyperlink w:anchor="__RefHeading___Toc20138_730630497">
            <w:r>
              <w:rPr>
                <w:webHidden/>
                <w:rStyle w:val="IndexLink"/>
              </w:rPr>
              <w:t>Tableau 3.1 : Statistiques des variables cibles (149 mois ; prévisions faites de mars 2014 à juillet 2026)</w:t>
              <w:tab/>
              <w:t>46</w:t>
            </w:r>
          </w:hyperlink>
        </w:p>
        <w:p>
          <w:pPr>
            <w:pStyle w:val="TOC1"/>
            <w:tabs>
              <w:tab w:val="clear" w:pos="9026"/>
              <w:tab w:val="right" w:pos="9025" w:leader="dot"/>
            </w:tabs>
            <w:rPr/>
          </w:pPr>
          <w:hyperlink w:anchor="__RefHeading___Toc20136_730630497">
            <w:r>
              <w:rPr>
                <w:webHidden/>
                <w:rStyle w:val="IndexLink"/>
              </w:rPr>
              <w:t>Tableau 3.2 : R² hors échantillon par rapport à la moyenne historique (%), janvier 2020 à juillet 2026</w:t>
              <w:tab/>
              <w:t>47</w:t>
            </w:r>
          </w:hyperlink>
        </w:p>
        <w:p>
          <w:pPr>
            <w:pStyle w:val="TOC1"/>
            <w:tabs>
              <w:tab w:val="clear" w:pos="9026"/>
              <w:tab w:val="right" w:pos="9025" w:leader="dot"/>
            </w:tabs>
            <w:rPr/>
          </w:pPr>
          <w:hyperlink w:anchor="__RefHeading___Toc20134_730630497">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132_730630497">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130_730630497">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128_730630497">
            <w:r>
              <w:rPr>
                <w:webHidden/>
                <w:rStyle w:val="IndexLink"/>
              </w:rPr>
              <w:t>Tableau 3.6 : Meilleur R² hors échantillon sans dépenses ; avec dépenses, par extension (%)</w:t>
              <w:tab/>
              <w:t>52</w:t>
            </w:r>
          </w:hyperlink>
        </w:p>
        <w:p>
          <w:pPr>
            <w:pStyle w:val="TOC1"/>
            <w:tabs>
              <w:tab w:val="clear" w:pos="9026"/>
              <w:tab w:val="right" w:pos="9025" w:leader="dot"/>
            </w:tabs>
            <w:rPr/>
          </w:pPr>
          <w:hyperlink w:anchor="__RefHeading___Toc20126_730630497">
            <w:r>
              <w:rPr>
                <w:webHidden/>
                <w:rStyle w:val="IndexLink"/>
              </w:rPr>
              <w:t>Tableau 3.7 : E16 : niveau du spread, comparaison à la marche aléatoire (avec finances publiques)</w:t>
              <w:tab/>
              <w:t>55</w:t>
            </w:r>
          </w:hyperlink>
        </w:p>
        <w:p>
          <w:pPr>
            <w:pStyle w:val="TOC1"/>
            <w:tabs>
              <w:tab w:val="clear" w:pos="9026"/>
              <w:tab w:val="right" w:pos="9025" w:leader="dot"/>
            </w:tabs>
            <w:rPr/>
          </w:pPr>
          <w:hyperlink w:anchor="__RefHeading___Toc20124_730630497">
            <w:r>
              <w:rPr>
                <w:webHidden/>
                <w:rStyle w:val="IndexLink"/>
              </w:rPr>
              <w:t>Tableau 3.8 : État des hypothèses</w:t>
              <w:tab/>
              <w:t>55</w:t>
            </w:r>
          </w:hyperlink>
        </w:p>
        <w:p>
          <w:pPr>
            <w:pStyle w:val="TOC1"/>
            <w:tabs>
              <w:tab w:val="clear" w:pos="9026"/>
              <w:tab w:val="right" w:pos="9025" w:leader="dot"/>
            </w:tabs>
            <w:rPr/>
          </w:pPr>
          <w:hyperlink w:anchor="__RefHeading___Toc20122_730630497">
            <w:r>
              <w:rPr>
                <w:webHidden/>
                <w:rStyle w:val="IndexLink"/>
              </w:rPr>
              <w:t>Tableau A.1 : Variables des jeux emboîtés M0, M1 et M2</w:t>
              <w:tab/>
              <w:t>74</w:t>
            </w:r>
          </w:hyperlink>
        </w:p>
        <w:p>
          <w:pPr>
            <w:pStyle w:val="TOC1"/>
            <w:tabs>
              <w:tab w:val="clear" w:pos="9026"/>
              <w:tab w:val="right" w:pos="9025" w:leader="dot"/>
            </w:tabs>
            <w:rPr/>
          </w:pPr>
          <w:hyperlink w:anchor="__RefHeading___Toc20120_730630497">
            <w:r>
              <w:rPr>
                <w:webHidden/>
                <w:rStyle w:val="IndexLink"/>
              </w:rPr>
              <w:t>Tableau B.1 : Résultats des 210 comparaisons</w:t>
              <w:tab/>
              <w:t>74</w:t>
            </w:r>
          </w:hyperlink>
        </w:p>
        <w:p>
          <w:pPr>
            <w:pStyle w:val="TOC1"/>
            <w:tabs>
              <w:tab w:val="clear" w:pos="9026"/>
              <w:tab w:val="right" w:pos="9025" w:leader="dot"/>
            </w:tabs>
            <w:rPr/>
          </w:pPr>
          <w:hyperlink w:anchor="__RefHeading___Toc20118_730630497">
            <w:r>
              <w:rPr>
                <w:webHidden/>
                <w:rStyle w:val="IndexLink"/>
              </w:rPr>
              <w:t>Tableau C.1 : R² hors échantillon (%) selon la graine</w:t>
              <w:tab/>
              <w:t>88</w:t>
            </w:r>
          </w:hyperlink>
        </w:p>
        <w:p>
          <w:pPr>
            <w:pStyle w:val="TOC1"/>
            <w:tabs>
              <w:tab w:val="clear" w:pos="9026"/>
              <w:tab w:val="right" w:pos="9025" w:leader="dot"/>
            </w:tabs>
            <w:rPr/>
          </w:pPr>
          <w:hyperlink w:anchor="__RefHeading___Toc20116_730630497">
            <w:r>
              <w:rPr>
                <w:webHidden/>
                <w:rStyle w:val="IndexLink"/>
              </w:rPr>
              <w:t>Tableau D.1 : Gain de R² par rapport à M0 (points) : vraies dépenses et sept variables de bruit</w:t>
              <w:tab/>
              <w:t>88</w:t>
            </w:r>
          </w:hyperlink>
        </w:p>
        <w:p>
          <w:pPr>
            <w:pStyle w:val="TOC1"/>
            <w:tabs>
              <w:tab w:val="clear" w:pos="9026"/>
              <w:tab w:val="right" w:pos="9025" w:leader="dot"/>
            </w:tabs>
            <w:rPr/>
          </w:pPr>
          <w:hyperlink w:anchor="__RefHeading___Toc20114_730630497">
            <w:r>
              <w:rPr>
                <w:webHidden/>
                <w:rStyle w:val="IndexLink"/>
              </w:rPr>
              <w:t>Tableau E.1 : Modèles principaux avec un décalage budgétaire de 1, 2 et 3 mois</w:t>
              <w:tab/>
              <w:t>89</w:t>
            </w:r>
          </w:hyperlink>
        </w:p>
        <w:p>
          <w:pPr>
            <w:pStyle w:val="TOC1"/>
            <w:tabs>
              <w:tab w:val="clear" w:pos="9026"/>
              <w:tab w:val="right" w:pos="9025" w:leader="dot"/>
            </w:tabs>
            <w:rPr/>
          </w:pPr>
          <w:hyperlink w:anchor="__RefHeading___Toc20112_730630497">
            <w:r>
              <w:rPr>
                <w:webHidden/>
                <w:rStyle w:val="IndexLink"/>
              </w:rPr>
              <w:t>Tableau F.1 : Réaction du CAC 40 aux publications de la situation mensuelle budgétaire</w:t>
              <w:tab/>
              <w:t>90</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19996_730630497"/>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56_730630497">
            <w:r>
              <w:rPr>
                <w:webHidden/>
                <w:rStyle w:val="IndexLink"/>
              </w:rPr>
              <w:t>Figure 3.1 : Distribution des trois cibles</w:t>
              <w:tab/>
              <w:t>47</w:t>
            </w:r>
          </w:hyperlink>
        </w:p>
        <w:p>
          <w:pPr>
            <w:pStyle w:val="TOC1"/>
            <w:tabs>
              <w:tab w:val="clear" w:pos="9026"/>
              <w:tab w:val="right" w:pos="9025" w:leader="dot"/>
            </w:tabs>
            <w:rPr/>
          </w:pPr>
          <w:hyperlink w:anchor="__RefHeading___Toc20162_730630497">
            <w:r>
              <w:rPr>
                <w:webHidden/>
                <w:rStyle w:val="IndexLink"/>
              </w:rPr>
              <w:t>Figure 3.2 : RMSE relatif à la moyenne historique</w:t>
              <w:tab/>
              <w:t>49</w:t>
            </w:r>
          </w:hyperlink>
        </w:p>
        <w:p>
          <w:pPr>
            <w:pStyle w:val="TOC1"/>
            <w:tabs>
              <w:tab w:val="clear" w:pos="9026"/>
              <w:tab w:val="right" w:pos="9025" w:leader="dot"/>
            </w:tabs>
            <w:rPr/>
          </w:pPr>
          <w:hyperlink w:anchor="__RefHeading___Toc20160_730630497">
            <w:r>
              <w:rPr>
                <w:webHidden/>
                <w:rStyle w:val="IndexLink"/>
              </w:rPr>
              <w:t>Figure 3.3 : Importance SHAP des variables</w:t>
              <w:tab/>
              <w:t>51</w:t>
            </w:r>
          </w:hyperlink>
        </w:p>
        <w:p>
          <w:pPr>
            <w:pStyle w:val="TOC1"/>
            <w:tabs>
              <w:tab w:val="clear" w:pos="9026"/>
              <w:tab w:val="right" w:pos="9025" w:leader="dot"/>
            </w:tabs>
            <w:rPr/>
          </w:pPr>
          <w:hyperlink w:anchor="__RefHeading___Toc20158_730630497">
            <w:r>
              <w:rPr>
                <w:webHidden/>
                <w:rStyle w:val="IndexLink"/>
              </w:rPr>
              <w:t>Figure 3.4 : Synthèse des extensions</w:t>
              <w:tab/>
              <w:t>54</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998_730630497"/>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00_730630497"/>
      <w:bookmarkEnd w:id="25"/>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6" w:name="__RefHeading___Toc20002_730630497"/>
      <w:bookmarkStart w:id="27" w:name="introduction-générale"/>
      <w:bookmarkEnd w:id="26"/>
      <w:bookmarkEnd w:id="27"/>
      <w:r>
        <w:rPr/>
        <w:t>Introduction générale</w:t>
      </w:r>
    </w:p>
    <w:p>
      <w:pPr>
        <w:pStyle w:val="Heading2"/>
        <w:rPr/>
      </w:pPr>
      <w:bookmarkStart w:id="28" w:name="__RefHeading___Toc20004_730630497"/>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9"/>
    </w:p>
    <w:p>
      <w:pPr>
        <w:pStyle w:val="Heading2"/>
        <w:rPr/>
      </w:pPr>
      <w:bookmarkStart w:id="30" w:name="__RefHeading___Toc20006_730630497"/>
      <w:bookmarkStart w:id="31" w:name="problématique"/>
      <w:bookmarkEnd w:id="30"/>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008_730630497"/>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4"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4"/>
    </w:p>
    <w:p>
      <w:pPr>
        <w:pStyle w:val="Heading2"/>
        <w:rPr/>
      </w:pPr>
      <w:bookmarkStart w:id="35" w:name="__RefHeading___Toc20010_730630497"/>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20012_730630497"/>
      <w:bookmarkStart w:id="39" w:name="plan-du-mémoire"/>
      <w:bookmarkEnd w:id="38"/>
      <w:bookmarkEnd w:id="39"/>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014_730630497"/>
      <w:bookmarkStart w:id="45" w:name="chapitre-1-état-de-lart"/>
      <w:bookmarkEnd w:id="44"/>
      <w:bookmarkEnd w:id="45"/>
      <w:r>
        <w:rPr/>
        <w:t>Chapitre 1 : État de l’art</w:t>
      </w:r>
    </w:p>
    <w:p>
      <w:pPr>
        <w:pStyle w:val="Heading2"/>
        <w:rPr/>
      </w:pPr>
      <w:bookmarkStart w:id="46" w:name="__RefHeading___Toc20016_730630497"/>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018_730630497"/>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FirstParagraph"/>
        <w:rPr/>
      </w:pPr>
      <w:bookmarkStart w:id="58" w:name="cadre-théorique-ce-que-lon-peut-attendre"/>
      <w:bookmarkStart w:id="59"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8"/>
      <w:bookmarkEnd w:id="59"/>
    </w:p>
    <w:p>
      <w:pPr>
        <w:pStyle w:val="Heading2"/>
        <w:rPr/>
      </w:pPr>
      <w:bookmarkStart w:id="60" w:name="__RefHeading___Toc20020_730630497"/>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FirstParagraph"/>
        <w:rPr/>
      </w:pPr>
      <w:bookmarkStart w:id="69" w:name="Xfb34faa81f8d303ea1b5fa46b3b15873b7555c9"/>
      <w:bookmarkStart w:id="70"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022_730630497"/>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FirstParagraph"/>
        <w:rPr/>
      </w:pPr>
      <w:bookmarkStart w:id="77" w:name="X27f0006f940c23a763f89cc3f723417490f25ae"/>
      <w:bookmarkStart w:id="78"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7"/>
      <w:bookmarkEnd w:id="78"/>
    </w:p>
    <w:p>
      <w:pPr>
        <w:pStyle w:val="Heading2"/>
        <w:rPr/>
      </w:pPr>
      <w:bookmarkStart w:id="79" w:name="__RefHeading___Toc20024_730630497"/>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4"/>
    </w:p>
    <w:p>
      <w:pPr>
        <w:pStyle w:val="Heading3"/>
        <w:rPr/>
      </w:pPr>
      <w:bookmarkStart w:id="85" w:name="ce-que-nous-en-retenons-3"/>
      <w:r>
        <w:rPr/>
        <w:t>1.4.4 Ce que nous en retenons.</w:t>
      </w:r>
    </w:p>
    <w:p>
      <w:pPr>
        <w:pStyle w:val="FirstParagraph"/>
        <w:rPr/>
      </w:pPr>
      <w:bookmarkStart w:id="86" w:name="X9ae88ff3dd35a976078ba2fe427ef8b5284b26c"/>
      <w:bookmarkStart w:id="87"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6"/>
      <w:bookmarkEnd w:id="87"/>
    </w:p>
    <w:p>
      <w:pPr>
        <w:pStyle w:val="Heading2"/>
        <w:rPr/>
      </w:pPr>
      <w:bookmarkStart w:id="88" w:name="__RefHeading___Toc20026_730630497"/>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110_730630497"/>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4">
              <w:r>
                <w:rPr>
                  <w:rStyle w:val="Hyperlink"/>
                  <w:kern w:val="0"/>
                  <w:szCs w:val="24"/>
                  <w:lang w:val="en-US" w:eastAsia="zh-CN" w:bidi="ar-SA"/>
                </w:rPr>
                <w:t>24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40">
              <w:r>
                <w:rPr>
                  <w:rStyle w:val="Hyperlink"/>
                  <w:kern w:val="0"/>
                  <w:szCs w:val="24"/>
                  <w:lang w:val="en-US" w:eastAsia="zh-CN" w:bidi="ar-SA"/>
                </w:rPr>
                <w:t>40</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43">
              <w:r>
                <w:rPr>
                  <w:rStyle w:val="Hyperlink"/>
                  <w:kern w:val="0"/>
                  <w:szCs w:val="24"/>
                  <w:lang w:val="en-US" w:eastAsia="zh-CN" w:bidi="ar-SA"/>
                </w:rPr>
                <w:t>43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9">
              <w:r>
                <w:rPr>
                  <w:rStyle w:val="Hyperlink"/>
                  <w:kern w:val="0"/>
                  <w:szCs w:val="24"/>
                  <w:lang w:val="en-US" w:eastAsia="zh-CN" w:bidi="ar-SA"/>
                </w:rPr>
                <w:t>29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7">
              <w:r>
                <w:rPr>
                  <w:rStyle w:val="Hyperlink"/>
                  <w:kern w:val="0"/>
                  <w:szCs w:val="24"/>
                  <w:lang w:val="en-US" w:eastAsia="zh-CN" w:bidi="ar-SA"/>
                </w:rPr>
                <w:t>27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9">
              <w:r>
                <w:rPr>
                  <w:rStyle w:val="Hyperlink"/>
                  <w:kern w:val="0"/>
                  <w:szCs w:val="24"/>
                  <w:lang w:val="en-US" w:eastAsia="zh-CN" w:bidi="ar-SA"/>
                </w:rPr>
                <w:t>19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14"/>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5"/>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6"/>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7"/>
        </w:numPr>
        <w:rPr/>
      </w:pPr>
      <w:r>
        <w:rPr/>
        <w:t>Nous utilisons les données détaillées d’exécution du budget français, par catégorie de dépense, en données ouvertes.</w:t>
      </w:r>
    </w:p>
    <w:p>
      <w:pPr>
        <w:pStyle w:val="Compact"/>
        <w:numPr>
          <w:ilvl w:val="0"/>
          <w:numId w:val="18"/>
        </w:numPr>
        <w:rPr/>
      </w:pPr>
      <w:bookmarkStart w:id="92" w:name="le-vide-identifié"/>
      <w:r>
        <w:rPr/>
        <w:t>Nous comparons trois indicateurs plus ou moins exposés au risque souverain : le spread, le taux OAT et le CAC 40.</w:t>
      </w:r>
      <w:bookmarkEnd w:id="92"/>
    </w:p>
    <w:p>
      <w:pPr>
        <w:pStyle w:val="Heading3"/>
        <w:rPr/>
      </w:pPr>
      <w:bookmarkStart w:id="93" w:name="problématique-et-hypothèses"/>
      <w:bookmarkEnd w:id="93"/>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9"/>
        </w:numPr>
        <w:rPr/>
      </w:pPr>
      <w:r>
        <w:rPr/>
        <w:t>H1. Pour au moins un des trois indicateurs, un modèle qui intègre les dépenses publiques prévoit mieux qu’un modèle qui n’utilise que les variables de contrôle.</w:t>
      </w:r>
    </w:p>
    <w:p>
      <w:pPr>
        <w:pStyle w:val="Compact"/>
        <w:numPr>
          <w:ilvl w:val="0"/>
          <w:numId w:val="20"/>
        </w:numPr>
        <w:rPr/>
      </w:pPr>
      <w:r>
        <w:rPr/>
        <w:t>H2. L’apport des dépenses diminue du spread au taux OAT, puis au CAC 40, à mesure que l’indicateur est moins exposé au risque souverain.</w:t>
      </w:r>
    </w:p>
    <w:p>
      <w:pPr>
        <w:pStyle w:val="Compact"/>
        <w:numPr>
          <w:ilvl w:val="0"/>
          <w:numId w:val="21"/>
        </w:numPr>
        <w:rPr/>
      </w:pPr>
      <w:r>
        <w:rPr/>
        <w:t>H3. Les modèles de machine learning (forêt aléatoire, XGBoost) prévoient mieux que les modèles linéaires.</w:t>
      </w:r>
    </w:p>
    <w:p>
      <w:pPr>
        <w:pStyle w:val="Compact"/>
        <w:numPr>
          <w:ilvl w:val="0"/>
          <w:numId w:val="22"/>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4" w:name="chapitre-1-état-de-lart"/>
      <w:bookmarkStart w:id="95" w:name="synthèse-et-positionnement-du-mémoire"/>
      <w:bookmarkStart w:id="96" w:name="problématique-et-hypothèses"/>
      <w:bookmarkStart w:id="97" w:name="chapitre-1-état-de-lart"/>
      <w:bookmarkStart w:id="98" w:name="synthèse-et-positionnement-du-mémoire"/>
      <w:bookmarkStart w:id="99" w:name="problématique-et-hypothèses"/>
      <w:bookmarkEnd w:id="97"/>
      <w:bookmarkEnd w:id="98"/>
      <w:bookmarkEnd w:id="99"/>
      <w:r>
        <w:br w:type="page"/>
      </w:r>
    </w:p>
    <w:p>
      <w:pPr>
        <w:pStyle w:val="Heading1"/>
        <w:spacing w:before="0" w:after="240"/>
        <w:rPr/>
      </w:pPr>
      <w:bookmarkStart w:id="100" w:name="__RefHeading___Toc20028_730630497"/>
      <w:bookmarkStart w:id="101" w:name="chapitre-2-données-et-méthodologie"/>
      <w:bookmarkEnd w:id="100"/>
      <w:bookmarkEnd w:id="101"/>
      <w:r>
        <w:rPr/>
        <w:t>Chapitre 2 : Données et méthodologie</w:t>
      </w:r>
    </w:p>
    <w:p>
      <w:pPr>
        <w:pStyle w:val="Heading2"/>
        <w:rPr/>
      </w:pPr>
      <w:bookmarkStart w:id="102" w:name="__RefHeading___Toc20030_730630497"/>
      <w:bookmarkStart w:id="103" w:name="introduction-du-chapitre-1"/>
      <w:bookmarkEnd w:id="102"/>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4" w:name="introduction-du-chapitre-1"/>
      <w:r>
        <w:rPr/>
        <w:t>Chaque tableau et chaque figure de ce mémoire peut être recalculé à partir des fichiers bruts, avec le code que nous avons écrit pour ce travail.</w:t>
      </w:r>
      <w:bookmarkEnd w:id="104"/>
    </w:p>
    <w:p>
      <w:pPr>
        <w:pStyle w:val="Heading2"/>
        <w:rPr/>
      </w:pPr>
      <w:bookmarkStart w:id="105" w:name="__RefHeading___Toc20032_730630497"/>
      <w:bookmarkStart w:id="106" w:name="sources-des-données"/>
      <w:bookmarkEnd w:id="105"/>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7" w:name="__RefHeading___Toc20154_730630497"/>
      <w:bookmarkEnd w:id="107"/>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3"/>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4"/>
        </w:numPr>
        <w:rPr/>
      </w:pPr>
      <w:r>
        <w:rPr/>
        <w:t>Le CAC 40 est un indice de prix, qui ne compte pas les dividendes.</w:t>
      </w:r>
    </w:p>
    <w:p>
      <w:pPr>
        <w:pStyle w:val="Compact"/>
        <w:numPr>
          <w:ilvl w:val="0"/>
          <w:numId w:val="25"/>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6"/>
        </w:numPr>
        <w:rPr/>
      </w:pPr>
      <w:bookmarkStart w:id="108" w:name="sources-des-données"/>
      <w:r>
        <w:rPr/>
        <w:t>Le budget voté pour 2026 n’est pas dans les fichiers ouverts. L’extension qui l’utilise (E4) s’arrête donc en février 2026.</w:t>
      </w:r>
      <w:bookmarkEnd w:id="108"/>
    </w:p>
    <w:p>
      <w:pPr>
        <w:pStyle w:val="Heading2"/>
        <w:rPr/>
      </w:pPr>
      <w:bookmarkStart w:id="109" w:name="__RefHeading___Toc20034_730630497"/>
      <w:bookmarkStart w:id="110" w:name="construction-du-jeu-de-données"/>
      <w:bookmarkEnd w:id="109"/>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11" w:name="des-cumuls-aux-flux-mensuels"/>
      <w:r>
        <w:rPr/>
        <w:t>2.2.1 Des cumuls aux flux mensuels.</w:t>
      </w:r>
    </w:p>
    <w:p>
      <w:pPr>
        <w:pStyle w:val="FirstParagraph"/>
        <w:rPr/>
      </w:pPr>
      <w:bookmarkStart w:id="112"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12"/>
    </w:p>
    <w:p>
      <w:pPr>
        <w:pStyle w:val="Heading3"/>
        <w:rPr/>
      </w:pPr>
      <w:bookmarkStart w:id="113"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7"/>
        </w:numPr>
        <w:rPr/>
      </w:pPr>
      <w:r>
        <w:rPr/>
        <w:t>La somme des 12 derniers mois (en milliards d’euros). Elle donne le niveau annuel, sans effet de saison.</w:t>
      </w:r>
    </w:p>
    <w:p>
      <w:pPr>
        <w:pStyle w:val="Compact"/>
        <w:numPr>
          <w:ilvl w:val="0"/>
          <w:numId w:val="28"/>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4" w:name="neutraliser-la-saisonnalité"/>
      <w:r>
        <w:rPr/>
        <w:t>Nous avons exclu les opérations financières. Ce sont des prises de participation ou des soutiens exceptionnels, très irréguliers, et non une dépense économique courante. Leur écart annuel atteignait -462 %.</w:t>
      </w:r>
      <w:bookmarkEnd w:id="114"/>
    </w:p>
    <w:p>
      <w:pPr>
        <w:pStyle w:val="Heading3"/>
        <w:rPr/>
      </w:pPr>
      <w:bookmarkStart w:id="115"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5"/>
    </w:p>
    <w:p>
      <w:pPr>
        <w:pStyle w:val="Heading3"/>
        <w:rPr/>
      </w:pPr>
      <w:bookmarkStart w:id="116"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7" w:name="__RefHeading___Toc20152_730630497"/>
      <w:bookmarkEnd w:id="117"/>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8" w:name="construction-du-jeu-de-données"/>
      <w:bookmarkStart w:id="119"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8"/>
      <w:bookmarkEnd w:id="119"/>
    </w:p>
    <w:p>
      <w:pPr>
        <w:pStyle w:val="Heading2"/>
        <w:rPr/>
      </w:pPr>
      <w:bookmarkStart w:id="120" w:name="__RefHeading___Toc20036_730630497"/>
      <w:bookmarkStart w:id="121" w:name="variables-cibles-et-stationnarité"/>
      <w:bookmarkEnd w:id="120"/>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2" w:name="__RefHeading___Toc20150_730630497"/>
      <w:bookmarkEnd w:id="122"/>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3"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4" w:name="__RefHeading___Toc20148_730630497"/>
      <w:bookmarkEnd w:id="124"/>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5" w:name="variables-cibles-et-stationnarité"/>
      <w:bookmarkStart w:id="126" w:name="X1f226371d223a388ad860388f2edd529dc4d91f"/>
      <w:r>
        <w:rPr/>
        <w:t>Nous testons aussi une version plus simple dans les extensions : deviner seulement si le spread va monter ou baisser. Sur notre échantillon, il a monté dans 52 % des mois.</w:t>
      </w:r>
      <w:bookmarkEnd w:id="125"/>
      <w:bookmarkEnd w:id="126"/>
    </w:p>
    <w:p>
      <w:pPr>
        <w:pStyle w:val="Heading2"/>
        <w:rPr/>
      </w:pPr>
      <w:bookmarkStart w:id="127" w:name="__RefHeading___Toc20038_730630497"/>
      <w:bookmarkStart w:id="128" w:name="variables-explicatives"/>
      <w:bookmarkEnd w:id="127"/>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9" w:name="__RefHeading___Toc20146_730630497"/>
      <w:bookmarkEnd w:id="129"/>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30"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31" w:name="variables-explicatives"/>
      <w:bookmarkStart w:id="132"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31"/>
      <w:bookmarkEnd w:id="132"/>
    </w:p>
    <w:p>
      <w:pPr>
        <w:pStyle w:val="Heading2"/>
        <w:rPr/>
      </w:pPr>
      <w:bookmarkStart w:id="133" w:name="__RefHeading___Toc20040_730630497"/>
      <w:bookmarkStart w:id="134" w:name="modèles-retenus"/>
      <w:bookmarkEnd w:id="133"/>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5" w:name="__RefHeading___Toc20144_730630497"/>
      <w:bookmarkEnd w:id="135"/>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43">
              <w:r>
                <w:rPr>
                  <w:rStyle w:val="Hyperlink"/>
                  <w:kern w:val="0"/>
                  <w:szCs w:val="24"/>
                  <w:lang w:val="en-US" w:eastAsia="zh-CN" w:bidi="ar-SA"/>
                </w:rPr>
                <w:t>43</w:t>
              </w:r>
            </w:hyperlink>
            <w:r>
              <w:rPr>
                <w:kern w:val="0"/>
                <w:sz w:val="20"/>
                <w:szCs w:val="24"/>
                <w:lang w:val="en-US" w:eastAsia="zh-CN" w:bidi="ar-SA"/>
              </w:rPr>
              <w:t xml:space="preserve">,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 [</w:t>
            </w:r>
            <w:hyperlink w:anchor="ref31">
              <w:r>
                <w:rPr>
                  <w:rStyle w:val="Hyperlink"/>
                  <w:kern w:val="0"/>
                  <w:szCs w:val="24"/>
                  <w:lang w:val="en-US" w:eastAsia="zh-CN" w:bidi="ar-SA"/>
                </w:rPr>
                <w:t>31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7">
              <w:r>
                <w:rPr>
                  <w:rStyle w:val="Hyperlink"/>
                  <w:kern w:val="0"/>
                  <w:szCs w:val="24"/>
                  <w:lang w:val="en-US" w:eastAsia="zh-CN" w:bidi="ar-SA"/>
                </w:rPr>
                <w:t>37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8">
              <w:r>
                <w:rPr>
                  <w:rStyle w:val="Hyperlink"/>
                  <w:kern w:val="0"/>
                  <w:szCs w:val="24"/>
                  <w:lang w:val="en-US" w:eastAsia="zh-CN" w:bidi="ar-SA"/>
                </w:rPr>
                <w:t>18</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6"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9"/>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30"/>
        </w:numPr>
        <w:rPr/>
      </w:pPr>
      <w:r>
        <w:rPr/>
        <w:t>Forêt aléatoire : 300 arbres, profondeur maximale 4, au moins 5 observations par feuille, 50 % des variables tirées à chaque division.</w:t>
      </w:r>
    </w:p>
    <w:p>
      <w:pPr>
        <w:pStyle w:val="Compact"/>
        <w:numPr>
          <w:ilvl w:val="0"/>
          <w:numId w:val="31"/>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7" w:name="modèles-retenus"/>
      <w:bookmarkStart w:id="138"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7"/>
      <w:bookmarkEnd w:id="138"/>
    </w:p>
    <w:p>
      <w:pPr>
        <w:pStyle w:val="Heading2"/>
        <w:rPr/>
      </w:pPr>
      <w:bookmarkStart w:id="139" w:name="__RefHeading___Toc20042_730630497"/>
      <w:bookmarkStart w:id="140" w:name="protocole-dévaluation"/>
      <w:bookmarkEnd w:id="139"/>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1"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2"/>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42"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2"/>
    </w:p>
    <w:p>
      <w:pPr>
        <w:pStyle w:val="Heading3"/>
        <w:rPr/>
      </w:pPr>
      <w:bookmarkStart w:id="143" w:name="mesures-de-performance"/>
      <w:r>
        <w:rPr/>
        <w:t>2.6.2 Mesures de performance.</w:t>
      </w:r>
    </w:p>
    <w:p>
      <w:pPr>
        <w:pStyle w:val="CaptionTable"/>
        <w:keepNext w:val="true"/>
        <w:spacing w:lineRule="auto" w:line="240" w:before="120" w:after="80"/>
        <w:jc w:val="left"/>
        <w:rPr/>
      </w:pPr>
      <w:bookmarkStart w:id="144" w:name="__RefHeading___Toc20142_730630497"/>
      <w:bookmarkEnd w:id="144"/>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3"/>
    </w:p>
    <w:p>
      <w:pPr>
        <w:pStyle w:val="Heading3"/>
        <w:rPr/>
      </w:pPr>
      <w:bookmarkStart w:id="145"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3"/>
        </w:numPr>
        <w:rPr/>
      </w:pPr>
      <w:r>
        <w:rPr/>
        <w:t>M1 contre M0 pour chaque modèle (test de l’hypothèse H1) ;</w:t>
      </w:r>
    </w:p>
    <w:p>
      <w:pPr>
        <w:pStyle w:val="Compact"/>
        <w:numPr>
          <w:ilvl w:val="0"/>
          <w:numId w:val="34"/>
        </w:numPr>
        <w:rPr/>
      </w:pPr>
      <w:r>
        <w:rPr/>
        <w:t>chaque modèle contre la prévision « variation nulle » ;</w:t>
      </w:r>
    </w:p>
    <w:p>
      <w:pPr>
        <w:pStyle w:val="Compact"/>
        <w:numPr>
          <w:ilvl w:val="0"/>
          <w:numId w:val="35"/>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5"/>
    </w:p>
    <w:p>
      <w:pPr>
        <w:pStyle w:val="Heading3"/>
        <w:rPr/>
      </w:pPr>
      <w:bookmarkStart w:id="146"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6"/>
    </w:p>
    <w:p>
      <w:pPr>
        <w:pStyle w:val="Heading3"/>
        <w:rPr/>
      </w:pPr>
      <w:bookmarkStart w:id="147"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6"/>
        </w:numPr>
        <w:rPr/>
      </w:pPr>
      <w:r>
        <w:rPr/>
        <w:t>Graine aléatoire : la forêt aléatoire et XGBoost sont réestimés avec 5 et 10 graines différentes.</w:t>
      </w:r>
    </w:p>
    <w:p>
      <w:pPr>
        <w:pStyle w:val="Compact"/>
        <w:numPr>
          <w:ilvl w:val="0"/>
          <w:numId w:val="37"/>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8"/>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9"/>
        </w:numPr>
        <w:rPr/>
      </w:pPr>
      <w:r>
        <w:rPr/>
        <w:t>Décalage de publication : les modèles principaux sont relancés avec un décalage budgétaire de 1 et de 3 mois au lieu de 2.</w:t>
      </w:r>
    </w:p>
    <w:p>
      <w:pPr>
        <w:pStyle w:val="Compact"/>
        <w:numPr>
          <w:ilvl w:val="0"/>
          <w:numId w:val="40"/>
        </w:numPr>
        <w:rPr/>
      </w:pPr>
      <w:bookmarkStart w:id="148" w:name="protocole-dévaluation"/>
      <w:bookmarkStart w:id="149" w:name="contrôles-de-solidité"/>
      <w:r>
        <w:rPr/>
        <w:t>Importance par permutation hors échantillon : sur la période de test, on mélange au hasard les valeurs d’un groupe de variables et on mesure la hausse de l’erreur, avec Ridge et XGBoost.</w:t>
      </w:r>
      <w:bookmarkEnd w:id="148"/>
      <w:bookmarkEnd w:id="149"/>
    </w:p>
    <w:p>
      <w:pPr>
        <w:pStyle w:val="Heading2"/>
        <w:rPr/>
      </w:pPr>
      <w:bookmarkStart w:id="150" w:name="__RefHeading___Toc20044_730630497"/>
      <w:bookmarkStart w:id="151" w:name="X2874266e848e71ac1567061d5b746f8fddf42e0"/>
      <w:bookmarkEnd w:id="150"/>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52" w:name="__RefHeading___Toc20140_730630497"/>
      <w:bookmarkEnd w:id="15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 ; évaluation par le score de Brier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40">
              <w:r>
                <w:rPr>
                  <w:rStyle w:val="Hyperlink"/>
                  <w:kern w:val="0"/>
                  <w:szCs w:val="24"/>
                  <w:lang w:val="en-US" w:eastAsia="zh-CN" w:bidi="ar-SA"/>
                </w:rPr>
                <w:t>40</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 [</w:t>
            </w:r>
            <w:hyperlink w:anchor="ref42">
              <w:r>
                <w:rPr>
                  <w:rStyle w:val="Hyperlink"/>
                  <w:kern w:val="0"/>
                  <w:szCs w:val="24"/>
                  <w:lang w:val="en-US" w:eastAsia="zh-CN" w:bidi="ar-SA"/>
                </w:rPr>
                <w:t>42</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 [</w:t>
            </w:r>
            <w:hyperlink w:anchor="ref45">
              <w:r>
                <w:rPr>
                  <w:rStyle w:val="Hyperlink"/>
                  <w:kern w:val="0"/>
                  <w:szCs w:val="24"/>
                  <w:lang w:val="en-US" w:eastAsia="zh-CN" w:bidi="ar-SA"/>
                </w:rPr>
                <w:t>45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 [</w:t>
            </w:r>
            <w:hyperlink w:anchor="ref39">
              <w:r>
                <w:rPr>
                  <w:rStyle w:val="Hyperlink"/>
                  <w:kern w:val="0"/>
                  <w:szCs w:val="24"/>
                  <w:lang w:val="en-US" w:eastAsia="zh-CN" w:bidi="ar-SA"/>
                </w:rPr>
                <w:t>39</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3"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4" w:name="X2874266e848e71ac1567061d5b746f8fddf42e0"/>
      <w:bookmarkStart w:id="15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4"/>
      <w:bookmarkEnd w:id="155"/>
    </w:p>
    <w:p>
      <w:pPr>
        <w:pStyle w:val="Heading2"/>
        <w:rPr/>
      </w:pPr>
      <w:bookmarkStart w:id="156" w:name="__RefHeading___Toc20046_730630497"/>
      <w:bookmarkStart w:id="157" w:name="considérations-éthiques"/>
      <w:bookmarkEnd w:id="156"/>
      <w:bookmarkEnd w:id="157"/>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58" w:name="chapitre-2-données-et-méthodologie"/>
      <w:bookmarkStart w:id="159" w:name="considérations-éthiques"/>
      <w:bookmarkStart w:id="160" w:name="chapitre-2-données-et-méthodologie"/>
      <w:bookmarkStart w:id="161" w:name="considérations-éthiques"/>
      <w:bookmarkEnd w:id="160"/>
      <w:bookmarkEnd w:id="161"/>
      <w:r>
        <w:br w:type="page"/>
      </w:r>
    </w:p>
    <w:p>
      <w:pPr>
        <w:pStyle w:val="Heading1"/>
        <w:spacing w:before="0" w:after="240"/>
        <w:rPr/>
      </w:pPr>
      <w:bookmarkStart w:id="162" w:name="__RefHeading___Toc20048_730630497"/>
      <w:bookmarkStart w:id="163" w:name="chapitre-3-résultats"/>
      <w:bookmarkEnd w:id="162"/>
      <w:bookmarkEnd w:id="163"/>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4" w:name="__RefHeading___Toc20050_730630497"/>
      <w:bookmarkStart w:id="165" w:name="statistiques-descriptives"/>
      <w:bookmarkEnd w:id="16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6" w:name="__RefHeading___Toc20138_730630497"/>
      <w:bookmarkEnd w:id="166"/>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7" w:name="__RefHeading___Toc20156_730630497"/>
      <w:bookmarkEnd w:id="167"/>
      <w:r>
        <w:rPr>
          <w:b/>
          <w:bCs/>
          <w:sz w:val="22"/>
        </w:rPr>
        <w:t>Figure 3.1 : Distribution des trois cibles</w:t>
      </w:r>
    </w:p>
    <w:p>
      <w:pPr>
        <w:pStyle w:val="BodyText"/>
        <w:keepNext w:val="false"/>
        <w:spacing w:lineRule="auto" w:line="240" w:before="40" w:after="240"/>
        <w:jc w:val="left"/>
        <w:rPr/>
      </w:pPr>
      <w:bookmarkStart w:id="168" w:name="statistiques-descriptives"/>
      <w:r>
        <w:rPr>
          <w:i/>
          <w:iCs/>
          <w:sz w:val="20"/>
        </w:rPr>
        <w:t>Source : calculs de l’auteur.</w:t>
      </w:r>
      <w:bookmarkEnd w:id="168"/>
    </w:p>
    <w:p>
      <w:pPr>
        <w:pStyle w:val="Heading2"/>
        <w:rPr/>
      </w:pPr>
      <w:bookmarkStart w:id="169" w:name="__RefHeading___Toc20052_730630497"/>
      <w:bookmarkStart w:id="170" w:name="modèles-principaux"/>
      <w:bookmarkEnd w:id="169"/>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1" w:name="__RefHeading___Toc20136_730630497"/>
      <w:bookmarkEnd w:id="171"/>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2" w:name="__RefHeading___Toc20134_730630497"/>
      <w:bookmarkEnd w:id="172"/>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3" w:name="__RefHeading___Toc20162_730630497"/>
      <w:bookmarkEnd w:id="173"/>
      <w:r>
        <w:rPr>
          <w:b/>
          <w:bCs/>
          <w:sz w:val="22"/>
        </w:rPr>
        <w:t>Figure 3.2 : RMSE relatif à la moyenne historique</w:t>
      </w:r>
    </w:p>
    <w:p>
      <w:pPr>
        <w:pStyle w:val="BodyText"/>
        <w:keepNext w:val="false"/>
        <w:spacing w:lineRule="auto" w:line="240" w:before="40" w:after="240"/>
        <w:jc w:val="left"/>
        <w:rPr/>
      </w:pPr>
      <w:bookmarkStart w:id="174" w:name="modèles-principaux"/>
      <w:r>
        <w:rPr>
          <w:i/>
          <w:iCs/>
          <w:sz w:val="20"/>
        </w:rPr>
        <w:t>Source : calculs de l’auteur.</w:t>
      </w:r>
      <w:bookmarkEnd w:id="174"/>
    </w:p>
    <w:p>
      <w:pPr>
        <w:pStyle w:val="Heading2"/>
        <w:rPr/>
      </w:pPr>
      <w:bookmarkStart w:id="175" w:name="__RefHeading___Toc20054_730630497"/>
      <w:bookmarkStart w:id="176" w:name="solidité-des-résultats"/>
      <w:bookmarkEnd w:id="175"/>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7" w:name="__RefHeading___Toc20132_730630497"/>
      <w:bookmarkEnd w:id="17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8" w:name="solidité-des-résultats"/>
      <w:r>
        <w:rPr>
          <w:i/>
          <w:iCs/>
          <w:sz w:val="20"/>
        </w:rPr>
        <w:t>Source : calculs de l’auteur. Le détail des tirages est en annexe.</w:t>
      </w:r>
      <w:bookmarkEnd w:id="178"/>
    </w:p>
    <w:p>
      <w:pPr>
        <w:pStyle w:val="Heading2"/>
        <w:rPr/>
      </w:pPr>
      <w:bookmarkStart w:id="179" w:name="__RefHeading___Toc20056_730630497"/>
      <w:bookmarkStart w:id="180" w:name="importance-des-variables-1"/>
      <w:bookmarkEnd w:id="179"/>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81" w:name="__RefHeading___Toc20130_730630497"/>
      <w:bookmarkEnd w:id="181"/>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2" w:name="__RefHeading___Toc20160_730630497"/>
      <w:bookmarkEnd w:id="182"/>
      <w:r>
        <w:rPr>
          <w:b/>
          <w:bCs/>
          <w:sz w:val="22"/>
        </w:rPr>
        <w:t>Figure 3.3 : Importance SHAP des variables</w:t>
      </w:r>
    </w:p>
    <w:p>
      <w:pPr>
        <w:pStyle w:val="BodyText"/>
        <w:keepNext w:val="false"/>
        <w:spacing w:lineRule="auto" w:line="240" w:before="40" w:after="240"/>
        <w:jc w:val="left"/>
        <w:rPr/>
      </w:pPr>
      <w:bookmarkStart w:id="183" w:name="importance-des-variables-1"/>
      <w:r>
        <w:rPr>
          <w:i/>
          <w:iCs/>
          <w:sz w:val="20"/>
        </w:rPr>
        <w:t>Source : calculs de l’auteur.</w:t>
      </w:r>
      <w:bookmarkEnd w:id="183"/>
    </w:p>
    <w:p>
      <w:pPr>
        <w:pStyle w:val="Heading2"/>
        <w:rPr/>
      </w:pPr>
      <w:bookmarkStart w:id="184" w:name="__RefHeading___Toc20058_730630497"/>
      <w:bookmarkStart w:id="185" w:name="extensions-sur-les-données-françaises"/>
      <w:bookmarkEnd w:id="184"/>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6" w:name="__RefHeading___Toc20128_730630497"/>
      <w:bookmarkEnd w:id="186"/>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7" w:name="__RefHeading___Toc20158_730630497"/>
      <w:bookmarkEnd w:id="187"/>
      <w:r>
        <w:rPr>
          <w:b/>
          <w:bCs/>
          <w:sz w:val="22"/>
        </w:rPr>
        <w:t>Figure 3.4 : Synthèse des extensions</w:t>
      </w:r>
    </w:p>
    <w:p>
      <w:pPr>
        <w:pStyle w:val="BodyText"/>
        <w:keepNext w:val="false"/>
        <w:spacing w:lineRule="auto" w:line="240" w:before="40" w:after="240"/>
        <w:jc w:val="left"/>
        <w:rPr/>
      </w:pPr>
      <w:bookmarkStart w:id="188" w:name="extensions-sur-les-données-françaises"/>
      <w:r>
        <w:rPr>
          <w:i/>
          <w:iCs/>
          <w:sz w:val="20"/>
        </w:rPr>
        <w:t>Source : calculs de l’auteur.</w:t>
      </w:r>
      <w:bookmarkEnd w:id="188"/>
    </w:p>
    <w:p>
      <w:pPr>
        <w:pStyle w:val="Heading2"/>
        <w:rPr/>
      </w:pPr>
      <w:bookmarkStart w:id="189" w:name="__RefHeading___Toc20060_730630497"/>
      <w:bookmarkStart w:id="190" w:name="X98da76a2dfe6287c3d8c5b97d63fcea983b716d"/>
      <w:bookmarkEnd w:id="189"/>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91" w:name="__RefHeading___Toc20126_730630497"/>
      <w:bookmarkEnd w:id="191"/>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92"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92"/>
    </w:p>
    <w:p>
      <w:pPr>
        <w:pStyle w:val="Heading2"/>
        <w:rPr/>
      </w:pPr>
      <w:bookmarkStart w:id="193" w:name="__RefHeading___Toc20062_730630497"/>
      <w:bookmarkStart w:id="194" w:name="synthèse-état-des-hypothèses"/>
      <w:bookmarkEnd w:id="193"/>
      <w:bookmarkEnd w:id="194"/>
      <w:r>
        <w:rPr/>
        <w:t>3.7 Synthèse : état des hypothèses</w:t>
      </w:r>
    </w:p>
    <w:p>
      <w:pPr>
        <w:pStyle w:val="CaptionTable"/>
        <w:keepNext w:val="true"/>
        <w:spacing w:lineRule="auto" w:line="240" w:before="120" w:after="80"/>
        <w:jc w:val="left"/>
        <w:rPr/>
      </w:pPr>
      <w:bookmarkStart w:id="195" w:name="__RefHeading___Toc20124_730630497"/>
      <w:bookmarkEnd w:id="195"/>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6" w:name="chapitre-3-résultats"/>
      <w:bookmarkStart w:id="197" w:name="synthèse-état-des-hypothèses"/>
      <w:bookmarkStart w:id="198" w:name="chapitre-3-résultats"/>
      <w:bookmarkStart w:id="199" w:name="synthèse-état-des-hypothèses"/>
      <w:bookmarkEnd w:id="198"/>
      <w:bookmarkEnd w:id="199"/>
      <w:r>
        <w:br w:type="page"/>
      </w:r>
    </w:p>
    <w:p>
      <w:pPr>
        <w:pStyle w:val="Heading1"/>
        <w:spacing w:before="0" w:after="240"/>
        <w:rPr/>
      </w:pPr>
      <w:bookmarkStart w:id="200" w:name="__RefHeading___Toc20064_730630497"/>
      <w:bookmarkStart w:id="201" w:name="chapitre-4-discussion"/>
      <w:bookmarkEnd w:id="200"/>
      <w:bookmarkEnd w:id="201"/>
      <w:r>
        <w:rPr/>
        <w:t>Chapitre 4 : Discussion</w:t>
      </w:r>
    </w:p>
    <w:p>
      <w:pPr>
        <w:pStyle w:val="BlockText"/>
        <w:rPr/>
      </w:pPr>
      <w:r>
        <w:rPr/>
        <w:t>Statut : version du 2/10, à relire et reformuler par l’auteur. Chiffres et références vérifiés.</w:t>
      </w:r>
    </w:p>
    <w:p>
      <w:pPr>
        <w:pStyle w:val="Heading2"/>
        <w:rPr/>
      </w:pPr>
      <w:bookmarkStart w:id="202" w:name="__RefHeading___Toc20066_730630497"/>
      <w:bookmarkStart w:id="203" w:name="réponse-à-la-problématique"/>
      <w:bookmarkEnd w:id="202"/>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Ce que cela veut dire demande de la précision.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203"/>
    </w:p>
    <w:p>
      <w:pPr>
        <w:pStyle w:val="Heading2"/>
        <w:rPr/>
      </w:pPr>
      <w:bookmarkStart w:id="204" w:name="__RefHeading___Toc20068_730630497"/>
      <w:bookmarkStart w:id="205" w:name="Xa3067380fc7bd576b8b1c854ef4e984f69f7e19"/>
      <w:bookmarkEnd w:id="204"/>
      <w:r>
        <w:rPr/>
        <w:t>4.2 Pourquoi les dépenses n’aident pas : des pistes</w:t>
      </w:r>
    </w:p>
    <w:p>
      <w:pPr>
        <w:pStyle w:val="FirstParagraph"/>
        <w:rPr/>
      </w:pPr>
      <w:r>
        <w:rPr/>
        <w:t>Voici plusieurs explications possibles. Elles peuvent se cumuler, et aucune n’est démontrée par nos tests. Nous indiquons à chaque fois ce qui les appuie et ce qui les limite.</w:t>
      </w:r>
    </w:p>
    <w:p>
      <w:pPr>
        <w:pStyle w:val="Heading3"/>
        <w:rPr/>
      </w:pPr>
      <w:bookmarkStart w:id="206"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3">
        <w:r>
          <w:rPr>
            <w:rStyle w:val="Hyperlink"/>
          </w:rPr>
          <w:t>23</w:t>
        </w:r>
      </w:hyperlink>
      <w:r>
        <w:rPr/>
        <w:t>]. Ramey [</w:t>
      </w:r>
      <w:hyperlink w:anchor="ref40">
        <w:r>
          <w:rPr>
            <w:rStyle w:val="Hyperlink"/>
          </w:rPr>
          <w:t>40</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r>
        <w:rPr/>
        <w:t>Une vérification préliminaire, de type étude d’événement [</w:t>
      </w:r>
      <w:hyperlink w:anchor="ref35">
        <w:r>
          <w:rPr>
            <w:rStyle w:val="Hyperlink"/>
          </w:rPr>
          <w:t>35</w:t>
        </w:r>
      </w:hyperlink>
      <w:r>
        <w:rPr/>
        <w:t>], va dans ce sens sans le démontrer. Sur les 40 publications que nous avons pu dater (2017-2026), le CAC 40 ne réagit pas le jour de la publication à la variation du solde publiée (corrélation de -0,13, p = 0,42, section 3.5 et annexe F). Elle ne porte pas sur le spread, faute de taux quotidiens accessibles, et n’aurait détecté qu’une réaction forte avec si peu d’événements. Pour aller plus loin, il faudrait observer le spread lui-même le jour de chaque publication (sections 4.7 et 4.8).</w:t>
      </w:r>
      <w:bookmarkEnd w:id="206"/>
    </w:p>
    <w:p>
      <w:pPr>
        <w:pStyle w:val="Heading3"/>
        <w:rPr/>
      </w:pPr>
      <w:bookmarkStart w:id="207" w:name="X57f8577d700eaa38cd6c624300c66f71b06c5e6"/>
      <w:r>
        <w:rPr/>
        <w:t>Ce qui fait bouger le spread n’est pas budgétaire.</w:t>
      </w:r>
    </w:p>
    <w:p>
      <w:pPr>
        <w:pStyle w:val="FirstParagraph"/>
        <w:rPr/>
      </w:pPr>
      <w:bookmarkStart w:id="208"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208"/>
    </w:p>
    <w:p>
      <w:pPr>
        <w:pStyle w:val="Heading3"/>
        <w:rPr/>
      </w:pPr>
      <w:bookmarkStart w:id="209" w:name="Xd9239f9ae5480dd396e765533230ced2f006468"/>
      <w:r>
        <w:rPr/>
        <w:t>Le retard de publication n’explique pas à lui seul le résultat.</w:t>
      </w:r>
    </w:p>
    <w:p>
      <w:pPr>
        <w:pStyle w:val="FirstParagraph"/>
        <w:rPr/>
      </w:pPr>
      <w:bookmarkStart w:id="210" w:name="Xd9239f9ae5480dd396e765533230ced2f006468"/>
      <w:r>
        <w:rPr/>
        <w:t>On pourrait penser que les dépenses n’aident pas parce que l’information arrive trop tard, deux mois après les faits. Notre test avec un décalage d’un mois, plus favorable aux dépenses, donne pourtant le même résultat : aucun R² n’est positif (le meilleur vaut -0,7 %) et la plus petite p-value corrigée est de 0,81 (section 3.3). Avec trois mois, la plus petite p-value corrigée est de 0,51 et aucun R² n’est positif non plus. Le problème ne vient donc pas de la fraîcheur des chiffres.</w:t>
      </w:r>
      <w:bookmarkEnd w:id="210"/>
    </w:p>
    <w:p>
      <w:pPr>
        <w:pStyle w:val="Heading3"/>
        <w:rPr/>
      </w:pPr>
      <w:bookmarkStart w:id="211" w:name="le-sens-de-leffet-nest-pas-évident"/>
      <w:r>
        <w:rPr/>
        <w:t>Le sens de l’effet n’est pas évident.</w:t>
      </w:r>
    </w:p>
    <w:p>
      <w:pPr>
        <w:pStyle w:val="FirstParagraph"/>
        <w:rPr/>
      </w:pPr>
      <w:r>
        <w:rPr/>
        <w:t>La théorie ne dit pas dans quel sens les dépenses devraient jouer. Une hausse financée par l’emprunt peut faire monter les taux (vision keynésienne), ou n’avoir aucun effet si les ménages anticipent les impôts futurs, selon l’équivalence ricardienne de Barro [</w:t>
      </w:r>
      <w:hyperlink w:anchor="ref8">
        <w:r>
          <w:rPr>
            <w:rStyle w:val="Hyperlink"/>
          </w:rPr>
          <w:t>8</w:t>
        </w:r>
      </w:hyperlink>
      <w:r>
        <w:rPr/>
        <w:t>], comme le rappelle la section 1.1.1. Si l’effet change de signe selon les périodes, il se compense dans un modèle estimé sur toute la période. Nous avons essayé de tenir compte de cela avec des interactions selon le régime de taux (E5) et selon les périodes de tension (E18). Elles n’améliorent pas la prévision, mais cela ne prouve pas que l’effet n’existe dans aucun régime, car chaque sous-période contient peu de mois.</w:t>
      </w:r>
      <w:bookmarkEnd w:id="211"/>
    </w:p>
    <w:p>
      <w:pPr>
        <w:pStyle w:val="Heading3"/>
        <w:rPr/>
      </w:pPr>
      <w:bookmarkStart w:id="212"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Il n’y a pas de contradiction : ces études expliquent le niveau des spreads, en panel et souvent en période de crise, alors que nous essayons de prévoir la variation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205"/>
      <w:bookmarkEnd w:id="212"/>
    </w:p>
    <w:p>
      <w:pPr>
        <w:pStyle w:val="Heading2"/>
        <w:rPr/>
      </w:pPr>
      <w:bookmarkStart w:id="213" w:name="__RefHeading___Toc20070_730630497"/>
      <w:bookmarkStart w:id="214" w:name="X4f24273c89b93f863aba17af74a867268801037"/>
      <w:bookmarkEnd w:id="213"/>
      <w:r>
        <w:rPr/>
        <w:t>4.3 Ce que le résultat négatif veut dire, et ce qu’il ne veut pas dire</w:t>
      </w:r>
    </w:p>
    <w:p>
      <w:pPr>
        <w:pStyle w:val="FirstParagraph"/>
        <w:rPr/>
      </w:pPr>
      <w:r>
        <w:rPr/>
        <w:t>Un résultat négatif n’a de valeur que si l’on sait ce que le test aurait pu détecter. Quatre éléments permettent d’en juger.</w:t>
      </w:r>
    </w:p>
    <w:p>
      <w:pPr>
        <w:pStyle w:val="Heading3"/>
        <w:rPr/>
      </w:pPr>
      <w:bookmarkStart w:id="215" w:name="la-puissance-du-test"/>
      <w:r>
        <w:rPr/>
        <w:t>La puissance du test.</w:t>
      </w:r>
    </w:p>
    <w:p>
      <w:pPr>
        <w:pStyle w:val="FirstParagraph"/>
        <w:rPr/>
      </w:pPr>
      <w:bookmarkStart w:id="216"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16"/>
    </w:p>
    <w:p>
      <w:pPr>
        <w:pStyle w:val="Heading3"/>
        <w:rPr/>
      </w:pPr>
      <w:bookmarkStart w:id="217" w:name="plus-de-données-suffiraient-elles"/>
      <w:r>
        <w:rPr/>
        <w:t>Plus de données suffiraient-elles ?</w:t>
      </w:r>
    </w:p>
    <w:p>
      <w:pPr>
        <w:pStyle w:val="FirstParagraph"/>
        <w:rPr/>
      </w:pPr>
      <w:bookmarkStart w:id="218" w:name="plus-de-données-suffiraient-elles"/>
      <w:r>
        <w:rPr/>
        <w:t>On pourrait croire qu’il suffit d’ajouter des données. Nos panels vont plutôt à l’encontre de cette idée. E15 compte 330 prévisions trimestrielles. E16 en compte 874, avec 150 variables dont 18 de finances publiques, et les finances publiques n’améliorent aucune prévision (p de 0,08 à 0,81). Davantage de données augmenterait la puissance, c’est-à-dire la capacité à repérer un effet plus faible, mais rien n’indique qu’elles feraient apparaître un fort pouvoir prédictif que nous n’avons pas trouvé dans celles dont nous disposons.</w:t>
      </w:r>
      <w:bookmarkEnd w:id="218"/>
    </w:p>
    <w:p>
      <w:pPr>
        <w:pStyle w:val="Heading3"/>
        <w:rPr/>
      </w:pPr>
      <w:bookmarkStart w:id="219" w:name="le-contrôle-négatif"/>
      <w:r>
        <w:rPr/>
        <w:t>Le contrôle négatif.</w:t>
      </w:r>
    </w:p>
    <w:p>
      <w:pPr>
        <w:pStyle w:val="FirstParagraph"/>
        <w:rPr/>
      </w:pPr>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 et ces mesures peuvent être biaisées dans les forêts aléatoires [</w:t>
      </w:r>
      <w:hyperlink w:anchor="ref41">
        <w:r>
          <w:rPr>
            <w:rStyle w:val="Hyperlink"/>
          </w:rPr>
          <w:t>41</w:t>
        </w:r>
      </w:hyperlink>
      <w:r>
        <w:rPr/>
        <w:t>].</w:t>
      </w:r>
      <w:bookmarkEnd w:id="219"/>
    </w:p>
    <w:p>
      <w:pPr>
        <w:pStyle w:val="Heading3"/>
        <w:rPr/>
      </w:pPr>
      <w:bookmarkStart w:id="220"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44">
        <w:r>
          <w:rPr>
            <w:rStyle w:val="Hyperlink"/>
          </w:rPr>
          <w:t>44</w:t>
        </w:r>
      </w:hyperlink>
      <w:r>
        <w:rPr/>
        <w:t>] ; avec le spread de fin de trimestre, il devient négatif. Un bon score ne suffit donc pas : il faut le comparer à une référence simple et à du bruit, et vérifier que la cible ne contient pas de régularité mécanique.</w:t>
      </w:r>
      <w:bookmarkEnd w:id="214"/>
      <w:bookmarkEnd w:id="220"/>
    </w:p>
    <w:p>
      <w:pPr>
        <w:pStyle w:val="Heading2"/>
        <w:rPr/>
      </w:pPr>
      <w:bookmarkStart w:id="221" w:name="__RefHeading___Toc20072_730630497"/>
      <w:bookmarkStart w:id="222" w:name="retour-sur-les-modèles"/>
      <w:bookmarkEnd w:id="221"/>
      <w:r>
        <w:rPr/>
        <w:t>4.4 Retour sur les modèles</w:t>
      </w:r>
    </w:p>
    <w:p>
      <w:pPr>
        <w:pStyle w:val="Heading3"/>
        <w:rPr/>
      </w:pPr>
      <w:bookmarkStart w:id="223" w:name="Xb75d7f737b711701be77f04909b70a2e4ee2040"/>
      <w:r>
        <w:rPr/>
        <w:t>Les arbres ne font pas mieux que Ridge (H3).</w:t>
      </w:r>
    </w:p>
    <w:p>
      <w:pPr>
        <w:pStyle w:val="FirstParagraph"/>
        <w:rPr/>
      </w:pPr>
      <w:r>
        <w:rPr/>
        <w:t>On pouvait espérer que le machine learning trouve des relations non linéaires. Ce n’est pas le cas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23"/>
    </w:p>
    <w:p>
      <w:pPr>
        <w:pStyle w:val="Heading3"/>
        <w:rPr/>
      </w:pPr>
      <w:bookmarkStart w:id="224" w:name="X56eca9362d9a103f13f04ab7928f8f1e9156403"/>
      <w:r>
        <w:rPr/>
        <w:t>L’importance des variables ne dit rien ici (H4).</w:t>
      </w:r>
    </w:p>
    <w:p>
      <w:pPr>
        <w:pStyle w:val="FirstParagraph"/>
        <w:rPr/>
      </w:pPr>
      <w:bookmarkStart w:id="225"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25"/>
    </w:p>
    <w:p>
      <w:pPr>
        <w:pStyle w:val="Heading3"/>
        <w:rPr/>
      </w:pPr>
      <w:bookmarkStart w:id="226"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2">
        <w:r>
          <w:rPr>
            <w:rStyle w:val="Hyperlink"/>
          </w:rPr>
          <w:t>22</w:t>
        </w:r>
      </w:hyperlink>
      <w:r>
        <w:rPr/>
        <w:t>]. Ce qui se prévoit un peu semble donc venir des marchés eux-mêmes plus que du budget.</w:t>
      </w:r>
      <w:bookmarkEnd w:id="222"/>
      <w:bookmarkEnd w:id="226"/>
    </w:p>
    <w:p>
      <w:pPr>
        <w:pStyle w:val="Heading2"/>
        <w:rPr/>
      </w:pPr>
      <w:bookmarkStart w:id="227" w:name="__RefHeading___Toc20074_730630497"/>
      <w:bookmarkStart w:id="228" w:name="comparaison-avec-la-littérature"/>
      <w:bookmarkEnd w:id="227"/>
      <w:r>
        <w:rPr/>
        <w:t>4.5 Comparaison avec la littérature</w:t>
      </w:r>
    </w:p>
    <w:p>
      <w:pPr>
        <w:pStyle w:val="Heading3"/>
        <w:rPr/>
      </w:pPr>
      <w:bookmarkStart w:id="229"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contraires aux leurs, mais ils ne mesurent pas la même chose. Ces auteurs prévoient le niveau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30"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30"/>
    </w:p>
    <w:p>
      <w:pPr>
        <w:pStyle w:val="Heading3"/>
        <w:rPr/>
      </w:pPr>
      <w:bookmarkStart w:id="231"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31"/>
    </w:p>
    <w:p>
      <w:pPr>
        <w:pStyle w:val="Heading3"/>
        <w:rPr/>
      </w:pPr>
      <w:bookmarkStart w:id="232"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28"/>
      <w:bookmarkEnd w:id="232"/>
    </w:p>
    <w:p>
      <w:pPr>
        <w:pStyle w:val="Heading2"/>
        <w:rPr/>
      </w:pPr>
      <w:bookmarkStart w:id="233" w:name="__RefHeading___Toc20076_730630497"/>
      <w:bookmarkStart w:id="234" w:name="implications"/>
      <w:bookmarkEnd w:id="233"/>
      <w:r>
        <w:rPr/>
        <w:t>4.6 Implications</w:t>
      </w:r>
    </w:p>
    <w:p>
      <w:pPr>
        <w:pStyle w:val="FirstParagraph"/>
        <w:rPr/>
      </w:pPr>
      <w:r>
        <w:rPr/>
        <w:t>Pour la recherche.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t>Pour les investisseurs.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bookmarkStart w:id="235" w:name="implications"/>
      <w:r>
        <w:rPr/>
        <w:t>Pour les producteurs de données ouvertes. Un calendrier de publication archivé et la conservation des versions successives des chiffres permettraient de travailler avec l’information réellement disponible à chaque date.</w:t>
      </w:r>
      <w:bookmarkEnd w:id="235"/>
    </w:p>
    <w:p>
      <w:pPr>
        <w:pStyle w:val="Heading2"/>
        <w:rPr/>
      </w:pPr>
      <w:bookmarkStart w:id="236" w:name="__RefHeading___Toc20078_730630497"/>
      <w:bookmarkStart w:id="237" w:name="limites"/>
      <w:bookmarkEnd w:id="236"/>
      <w:r>
        <w:rPr/>
        <w:t>4.7 Limites</w:t>
      </w:r>
    </w:p>
    <w:p>
      <w:pPr>
        <w:pStyle w:val="Compact"/>
        <w:numPr>
          <w:ilvl w:val="0"/>
          <w:numId w:val="41"/>
        </w:numPr>
        <w:rPr/>
      </w:pPr>
      <w:r>
        <w:rPr/>
        <w:t>Données révisées. Nous utilisons la dernière version publiée des situations budgétaires, pas les chiffres connus à chaque date (ceux de décembre sont d’abord provisoires).</w:t>
      </w:r>
    </w:p>
    <w:p>
      <w:pPr>
        <w:pStyle w:val="Compact"/>
        <w:numPr>
          <w:ilvl w:val="0"/>
          <w:numId w:val="42"/>
        </w:numPr>
        <w:rPr/>
      </w:pPr>
      <w:r>
        <w:rPr/>
        <w:t>Date de publication. Le décalage de deux mois est vérifié sur 2023-2026 seulement ; pour 2014-2022, c’est une hypothèse. Les résultats ne changent pas avec un décalage d’un ou de trois mois (section 3.3).</w:t>
      </w:r>
    </w:p>
    <w:p>
      <w:pPr>
        <w:pStyle w:val="Compact"/>
        <w:numPr>
          <w:ilvl w:val="0"/>
          <w:numId w:val="43"/>
        </w:numPr>
        <w:rPr/>
      </w:pPr>
      <w:r>
        <w:rPr/>
        <w:t>Périmètre. Les données couvrent le budget de l’État, pas la Sécurité sociale ni les collectivités, et ne sont pas ventilées par mission.</w:t>
      </w:r>
    </w:p>
    <w:p>
      <w:pPr>
        <w:pStyle w:val="Compact"/>
        <w:numPr>
          <w:ilvl w:val="0"/>
          <w:numId w:val="44"/>
        </w:numPr>
        <w:rPr/>
      </w:pPr>
      <w:r>
        <w:rPr/>
        <w:t>Cibles de taux en moyennes mensuelles. Le spread et le taux OAT sont des moyennes du mois (OCDE), alors que le CAC 40 est pris en fin de mois. Les variations de moyennes sont un peu autocorrélées par construction.</w:t>
      </w:r>
    </w:p>
    <w:p>
      <w:pPr>
        <w:pStyle w:val="Compact"/>
        <w:numPr>
          <w:ilvl w:val="0"/>
          <w:numId w:val="45"/>
        </w:numPr>
        <w:rPr/>
      </w:pPr>
      <w:r>
        <w:rPr/>
        <w:t>Variables budgétaires inégales dans l’année. L’écart-type de l’écart cumulé est en médiane 6,3 fois plus grand en décembre qu’en janvier.</w:t>
      </w:r>
    </w:p>
    <w:p>
      <w:pPr>
        <w:pStyle w:val="Compact"/>
        <w:numPr>
          <w:ilvl w:val="0"/>
          <w:numId w:val="46"/>
        </w:numPr>
        <w:rPr/>
      </w:pPr>
      <w:r>
        <w:rPr/>
        <w:t>Petit échantillon. Avec 70 à 148 mois d’entraînement et 79 mois de test, seul un effet fort pouvait être détecté. Les écarts de quelques points de R² entre deux modèles ne sont pas interprétables.</w:t>
      </w:r>
    </w:p>
    <w:p>
      <w:pPr>
        <w:pStyle w:val="Compact"/>
        <w:numPr>
          <w:ilvl w:val="0"/>
          <w:numId w:val="47"/>
        </w:numPr>
        <w:rPr/>
      </w:pPr>
      <w:r>
        <w:rPr/>
        <w:t>Hyperparamètres.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48"/>
        </w:numPr>
        <w:rPr/>
      </w:pPr>
      <w:r>
        <w:rPr/>
        <w:t>Extensions ajoutées en cours de route. E17 à E20 ont été ajoutées après avoir vu les résultats d’E15 et E16, et E18 est exploratoire. E14 (étude d’événement) n’a pas pu être réalisée sur le spread, et sa version sur le CAC 40 a été faite après coup (annexe F).</w:t>
      </w:r>
    </w:p>
    <w:p>
      <w:pPr>
        <w:pStyle w:val="Compact"/>
        <w:numPr>
          <w:ilvl w:val="0"/>
          <w:numId w:val="49"/>
        </w:numPr>
        <w:rPr/>
      </w:pPr>
      <w:r>
        <w:rPr/>
        <w:t>Panel européen.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50"/>
        </w:numPr>
        <w:rPr/>
      </w:pPr>
      <w:bookmarkStart w:id="238" w:name="limites"/>
      <w:r>
        <w:rPr/>
        <w:t>Pas d’étude d’événement sur le spread. L’explication « l’information est déjà connue » (section 4.2) reste donc une hypothèse : la vérification sur le CAC 40 repose sur 40 publications seulement, celles que nous avons pu dater.</w:t>
      </w:r>
      <w:bookmarkEnd w:id="238"/>
    </w:p>
    <w:p>
      <w:pPr>
        <w:pStyle w:val="Heading2"/>
        <w:rPr/>
      </w:pPr>
      <w:bookmarkStart w:id="239" w:name="__RefHeading___Toc20080_730630497"/>
      <w:bookmarkStart w:id="240" w:name="recherches-futures"/>
      <w:bookmarkEnd w:id="239"/>
      <w:bookmarkEnd w:id="240"/>
      <w:r>
        <w:rPr/>
        <w:t>4.8 Recherches futures</w:t>
      </w:r>
    </w:p>
    <w:p>
      <w:pPr>
        <w:pStyle w:val="Compact"/>
        <w:numPr>
          <w:ilvl w:val="0"/>
          <w:numId w:val="51"/>
        </w:numPr>
        <w:rPr/>
      </w:pPr>
      <w:r>
        <w:rPr/>
        <w:t>Étude d’événement.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52"/>
        </w:numPr>
        <w:rPr/>
      </w:pPr>
      <w:r>
        <w:rPr/>
        <w:t>Les annonces plutôt que l’exécution.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53"/>
        </w:numPr>
        <w:rPr/>
      </w:pPr>
      <w:r>
        <w:rPr/>
        <w:t>Données en temps réel. Conserver chaque version publiée des situations budgétaires.</w:t>
      </w:r>
    </w:p>
    <w:p>
      <w:pPr>
        <w:pStyle w:val="Compact"/>
        <w:numPr>
          <w:ilvl w:val="0"/>
          <w:numId w:val="54"/>
        </w:numPr>
        <w:rPr/>
      </w:pPr>
      <w:r>
        <w:rPr/>
        <w:t>Plus d’observations. Un panel de pays plus long, incluant la crise de 2010-2012, avec des cibles de fin de période plutôt que des moyennes.</w:t>
      </w:r>
    </w:p>
    <w:p>
      <w:pPr>
        <w:pStyle w:val="Compact"/>
        <w:numPr>
          <w:ilvl w:val="0"/>
          <w:numId w:val="55"/>
        </w:numPr>
        <w:rPr/>
      </w:pPr>
      <w:r>
        <w:rPr/>
        <w:t>Ventilation sectorielle. Les données de la commande publique permettraient de relier la dépense aux entreprises bénéficiaires et de mieux tester le canal des actions sectorielles (E19).</w:t>
      </w:r>
    </w:p>
    <w:p>
      <w:pPr>
        <w:pStyle w:val="Normal"/>
        <w:rPr/>
      </w:pPr>
      <w:r>
        <w:rPr/>
      </w:r>
      <w:bookmarkStart w:id="241" w:name="chapitre-4-discussion"/>
      <w:bookmarkStart w:id="242" w:name="recherches-futures"/>
      <w:bookmarkStart w:id="243" w:name="chapitre-4-discussion"/>
      <w:bookmarkStart w:id="244" w:name="recherches-futures"/>
      <w:bookmarkEnd w:id="243"/>
      <w:bookmarkEnd w:id="244"/>
      <w:r>
        <w:br w:type="page"/>
      </w:r>
    </w:p>
    <w:p>
      <w:pPr>
        <w:pStyle w:val="Heading1"/>
        <w:spacing w:before="0" w:after="240"/>
        <w:rPr/>
      </w:pPr>
      <w:bookmarkStart w:id="245" w:name="__RefHeading___Toc20082_730630497"/>
      <w:bookmarkStart w:id="246" w:name="conclusion-générale"/>
      <w:bookmarkEnd w:id="245"/>
      <w:bookmarkEnd w:id="246"/>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7" w:name="__RefHeading___Toc20084_730630497"/>
      <w:bookmarkStart w:id="248" w:name="principaux-résultats"/>
      <w:bookmarkEnd w:id="247"/>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9"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9"/>
    </w:p>
    <w:p>
      <w:pPr>
        <w:pStyle w:val="Heading2"/>
        <w:rPr/>
      </w:pPr>
      <w:bookmarkStart w:id="250" w:name="__RefHeading___Toc20086_730630497"/>
      <w:bookmarkStart w:id="251" w:name="apports-1"/>
      <w:bookmarkEnd w:id="250"/>
      <w:r>
        <w:rPr/>
        <w:t>Apports</w:t>
      </w:r>
    </w:p>
    <w:p>
      <w:pPr>
        <w:pStyle w:val="FirstParagraph"/>
        <w:rPr/>
      </w:pPr>
      <w:bookmarkStart w:id="252"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52"/>
    </w:p>
    <w:p>
      <w:pPr>
        <w:pStyle w:val="Heading2"/>
        <w:rPr/>
      </w:pPr>
      <w:bookmarkStart w:id="253" w:name="__RefHeading___Toc20088_730630497"/>
      <w:bookmarkStart w:id="254" w:name="limites-1"/>
      <w:bookmarkEnd w:id="253"/>
      <w:r>
        <w:rPr/>
        <w:t>Limites</w:t>
      </w:r>
    </w:p>
    <w:p>
      <w:pPr>
        <w:pStyle w:val="FirstParagraph"/>
        <w:rPr/>
      </w:pPr>
      <w:bookmarkStart w:id="255"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5"/>
    </w:p>
    <w:p>
      <w:pPr>
        <w:pStyle w:val="Heading2"/>
        <w:rPr/>
      </w:pPr>
      <w:bookmarkStart w:id="256" w:name="__RefHeading___Toc20090_730630497"/>
      <w:bookmarkStart w:id="257" w:name="perspectives"/>
      <w:bookmarkEnd w:id="256"/>
      <w:bookmarkEnd w:id="257"/>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8" w:name="conclusion-générale"/>
      <w:bookmarkStart w:id="259" w:name="perspectives"/>
      <w:bookmarkStart w:id="260" w:name="conclusion-générale"/>
      <w:bookmarkStart w:id="261" w:name="perspectives"/>
      <w:bookmarkEnd w:id="260"/>
      <w:bookmarkEnd w:id="261"/>
      <w:r>
        <w:br w:type="page"/>
      </w:r>
    </w:p>
    <w:p>
      <w:pPr>
        <w:pStyle w:val="Heading1"/>
        <w:spacing w:before="0" w:after="240"/>
        <w:rPr/>
      </w:pPr>
      <w:bookmarkStart w:id="262" w:name="__RefHeading___Toc20092_730630497"/>
      <w:bookmarkStart w:id="263" w:name="références"/>
      <w:bookmarkEnd w:id="262"/>
      <w:bookmarkEnd w:id="263"/>
      <w:r>
        <w:rPr/>
        <w:t>Références</w:t>
      </w:r>
    </w:p>
    <w:p>
      <w:pPr>
        <w:pStyle w:val="Bibliography"/>
        <w:rPr/>
      </w:pPr>
      <w:bookmarkStart w:id="264" w:name="ref1"/>
      <w:bookmarkEnd w:id="264"/>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5" w:name="ref2"/>
      <w:bookmarkEnd w:id="265"/>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6" w:name="ref3"/>
      <w:bookmarkEnd w:id="266"/>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7" w:name="ref4"/>
      <w:bookmarkEnd w:id="267"/>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8" w:name="ref5"/>
      <w:bookmarkEnd w:id="268"/>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9" w:name="ref6"/>
      <w:bookmarkEnd w:id="269"/>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70" w:name="ref7"/>
      <w:bookmarkEnd w:id="270"/>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71" w:name="ref8"/>
      <w:bookmarkEnd w:id="271"/>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72" w:name="ref9"/>
      <w:bookmarkEnd w:id="272"/>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73" w:name="ref10"/>
      <w:bookmarkEnd w:id="273"/>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4" w:name="ref11"/>
      <w:bookmarkEnd w:id="274"/>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5" w:name="ref12"/>
      <w:bookmarkEnd w:id="275"/>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6" w:name="ref13"/>
      <w:bookmarkEnd w:id="276"/>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7" w:name="ref14"/>
      <w:bookmarkEnd w:id="277"/>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8" w:name="ref15"/>
      <w:bookmarkEnd w:id="278"/>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9" w:name="ref16"/>
      <w:bookmarkEnd w:id="279"/>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80" w:name="ref17"/>
      <w:bookmarkEnd w:id="280"/>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81" w:name="ref18"/>
      <w:bookmarkEnd w:id="281"/>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82" w:name="ref19"/>
      <w:bookmarkEnd w:id="282"/>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83" w:name="ref20"/>
      <w:bookmarkEnd w:id="283"/>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4" w:name="ref21"/>
      <w:bookmarkEnd w:id="284"/>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5" w:name="ref22"/>
      <w:bookmarkEnd w:id="285"/>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6" w:name="ref23"/>
      <w:bookmarkEnd w:id="286"/>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7" w:name="ref24"/>
      <w:bookmarkEnd w:id="287"/>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8" w:name="ref25"/>
      <w:bookmarkEnd w:id="288"/>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9" w:name="ref26"/>
      <w:bookmarkEnd w:id="289"/>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90" w:name="ref27"/>
      <w:bookmarkEnd w:id="290"/>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91" w:name="ref28"/>
      <w:bookmarkEnd w:id="291"/>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92" w:name="ref29"/>
      <w:bookmarkEnd w:id="292"/>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93" w:name="ref30"/>
      <w:bookmarkEnd w:id="293"/>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4" w:name="ref31"/>
      <w:bookmarkEnd w:id="294"/>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5" w:name="ref32"/>
      <w:bookmarkEnd w:id="295"/>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6" w:name="ref33"/>
      <w:bookmarkEnd w:id="296"/>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7" w:name="ref34"/>
      <w:bookmarkEnd w:id="297"/>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8" w:name="ref35"/>
      <w:bookmarkEnd w:id="298"/>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9" w:name="ref36"/>
      <w:bookmarkEnd w:id="299"/>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300" w:name="ref37"/>
      <w:bookmarkEnd w:id="300"/>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301" w:name="ref38"/>
      <w:bookmarkEnd w:id="301"/>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302" w:name="ref39"/>
      <w:bookmarkEnd w:id="302"/>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303" w:name="ref40"/>
      <w:bookmarkEnd w:id="303"/>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4" w:name="ref41"/>
      <w:bookmarkEnd w:id="304"/>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5" w:name="ref42"/>
      <w:bookmarkEnd w:id="305"/>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6" w:name="ref43"/>
      <w:bookmarkEnd w:id="306"/>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7" w:name="ref44"/>
      <w:bookmarkEnd w:id="307"/>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8" w:name="ref45"/>
      <w:bookmarkEnd w:id="308"/>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9" w:name="__RefHeading___Toc20094_730630497"/>
      <w:bookmarkStart w:id="310" w:name="sources-en-ligne"/>
      <w:bookmarkEnd w:id="309"/>
      <w:bookmarkEnd w:id="310"/>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11" w:name="références"/>
      <w:bookmarkStart w:id="312" w:name="sources-en-ligne"/>
      <w:bookmarkStart w:id="313" w:name="références"/>
      <w:bookmarkStart w:id="314" w:name="sources-en-ligne"/>
      <w:bookmarkEnd w:id="313"/>
      <w:bookmarkEnd w:id="314"/>
      <w:r>
        <w:br w:type="page"/>
      </w:r>
    </w:p>
    <w:p>
      <w:pPr>
        <w:pStyle w:val="Heading1"/>
        <w:spacing w:before="0" w:after="240"/>
        <w:rPr/>
      </w:pPr>
      <w:bookmarkStart w:id="315" w:name="__RefHeading___Toc20096_730630497"/>
      <w:bookmarkStart w:id="316" w:name="annexes"/>
      <w:bookmarkEnd w:id="315"/>
      <w:r>
        <w:rPr/>
        <w:t>Annexes</w:t>
      </w:r>
    </w:p>
    <w:p>
      <w:pPr>
        <w:pStyle w:val="Heading2"/>
        <w:rPr/>
      </w:pPr>
      <w:bookmarkStart w:id="317" w:name="__RefHeading___Toc20098_730630497"/>
      <w:bookmarkStart w:id="318" w:name="X3ca383dbffb9d55a756372c83cc12a5ba689804"/>
      <w:bookmarkEnd w:id="317"/>
      <w:r>
        <w:rPr/>
        <w:t>Annexe A : Variables des modèles principaux</w:t>
      </w:r>
    </w:p>
    <w:p>
      <w:pPr>
        <w:pStyle w:val="CaptionTable"/>
        <w:keepNext w:val="true"/>
        <w:spacing w:lineRule="auto" w:line="240" w:before="120" w:after="80"/>
        <w:jc w:val="left"/>
        <w:rPr/>
      </w:pPr>
      <w:bookmarkStart w:id="319" w:name="__RefHeading___Toc20122_730630497"/>
      <w:bookmarkEnd w:id="319"/>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bookmarkStart w:id="320" w:name="X3ca383dbffb9d55a756372c83cc12a5ba689804"/>
      <w:r>
        <w:rPr>
          <w:i/>
          <w:iCs/>
          <w:sz w:val="20"/>
        </w:rPr>
        <w:t>Source : élaboration de l’auteur. M1 = M0 + dépenses ; M2 = M1 + recettes et solde.</w:t>
      </w:r>
      <w:bookmarkEnd w:id="320"/>
    </w:p>
    <w:p>
      <w:pPr>
        <w:pStyle w:val="Heading2"/>
        <w:rPr/>
      </w:pPr>
      <w:bookmarkStart w:id="321" w:name="__RefHeading___Toc20100_730630497"/>
      <w:bookmarkStart w:id="322" w:name="annexe-b-détail-des-extensions-e1-à-e20"/>
      <w:bookmarkEnd w:id="321"/>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23" w:name="__RefHeading___Toc20120_730630497"/>
      <w:bookmarkEnd w:id="323"/>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bookmarkStart w:id="324" w:name="annexe-b-détail-des-extensions-e1-à-e20"/>
      <w:r>
        <w:rPr>
          <w:i/>
          <w:iCs/>
          <w:sz w:val="20"/>
        </w:rPr>
        <w:t>Source : calculs de l’auteur.</w:t>
      </w:r>
      <w:bookmarkEnd w:id="324"/>
    </w:p>
    <w:p>
      <w:pPr>
        <w:pStyle w:val="Heading2"/>
        <w:rPr/>
      </w:pPr>
      <w:bookmarkStart w:id="325" w:name="__RefHeading___Toc20102_730630497"/>
      <w:bookmarkStart w:id="326" w:name="Xb3e285cc14b2fbc3f04dfc3a545449b954bfbe1"/>
      <w:bookmarkEnd w:id="325"/>
      <w:r>
        <w:rPr/>
        <w:t>Annexe C : Sensibilité à la graine aléatoire</w:t>
      </w:r>
    </w:p>
    <w:p>
      <w:pPr>
        <w:pStyle w:val="CaptionTable"/>
        <w:keepNext w:val="true"/>
        <w:spacing w:lineRule="auto" w:line="240" w:before="120" w:after="80"/>
        <w:jc w:val="left"/>
        <w:rPr/>
      </w:pPr>
      <w:bookmarkStart w:id="327" w:name="__RefHeading___Toc20118_730630497"/>
      <w:bookmarkEnd w:id="327"/>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bookmarkStart w:id="328" w:name="Xb3e285cc14b2fbc3f04dfc3a545449b954bfbe1"/>
      <w:r>
        <w:rPr>
          <w:i/>
          <w:iCs/>
          <w:sz w:val="20"/>
        </w:rPr>
        <w:t>Source : calculs de l’auteur.</w:t>
      </w:r>
      <w:bookmarkEnd w:id="328"/>
    </w:p>
    <w:p>
      <w:pPr>
        <w:pStyle w:val="Heading2"/>
        <w:rPr/>
      </w:pPr>
      <w:bookmarkStart w:id="329" w:name="__RefHeading___Toc20104_730630497"/>
      <w:bookmarkStart w:id="330" w:name="Xd68da8618e318907bf0faf326720b285d49eebd"/>
      <w:bookmarkEnd w:id="329"/>
      <w:r>
        <w:rPr/>
        <w:t>Annexe D : Contrôle négatif : dépenses contre variables de bruit</w:t>
      </w:r>
    </w:p>
    <w:p>
      <w:pPr>
        <w:pStyle w:val="CaptionTable"/>
        <w:keepNext w:val="true"/>
        <w:spacing w:lineRule="auto" w:line="240" w:before="120" w:after="80"/>
        <w:jc w:val="left"/>
        <w:rPr/>
      </w:pPr>
      <w:bookmarkStart w:id="331" w:name="__RefHeading___Toc20116_730630497"/>
      <w:bookmarkEnd w:id="331"/>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bookmarkStart w:id="332" w:name="Xd68da8618e318907bf0faf326720b285d49eebd"/>
      <w:r>
        <w:rPr>
          <w:i/>
          <w:iCs/>
          <w:sz w:val="20"/>
        </w:rPr>
        <w:t>Source : calculs de l’auteur.</w:t>
      </w:r>
      <w:bookmarkEnd w:id="332"/>
    </w:p>
    <w:p>
      <w:pPr>
        <w:pStyle w:val="Heading2"/>
        <w:rPr/>
      </w:pPr>
      <w:bookmarkStart w:id="333" w:name="__RefHeading___Toc20106_730630497"/>
      <w:bookmarkStart w:id="334" w:name="Xe4aa703dc8ae53bd5a3baef5b8de368c6e05d88"/>
      <w:bookmarkEnd w:id="333"/>
      <w:r>
        <w:rPr/>
        <w:t>Annexe E : Robustesse au décalage de publication</w:t>
      </w:r>
    </w:p>
    <w:p>
      <w:pPr>
        <w:pStyle w:val="CaptionTable"/>
        <w:keepNext w:val="true"/>
        <w:spacing w:lineRule="auto" w:line="240" w:before="120" w:after="80"/>
        <w:jc w:val="left"/>
        <w:rPr/>
      </w:pPr>
      <w:bookmarkStart w:id="335" w:name="__RefHeading___Toc20114_730630497"/>
      <w:bookmarkEnd w:id="335"/>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bookmarkStart w:id="336"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6"/>
    </w:p>
    <w:p>
      <w:pPr>
        <w:pStyle w:val="Heading2"/>
        <w:rPr/>
      </w:pPr>
      <w:bookmarkStart w:id="337" w:name="__RefHeading___Toc20108_730630497"/>
      <w:bookmarkStart w:id="338" w:name="X37e530d88456264f60f695f24afad22539accd2"/>
      <w:bookmarkEnd w:id="337"/>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9" w:name="__RefHeading___Toc20112_730630497"/>
      <w:bookmarkEnd w:id="339"/>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bookmarkStart w:id="340" w:name="annexes"/>
      <w:bookmarkStart w:id="341" w:name="X37e530d88456264f60f695f24afad22539accd2"/>
      <w:r>
        <w:rPr>
          <w:i/>
          <w:iCs/>
          <w:sz w:val="20"/>
        </w:rPr>
        <w:t>Source : calculs de l’auteur ; dates : presse.economie.gouv.fr ; cours : Yahoo Finance. Le dernier test est unilatéral (rendement absolu plus élevé les jours de publication).</w:t>
      </w:r>
      <w:bookmarkEnd w:id="340"/>
      <w:bookmarkEnd w:id="341"/>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8"/>
    <w:lvlOverride w:ilvl="0">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90</Pages>
  <Words>22825</Words>
  <Characters>112809</Characters>
  <CharactersWithSpaces>132328</CharactersWithSpaces>
  <Paragraphs>3175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2026-10-02T08:28:16Z</dcterms:created>
  <dc:creator>Abdellah Elyamine DALI BRAHAM</dc:creator>
  <dc:description/>
  <dc:language>en-US</dc:language>
  <cp:lastModifiedBy/>
  <dcterms:modified xsi:type="dcterms:W3CDTF">2026-10-02T08:28:22Z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