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416_3183596538"/>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418_3183596538"/>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l’aide à la rédaction. Le choix du sujet, de la problématique et du périmètre, les décisions de méthode et les interprétations relèvent de l’auteur, qui a relu et validé l’ensemble du texte. Les chiffres cités ont été vérifiés sur les résultats et les affirmations sur la littérature sur les articles originaux.</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420_3183596538"/>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Vingt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Des contrôles avec un signal fictif et avec des variables de bruit montrent que notre dispositif aurait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422_3183596538"/>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16_3183596538">
            <w:r>
              <w:rPr>
                <w:webHidden/>
                <w:rStyle w:val="IndexLink"/>
              </w:rPr>
              <w:t>Remerciements</w:t>
              <w:tab/>
              <w:t>2</w:t>
            </w:r>
          </w:hyperlink>
        </w:p>
        <w:p>
          <w:pPr>
            <w:pStyle w:val="TOC1"/>
            <w:tabs>
              <w:tab w:val="clear" w:pos="9026"/>
              <w:tab w:val="right" w:pos="9025" w:leader="dot"/>
            </w:tabs>
            <w:rPr/>
          </w:pPr>
          <w:hyperlink w:anchor="__RefHeading___Toc19418_3183596538">
            <w:r>
              <w:rPr>
                <w:webHidden/>
                <w:rStyle w:val="IndexLink"/>
              </w:rPr>
              <w:t>Déclaration d’utilisation de l’intelligence artificielle</w:t>
              <w:tab/>
              <w:t>3</w:t>
            </w:r>
          </w:hyperlink>
        </w:p>
        <w:p>
          <w:pPr>
            <w:pStyle w:val="TOC1"/>
            <w:tabs>
              <w:tab w:val="clear" w:pos="9026"/>
              <w:tab w:val="right" w:pos="9025" w:leader="dot"/>
            </w:tabs>
            <w:rPr/>
          </w:pPr>
          <w:hyperlink w:anchor="__RefHeading___Toc19420_3183596538">
            <w:r>
              <w:rPr>
                <w:webHidden/>
                <w:rStyle w:val="IndexLink"/>
              </w:rPr>
              <w:t>Résumé</w:t>
              <w:tab/>
              <w:t>4</w:t>
            </w:r>
          </w:hyperlink>
        </w:p>
        <w:p>
          <w:pPr>
            <w:pStyle w:val="TOC1"/>
            <w:tabs>
              <w:tab w:val="clear" w:pos="9026"/>
              <w:tab w:val="right" w:pos="9025" w:leader="dot"/>
            </w:tabs>
            <w:rPr/>
          </w:pPr>
          <w:hyperlink w:anchor="__RefHeading___Toc19422_3183596538">
            <w:r>
              <w:rPr>
                <w:webHidden/>
                <w:rStyle w:val="IndexLink"/>
              </w:rPr>
              <w:t>Sommaire</w:t>
              <w:tab/>
              <w:t>5</w:t>
            </w:r>
          </w:hyperlink>
        </w:p>
        <w:p>
          <w:pPr>
            <w:pStyle w:val="TOC1"/>
            <w:tabs>
              <w:tab w:val="clear" w:pos="9026"/>
              <w:tab w:val="right" w:pos="9025" w:leader="dot"/>
            </w:tabs>
            <w:rPr/>
          </w:pPr>
          <w:hyperlink w:anchor="__RefHeading___Toc19424_3183596538">
            <w:r>
              <w:rPr>
                <w:webHidden/>
                <w:rStyle w:val="IndexLink"/>
              </w:rPr>
              <w:t>Liste des tableaux</w:t>
              <w:tab/>
              <w:t>8</w:t>
            </w:r>
          </w:hyperlink>
        </w:p>
        <w:p>
          <w:pPr>
            <w:pStyle w:val="TOC1"/>
            <w:tabs>
              <w:tab w:val="clear" w:pos="9026"/>
              <w:tab w:val="right" w:pos="9025" w:leader="dot"/>
            </w:tabs>
            <w:rPr/>
          </w:pPr>
          <w:hyperlink w:anchor="__RefHeading___Toc19426_3183596538">
            <w:r>
              <w:rPr>
                <w:webHidden/>
                <w:rStyle w:val="IndexLink"/>
              </w:rPr>
              <w:t>Liste des figures</w:t>
              <w:tab/>
              <w:t>9</w:t>
            </w:r>
          </w:hyperlink>
        </w:p>
        <w:p>
          <w:pPr>
            <w:pStyle w:val="TOC1"/>
            <w:tabs>
              <w:tab w:val="clear" w:pos="9026"/>
              <w:tab w:val="right" w:pos="9025" w:leader="dot"/>
            </w:tabs>
            <w:rPr/>
          </w:pPr>
          <w:hyperlink w:anchor="__RefHeading___Toc19428_3183596538">
            <w:r>
              <w:rPr>
                <w:webHidden/>
                <w:rStyle w:val="IndexLink"/>
              </w:rPr>
              <w:t>Liste des abréviations</w:t>
              <w:tab/>
              <w:t>10</w:t>
            </w:r>
          </w:hyperlink>
        </w:p>
        <w:p>
          <w:pPr>
            <w:pStyle w:val="TOC1"/>
            <w:tabs>
              <w:tab w:val="clear" w:pos="9026"/>
              <w:tab w:val="right" w:pos="9025" w:leader="dot"/>
            </w:tabs>
            <w:rPr/>
          </w:pPr>
          <w:hyperlink w:anchor="__RefHeading___Toc19430_3183596538">
            <w:r>
              <w:rPr>
                <w:webHidden/>
                <w:rStyle w:val="IndexLink"/>
              </w:rPr>
              <w:t>Glossaire</w:t>
              <w:tab/>
              <w:t>10</w:t>
            </w:r>
          </w:hyperlink>
        </w:p>
        <w:p>
          <w:pPr>
            <w:pStyle w:val="TOC1"/>
            <w:tabs>
              <w:tab w:val="clear" w:pos="9026"/>
              <w:tab w:val="right" w:pos="9025" w:leader="dot"/>
            </w:tabs>
            <w:rPr/>
          </w:pPr>
          <w:hyperlink w:anchor="__RefHeading___Toc19432_3183596538">
            <w:r>
              <w:rPr>
                <w:webHidden/>
                <w:rStyle w:val="IndexLink"/>
              </w:rPr>
              <w:t>Introduction générale</w:t>
              <w:tab/>
              <w:t>12</w:t>
            </w:r>
          </w:hyperlink>
        </w:p>
        <w:p>
          <w:pPr>
            <w:pStyle w:val="TOC2"/>
            <w:tabs>
              <w:tab w:val="clear" w:pos="8743"/>
              <w:tab w:val="right" w:pos="9025" w:leader="dot"/>
            </w:tabs>
            <w:rPr/>
          </w:pPr>
          <w:hyperlink w:anchor="__RefHeading___Toc19434_3183596538">
            <w:r>
              <w:rPr>
                <w:webHidden/>
                <w:rStyle w:val="IndexLink"/>
              </w:rPr>
              <w:t>Contexte</w:t>
              <w:tab/>
              <w:t>12</w:t>
            </w:r>
          </w:hyperlink>
        </w:p>
        <w:p>
          <w:pPr>
            <w:pStyle w:val="TOC2"/>
            <w:tabs>
              <w:tab w:val="clear" w:pos="8743"/>
              <w:tab w:val="right" w:pos="9025" w:leader="dot"/>
            </w:tabs>
            <w:rPr/>
          </w:pPr>
          <w:hyperlink w:anchor="__RefHeading___Toc19436_3183596538">
            <w:r>
              <w:rPr>
                <w:webHidden/>
                <w:rStyle w:val="IndexLink"/>
              </w:rPr>
              <w:t>Problématique</w:t>
              <w:tab/>
              <w:t>12</w:t>
            </w:r>
          </w:hyperlink>
        </w:p>
        <w:p>
          <w:pPr>
            <w:pStyle w:val="TOC2"/>
            <w:tabs>
              <w:tab w:val="clear" w:pos="8743"/>
              <w:tab w:val="right" w:pos="9025" w:leader="dot"/>
            </w:tabs>
            <w:rPr/>
          </w:pPr>
          <w:hyperlink w:anchor="__RefHeading___Toc19438_3183596538">
            <w:r>
              <w:rPr>
                <w:webHidden/>
                <w:rStyle w:val="IndexLink"/>
              </w:rPr>
              <w:t>Objectif et démarche</w:t>
              <w:tab/>
              <w:t>13</w:t>
            </w:r>
          </w:hyperlink>
        </w:p>
        <w:p>
          <w:pPr>
            <w:pStyle w:val="TOC2"/>
            <w:tabs>
              <w:tab w:val="clear" w:pos="8743"/>
              <w:tab w:val="right" w:pos="9025" w:leader="dot"/>
            </w:tabs>
            <w:rPr/>
          </w:pPr>
          <w:hyperlink w:anchor="__RefHeading___Toc19440_3183596538">
            <w:r>
              <w:rPr>
                <w:webHidden/>
                <w:rStyle w:val="IndexLink"/>
              </w:rPr>
              <w:t>Apports</w:t>
              <w:tab/>
              <w:t>13</w:t>
            </w:r>
          </w:hyperlink>
        </w:p>
        <w:p>
          <w:pPr>
            <w:pStyle w:val="TOC2"/>
            <w:tabs>
              <w:tab w:val="clear" w:pos="8743"/>
              <w:tab w:val="right" w:pos="9025" w:leader="dot"/>
            </w:tabs>
            <w:rPr/>
          </w:pPr>
          <w:hyperlink w:anchor="__RefHeading___Toc19442_3183596538">
            <w:r>
              <w:rPr>
                <w:webHidden/>
                <w:rStyle w:val="IndexLink"/>
              </w:rPr>
              <w:t>Plan du mémoire</w:t>
              <w:tab/>
              <w:t>14</w:t>
            </w:r>
          </w:hyperlink>
        </w:p>
        <w:p>
          <w:pPr>
            <w:pStyle w:val="TOC1"/>
            <w:tabs>
              <w:tab w:val="clear" w:pos="9026"/>
              <w:tab w:val="right" w:pos="9025" w:leader="dot"/>
            </w:tabs>
            <w:rPr/>
          </w:pPr>
          <w:hyperlink w:anchor="__RefHeading___Toc19444_3183596538">
            <w:r>
              <w:rPr>
                <w:webHidden/>
                <w:rStyle w:val="IndexLink"/>
              </w:rPr>
              <w:t>Chapitre 1 – État de l’art</w:t>
              <w:tab/>
              <w:t>15</w:t>
            </w:r>
          </w:hyperlink>
        </w:p>
        <w:p>
          <w:pPr>
            <w:pStyle w:val="TOC2"/>
            <w:tabs>
              <w:tab w:val="clear" w:pos="8743"/>
              <w:tab w:val="right" w:pos="9025" w:leader="dot"/>
            </w:tabs>
            <w:rPr/>
          </w:pPr>
          <w:hyperlink w:anchor="__RefHeading___Toc19446_3183596538">
            <w:r>
              <w:rPr>
                <w:webHidden/>
                <w:rStyle w:val="IndexLink"/>
              </w:rPr>
              <w:t>Introduction du chapitre</w:t>
              <w:tab/>
              <w:t>15</w:t>
            </w:r>
          </w:hyperlink>
        </w:p>
        <w:p>
          <w:pPr>
            <w:pStyle w:val="TOC2"/>
            <w:tabs>
              <w:tab w:val="clear" w:pos="8743"/>
              <w:tab w:val="right" w:pos="9025" w:leader="dot"/>
            </w:tabs>
            <w:rPr/>
          </w:pPr>
          <w:hyperlink w:anchor="__RefHeading___Toc19448_3183596538">
            <w:r>
              <w:rPr>
                <w:webHidden/>
                <w:rStyle w:val="IndexLink"/>
              </w:rPr>
              <w:t>1.1 Cadre théorique : ce que l’on peut attendre</w:t>
              <w:tab/>
              <w:t>16</w:t>
            </w:r>
          </w:hyperlink>
        </w:p>
        <w:p>
          <w:pPr>
            <w:pStyle w:val="TOC2"/>
            <w:tabs>
              <w:tab w:val="clear" w:pos="8743"/>
              <w:tab w:val="right" w:pos="9025" w:leader="dot"/>
            </w:tabs>
            <w:rPr/>
          </w:pPr>
          <w:hyperlink w:anchor="__RefHeading___Toc19450_3183596538">
            <w:r>
              <w:rPr>
                <w:webHidden/>
                <w:rStyle w:val="IndexLink"/>
              </w:rPr>
              <w:t>1.2 Finances publiques et spreads souverains en zone euro</w:t>
              <w:tab/>
              <w:t>17</w:t>
            </w:r>
          </w:hyperlink>
        </w:p>
        <w:p>
          <w:pPr>
            <w:pStyle w:val="TOC2"/>
            <w:tabs>
              <w:tab w:val="clear" w:pos="8743"/>
              <w:tab w:val="right" w:pos="9025" w:leader="dot"/>
            </w:tabs>
            <w:rPr/>
          </w:pPr>
          <w:hyperlink w:anchor="__RefHeading___Toc19452_3183596538">
            <w:r>
              <w:rPr>
                <w:webHidden/>
                <w:rStyle w:val="IndexLink"/>
              </w:rPr>
              <w:t>1.3 Machine learning et prévision des spreads</w:t>
              <w:tab/>
              <w:t>20</w:t>
            </w:r>
          </w:hyperlink>
        </w:p>
        <w:p>
          <w:pPr>
            <w:pStyle w:val="TOC2"/>
            <w:tabs>
              <w:tab w:val="clear" w:pos="8743"/>
              <w:tab w:val="right" w:pos="9025" w:leader="dot"/>
            </w:tabs>
            <w:rPr/>
          </w:pPr>
          <w:hyperlink w:anchor="__RefHeading___Toc19454_3183596538">
            <w:r>
              <w:rPr>
                <w:webHidden/>
                <w:rStyle w:val="IndexLink"/>
              </w:rPr>
              <w:t>1.4 Données ouvertes et précautions de méthode</w:t>
              <w:tab/>
              <w:t>22</w:t>
            </w:r>
          </w:hyperlink>
        </w:p>
        <w:p>
          <w:pPr>
            <w:pStyle w:val="TOC2"/>
            <w:tabs>
              <w:tab w:val="clear" w:pos="8743"/>
              <w:tab w:val="right" w:pos="9025" w:leader="dot"/>
            </w:tabs>
            <w:rPr/>
          </w:pPr>
          <w:hyperlink w:anchor="__RefHeading___Toc19456_3183596538">
            <w:r>
              <w:rPr>
                <w:webHidden/>
                <w:rStyle w:val="IndexLink"/>
              </w:rPr>
              <w:t>1.5 Synthèse et positionnement du mémoire</w:t>
              <w:tab/>
              <w:t>24</w:t>
            </w:r>
          </w:hyperlink>
        </w:p>
        <w:p>
          <w:pPr>
            <w:pStyle w:val="TOC1"/>
            <w:tabs>
              <w:tab w:val="clear" w:pos="9026"/>
              <w:tab w:val="right" w:pos="9025" w:leader="dot"/>
            </w:tabs>
            <w:rPr/>
          </w:pPr>
          <w:hyperlink w:anchor="__RefHeading___Toc19458_3183596538">
            <w:r>
              <w:rPr>
                <w:webHidden/>
                <w:rStyle w:val="IndexLink"/>
              </w:rPr>
              <w:t>Chapitre 2 – Données et méthodologie</w:t>
              <w:tab/>
              <w:t>28</w:t>
            </w:r>
          </w:hyperlink>
        </w:p>
        <w:p>
          <w:pPr>
            <w:pStyle w:val="TOC2"/>
            <w:tabs>
              <w:tab w:val="clear" w:pos="8743"/>
              <w:tab w:val="right" w:pos="9025" w:leader="dot"/>
            </w:tabs>
            <w:rPr/>
          </w:pPr>
          <w:hyperlink w:anchor="__RefHeading___Toc19460_3183596538">
            <w:r>
              <w:rPr>
                <w:webHidden/>
                <w:rStyle w:val="IndexLink"/>
              </w:rPr>
              <w:t>Introduction du chapitre</w:t>
              <w:tab/>
              <w:t>28</w:t>
            </w:r>
          </w:hyperlink>
        </w:p>
        <w:p>
          <w:pPr>
            <w:pStyle w:val="TOC2"/>
            <w:tabs>
              <w:tab w:val="clear" w:pos="8743"/>
              <w:tab w:val="right" w:pos="9025" w:leader="dot"/>
            </w:tabs>
            <w:rPr/>
          </w:pPr>
          <w:hyperlink w:anchor="__RefHeading___Toc19462_3183596538">
            <w:r>
              <w:rPr>
                <w:webHidden/>
                <w:rStyle w:val="IndexLink"/>
              </w:rPr>
              <w:t>2.1 Sources des données</w:t>
              <w:tab/>
              <w:t>28</w:t>
            </w:r>
          </w:hyperlink>
        </w:p>
        <w:p>
          <w:pPr>
            <w:pStyle w:val="TOC2"/>
            <w:tabs>
              <w:tab w:val="clear" w:pos="8743"/>
              <w:tab w:val="right" w:pos="9025" w:leader="dot"/>
            </w:tabs>
            <w:rPr/>
          </w:pPr>
          <w:hyperlink w:anchor="__RefHeading___Toc19464_3183596538">
            <w:r>
              <w:rPr>
                <w:webHidden/>
                <w:rStyle w:val="IndexLink"/>
              </w:rPr>
              <w:t>2.2 Construction du jeu de données</w:t>
              <w:tab/>
              <w:t>29</w:t>
            </w:r>
          </w:hyperlink>
        </w:p>
        <w:p>
          <w:pPr>
            <w:pStyle w:val="TOC2"/>
            <w:tabs>
              <w:tab w:val="clear" w:pos="8743"/>
              <w:tab w:val="right" w:pos="9025" w:leader="dot"/>
            </w:tabs>
            <w:rPr/>
          </w:pPr>
          <w:hyperlink w:anchor="__RefHeading___Toc19466_3183596538">
            <w:r>
              <w:rPr>
                <w:webHidden/>
                <w:rStyle w:val="IndexLink"/>
              </w:rPr>
              <w:t>2.3 Variables cibles et stationnarité</w:t>
              <w:tab/>
              <w:t>32</w:t>
            </w:r>
          </w:hyperlink>
        </w:p>
        <w:p>
          <w:pPr>
            <w:pStyle w:val="TOC2"/>
            <w:tabs>
              <w:tab w:val="clear" w:pos="8743"/>
              <w:tab w:val="right" w:pos="9025" w:leader="dot"/>
            </w:tabs>
            <w:rPr/>
          </w:pPr>
          <w:hyperlink w:anchor="__RefHeading___Toc19468_3183596538">
            <w:r>
              <w:rPr>
                <w:webHidden/>
                <w:rStyle w:val="IndexLink"/>
              </w:rPr>
              <w:t>2.4 Variables explicatives</w:t>
              <w:tab/>
              <w:t>33</w:t>
            </w:r>
          </w:hyperlink>
        </w:p>
        <w:p>
          <w:pPr>
            <w:pStyle w:val="TOC2"/>
            <w:tabs>
              <w:tab w:val="clear" w:pos="8743"/>
              <w:tab w:val="right" w:pos="9025" w:leader="dot"/>
            </w:tabs>
            <w:rPr/>
          </w:pPr>
          <w:hyperlink w:anchor="__RefHeading___Toc19470_3183596538">
            <w:r>
              <w:rPr>
                <w:webHidden/>
                <w:rStyle w:val="IndexLink"/>
              </w:rPr>
              <w:t>2.5 Modèles retenus</w:t>
              <w:tab/>
              <w:t>35</w:t>
            </w:r>
          </w:hyperlink>
        </w:p>
        <w:p>
          <w:pPr>
            <w:pStyle w:val="TOC2"/>
            <w:tabs>
              <w:tab w:val="clear" w:pos="8743"/>
              <w:tab w:val="right" w:pos="9025" w:leader="dot"/>
            </w:tabs>
            <w:rPr/>
          </w:pPr>
          <w:hyperlink w:anchor="__RefHeading___Toc19472_3183596538">
            <w:r>
              <w:rPr>
                <w:webHidden/>
                <w:rStyle w:val="IndexLink"/>
              </w:rPr>
              <w:t>2.6 Protocole d’évaluation</w:t>
              <w:tab/>
              <w:t>36</w:t>
            </w:r>
          </w:hyperlink>
        </w:p>
        <w:p>
          <w:pPr>
            <w:pStyle w:val="TOC2"/>
            <w:tabs>
              <w:tab w:val="clear" w:pos="8743"/>
              <w:tab w:val="right" w:pos="9025" w:leader="dot"/>
            </w:tabs>
            <w:rPr/>
          </w:pPr>
          <w:hyperlink w:anchor="__RefHeading___Toc19474_3183596538">
            <w:r>
              <w:rPr>
                <w:webHidden/>
                <w:rStyle w:val="IndexLink"/>
              </w:rPr>
              <w:t>2.7 Extensions pré-enregistrées et correction des tests multiples</w:t>
              <w:tab/>
              <w:t>38</w:t>
            </w:r>
          </w:hyperlink>
        </w:p>
        <w:p>
          <w:pPr>
            <w:pStyle w:val="TOC2"/>
            <w:tabs>
              <w:tab w:val="clear" w:pos="8743"/>
              <w:tab w:val="right" w:pos="9025" w:leader="dot"/>
            </w:tabs>
            <w:rPr/>
          </w:pPr>
          <w:hyperlink w:anchor="__RefHeading___Toc19476_3183596538">
            <w:r>
              <w:rPr>
                <w:webHidden/>
                <w:rStyle w:val="IndexLink"/>
              </w:rPr>
              <w:t>2.8 Considérations éthiques</w:t>
              <w:tab/>
              <w:t>40</w:t>
            </w:r>
          </w:hyperlink>
        </w:p>
        <w:p>
          <w:pPr>
            <w:pStyle w:val="TOC1"/>
            <w:tabs>
              <w:tab w:val="clear" w:pos="9026"/>
              <w:tab w:val="right" w:pos="9025" w:leader="dot"/>
            </w:tabs>
            <w:rPr/>
          </w:pPr>
          <w:hyperlink w:anchor="__RefHeading___Toc19478_3183596538">
            <w:r>
              <w:rPr>
                <w:webHidden/>
                <w:rStyle w:val="IndexLink"/>
              </w:rPr>
              <w:t>Chapitre 3 – Résultats</w:t>
              <w:tab/>
              <w:t>42</w:t>
            </w:r>
          </w:hyperlink>
        </w:p>
        <w:p>
          <w:pPr>
            <w:pStyle w:val="TOC2"/>
            <w:tabs>
              <w:tab w:val="clear" w:pos="8743"/>
              <w:tab w:val="right" w:pos="9025" w:leader="dot"/>
            </w:tabs>
            <w:rPr/>
          </w:pPr>
          <w:hyperlink w:anchor="__RefHeading___Toc19480_3183596538">
            <w:r>
              <w:rPr>
                <w:webHidden/>
                <w:rStyle w:val="IndexLink"/>
              </w:rPr>
              <w:t>3.1 Statistiques descriptives</w:t>
              <w:tab/>
              <w:t>42</w:t>
            </w:r>
          </w:hyperlink>
        </w:p>
        <w:p>
          <w:pPr>
            <w:pStyle w:val="TOC2"/>
            <w:tabs>
              <w:tab w:val="clear" w:pos="8743"/>
              <w:tab w:val="right" w:pos="9025" w:leader="dot"/>
            </w:tabs>
            <w:rPr/>
          </w:pPr>
          <w:hyperlink w:anchor="__RefHeading___Toc19482_3183596538">
            <w:r>
              <w:rPr>
                <w:webHidden/>
                <w:rStyle w:val="IndexLink"/>
              </w:rPr>
              <w:t>3.2 Modèles principaux</w:t>
              <w:tab/>
              <w:t>43</w:t>
            </w:r>
          </w:hyperlink>
        </w:p>
        <w:p>
          <w:pPr>
            <w:pStyle w:val="TOC2"/>
            <w:tabs>
              <w:tab w:val="clear" w:pos="8743"/>
              <w:tab w:val="right" w:pos="9025" w:leader="dot"/>
            </w:tabs>
            <w:rPr/>
          </w:pPr>
          <w:hyperlink w:anchor="__RefHeading___Toc19484_3183596538">
            <w:r>
              <w:rPr>
                <w:webHidden/>
                <w:rStyle w:val="IndexLink"/>
              </w:rPr>
              <w:t>3.3 Solidité des résultats</w:t>
              <w:tab/>
              <w:t>45</w:t>
            </w:r>
          </w:hyperlink>
        </w:p>
        <w:p>
          <w:pPr>
            <w:pStyle w:val="TOC2"/>
            <w:tabs>
              <w:tab w:val="clear" w:pos="8743"/>
              <w:tab w:val="right" w:pos="9025" w:leader="dot"/>
            </w:tabs>
            <w:rPr/>
          </w:pPr>
          <w:hyperlink w:anchor="__RefHeading___Toc19486_3183596538">
            <w:r>
              <w:rPr>
                <w:webHidden/>
                <w:rStyle w:val="IndexLink"/>
              </w:rPr>
              <w:t>3.4 Importance des variables</w:t>
              <w:tab/>
              <w:t>46</w:t>
            </w:r>
          </w:hyperlink>
        </w:p>
        <w:p>
          <w:pPr>
            <w:pStyle w:val="TOC2"/>
            <w:tabs>
              <w:tab w:val="clear" w:pos="8743"/>
              <w:tab w:val="right" w:pos="9025" w:leader="dot"/>
            </w:tabs>
            <w:rPr/>
          </w:pPr>
          <w:hyperlink w:anchor="__RefHeading___Toc19488_3183596538">
            <w:r>
              <w:rPr>
                <w:webHidden/>
                <w:rStyle w:val="IndexLink"/>
              </w:rPr>
              <w:t>3.5 Extensions sur les données françaises (E1 à E13)</w:t>
              <w:tab/>
              <w:t>47</w:t>
            </w:r>
          </w:hyperlink>
        </w:p>
        <w:p>
          <w:pPr>
            <w:pStyle w:val="TOC2"/>
            <w:tabs>
              <w:tab w:val="clear" w:pos="8743"/>
              <w:tab w:val="right" w:pos="9025" w:leader="dot"/>
            </w:tabs>
            <w:rPr/>
          </w:pPr>
          <w:hyperlink w:anchor="__RefHeading___Toc19490_3183596538">
            <w:r>
              <w:rPr>
                <w:webHidden/>
                <w:rStyle w:val="IndexLink"/>
              </w:rPr>
              <w:t>3.6 Panel européen et marche aléatoire (E15 à E18)</w:t>
              <w:tab/>
              <w:t>49</w:t>
            </w:r>
          </w:hyperlink>
        </w:p>
        <w:p>
          <w:pPr>
            <w:pStyle w:val="TOC2"/>
            <w:tabs>
              <w:tab w:val="clear" w:pos="8743"/>
              <w:tab w:val="right" w:pos="9025" w:leader="dot"/>
            </w:tabs>
            <w:rPr/>
          </w:pPr>
          <w:hyperlink w:anchor="__RefHeading___Toc19492_3183596538">
            <w:r>
              <w:rPr>
                <w:webHidden/>
                <w:rStyle w:val="IndexLink"/>
              </w:rPr>
              <w:t>3.7 Synthèse : état des hypothèses</w:t>
              <w:tab/>
              <w:t>50</w:t>
            </w:r>
          </w:hyperlink>
        </w:p>
        <w:p>
          <w:pPr>
            <w:pStyle w:val="TOC1"/>
            <w:tabs>
              <w:tab w:val="clear" w:pos="9026"/>
              <w:tab w:val="right" w:pos="9025" w:leader="dot"/>
            </w:tabs>
            <w:rPr/>
          </w:pPr>
          <w:hyperlink w:anchor="__RefHeading___Toc19494_3183596538">
            <w:r>
              <w:rPr>
                <w:webHidden/>
                <w:rStyle w:val="IndexLink"/>
              </w:rPr>
              <w:t>Chapitre 4 – Discussion</w:t>
              <w:tab/>
              <w:t>52</w:t>
            </w:r>
          </w:hyperlink>
        </w:p>
        <w:p>
          <w:pPr>
            <w:pStyle w:val="TOC2"/>
            <w:tabs>
              <w:tab w:val="clear" w:pos="8743"/>
              <w:tab w:val="right" w:pos="9025" w:leader="dot"/>
            </w:tabs>
            <w:rPr/>
          </w:pPr>
          <w:hyperlink w:anchor="__RefHeading___Toc19496_3183596538">
            <w:r>
              <w:rPr>
                <w:webHidden/>
                <w:rStyle w:val="IndexLink"/>
              </w:rPr>
              <w:t>4.1 Réponse à la problématique</w:t>
              <w:tab/>
              <w:t>52</w:t>
            </w:r>
          </w:hyperlink>
        </w:p>
        <w:p>
          <w:pPr>
            <w:pStyle w:val="TOC2"/>
            <w:tabs>
              <w:tab w:val="clear" w:pos="8743"/>
              <w:tab w:val="right" w:pos="9025" w:leader="dot"/>
            </w:tabs>
            <w:rPr/>
          </w:pPr>
          <w:hyperlink w:anchor="__RefHeading___Toc19498_3183596538">
            <w:r>
              <w:rPr>
                <w:webHidden/>
                <w:rStyle w:val="IndexLink"/>
              </w:rPr>
              <w:t>4.2 Pourquoi les dépenses n’aident pas : trois explications</w:t>
              <w:tab/>
              <w:t>52</w:t>
            </w:r>
          </w:hyperlink>
        </w:p>
        <w:p>
          <w:pPr>
            <w:pStyle w:val="TOC2"/>
            <w:tabs>
              <w:tab w:val="clear" w:pos="8743"/>
              <w:tab w:val="right" w:pos="9025" w:leader="dot"/>
            </w:tabs>
            <w:rPr/>
          </w:pPr>
          <w:hyperlink w:anchor="__RefHeading___Toc19500_3183596538">
            <w:r>
              <w:rPr>
                <w:webHidden/>
                <w:rStyle w:val="IndexLink"/>
              </w:rPr>
              <w:t>4.3 Ce que le résultat négatif veut dire, et ce qu’il ne veut pas dire</w:t>
              <w:tab/>
              <w:t>54</w:t>
            </w:r>
          </w:hyperlink>
        </w:p>
        <w:p>
          <w:pPr>
            <w:pStyle w:val="TOC2"/>
            <w:tabs>
              <w:tab w:val="clear" w:pos="8743"/>
              <w:tab w:val="right" w:pos="9025" w:leader="dot"/>
            </w:tabs>
            <w:rPr/>
          </w:pPr>
          <w:hyperlink w:anchor="__RefHeading___Toc19502_3183596538">
            <w:r>
              <w:rPr>
                <w:webHidden/>
                <w:rStyle w:val="IndexLink"/>
              </w:rPr>
              <w:t>4.4 Comparaison avec la littérature</w:t>
              <w:tab/>
              <w:t>56</w:t>
            </w:r>
          </w:hyperlink>
        </w:p>
        <w:p>
          <w:pPr>
            <w:pStyle w:val="TOC2"/>
            <w:tabs>
              <w:tab w:val="clear" w:pos="8743"/>
              <w:tab w:val="right" w:pos="9025" w:leader="dot"/>
            </w:tabs>
            <w:rPr/>
          </w:pPr>
          <w:hyperlink w:anchor="__RefHeading___Toc19504_3183596538">
            <w:r>
              <w:rPr>
                <w:webHidden/>
                <w:rStyle w:val="IndexLink"/>
              </w:rPr>
              <w:t>4.5 Limites</w:t>
              <w:tab/>
              <w:t>58</w:t>
            </w:r>
          </w:hyperlink>
        </w:p>
        <w:p>
          <w:pPr>
            <w:pStyle w:val="TOC2"/>
            <w:tabs>
              <w:tab w:val="clear" w:pos="8743"/>
              <w:tab w:val="right" w:pos="9025" w:leader="dot"/>
            </w:tabs>
            <w:rPr/>
          </w:pPr>
          <w:hyperlink w:anchor="__RefHeading___Toc19506_3183596538">
            <w:r>
              <w:rPr>
                <w:webHidden/>
                <w:rStyle w:val="IndexLink"/>
              </w:rPr>
              <w:t>4.6 Recherches futures</w:t>
              <w:tab/>
              <w:t>59</w:t>
            </w:r>
          </w:hyperlink>
        </w:p>
        <w:p>
          <w:pPr>
            <w:pStyle w:val="TOC1"/>
            <w:tabs>
              <w:tab w:val="clear" w:pos="9026"/>
              <w:tab w:val="right" w:pos="9025" w:leader="dot"/>
            </w:tabs>
            <w:rPr/>
          </w:pPr>
          <w:hyperlink w:anchor="__RefHeading___Toc19508_3183596538">
            <w:r>
              <w:rPr>
                <w:webHidden/>
                <w:rStyle w:val="IndexLink"/>
              </w:rPr>
              <w:t>Conclusion générale</w:t>
              <w:tab/>
              <w:t>61</w:t>
            </w:r>
          </w:hyperlink>
        </w:p>
        <w:p>
          <w:pPr>
            <w:pStyle w:val="TOC2"/>
            <w:tabs>
              <w:tab w:val="clear" w:pos="8743"/>
              <w:tab w:val="right" w:pos="9025" w:leader="dot"/>
            </w:tabs>
            <w:rPr/>
          </w:pPr>
          <w:hyperlink w:anchor="__RefHeading___Toc19510_3183596538">
            <w:r>
              <w:rPr>
                <w:webHidden/>
                <w:rStyle w:val="IndexLink"/>
              </w:rPr>
              <w:t>Principaux résultats</w:t>
              <w:tab/>
              <w:t>61</w:t>
            </w:r>
          </w:hyperlink>
        </w:p>
        <w:p>
          <w:pPr>
            <w:pStyle w:val="TOC2"/>
            <w:tabs>
              <w:tab w:val="clear" w:pos="8743"/>
              <w:tab w:val="right" w:pos="9025" w:leader="dot"/>
            </w:tabs>
            <w:rPr/>
          </w:pPr>
          <w:hyperlink w:anchor="__RefHeading___Toc19512_3183596538">
            <w:r>
              <w:rPr>
                <w:webHidden/>
                <w:rStyle w:val="IndexLink"/>
              </w:rPr>
              <w:t>Apports</w:t>
              <w:tab/>
              <w:t>61</w:t>
            </w:r>
          </w:hyperlink>
        </w:p>
        <w:p>
          <w:pPr>
            <w:pStyle w:val="TOC2"/>
            <w:tabs>
              <w:tab w:val="clear" w:pos="8743"/>
              <w:tab w:val="right" w:pos="9025" w:leader="dot"/>
            </w:tabs>
            <w:rPr/>
          </w:pPr>
          <w:hyperlink w:anchor="__RefHeading___Toc19514_3183596538">
            <w:r>
              <w:rPr>
                <w:webHidden/>
                <w:rStyle w:val="IndexLink"/>
              </w:rPr>
              <w:t>Limites</w:t>
              <w:tab/>
              <w:t>62</w:t>
            </w:r>
          </w:hyperlink>
        </w:p>
        <w:p>
          <w:pPr>
            <w:pStyle w:val="TOC2"/>
            <w:tabs>
              <w:tab w:val="clear" w:pos="8743"/>
              <w:tab w:val="right" w:pos="9025" w:leader="dot"/>
            </w:tabs>
            <w:rPr/>
          </w:pPr>
          <w:hyperlink w:anchor="__RefHeading___Toc19516_3183596538">
            <w:r>
              <w:rPr>
                <w:webHidden/>
                <w:rStyle w:val="IndexLink"/>
              </w:rPr>
              <w:t>Perspectives</w:t>
              <w:tab/>
              <w:t>62</w:t>
            </w:r>
          </w:hyperlink>
        </w:p>
        <w:p>
          <w:pPr>
            <w:pStyle w:val="TOC1"/>
            <w:tabs>
              <w:tab w:val="clear" w:pos="9026"/>
              <w:tab w:val="right" w:pos="9025" w:leader="dot"/>
            </w:tabs>
            <w:rPr/>
          </w:pPr>
          <w:hyperlink w:anchor="__RefHeading___Toc19518_3183596538">
            <w:r>
              <w:rPr>
                <w:webHidden/>
                <w:rStyle w:val="IndexLink"/>
              </w:rPr>
              <w:t>Références</w:t>
              <w:tab/>
              <w:t>63</w:t>
            </w:r>
          </w:hyperlink>
        </w:p>
        <w:p>
          <w:pPr>
            <w:pStyle w:val="TOC2"/>
            <w:tabs>
              <w:tab w:val="clear" w:pos="8743"/>
              <w:tab w:val="right" w:pos="9025" w:leader="dot"/>
            </w:tabs>
            <w:rPr/>
          </w:pPr>
          <w:hyperlink w:anchor="__RefHeading___Toc19520_3183596538">
            <w:r>
              <w:rPr>
                <w:webHidden/>
                <w:rStyle w:val="IndexLink"/>
              </w:rPr>
              <w:t>Sources en ligne</w:t>
              <w:tab/>
              <w:t>65</w:t>
            </w:r>
          </w:hyperlink>
        </w:p>
        <w:p>
          <w:pPr>
            <w:pStyle w:val="TOC1"/>
            <w:tabs>
              <w:tab w:val="clear" w:pos="9026"/>
              <w:tab w:val="right" w:pos="9025" w:leader="dot"/>
            </w:tabs>
            <w:rPr/>
          </w:pPr>
          <w:hyperlink w:anchor="__RefHeading___Toc19522_3183596538">
            <w:r>
              <w:rPr>
                <w:webHidden/>
                <w:rStyle w:val="IndexLink"/>
              </w:rPr>
              <w:t>Annexes</w:t>
              <w:tab/>
              <w:t>66</w:t>
            </w:r>
          </w:hyperlink>
        </w:p>
        <w:p>
          <w:pPr>
            <w:pStyle w:val="TOC2"/>
            <w:tabs>
              <w:tab w:val="clear" w:pos="8743"/>
              <w:tab w:val="right" w:pos="9025" w:leader="dot"/>
            </w:tabs>
            <w:rPr/>
          </w:pPr>
          <w:hyperlink w:anchor="__RefHeading___Toc19524_3183596538">
            <w:r>
              <w:rPr>
                <w:webHidden/>
                <w:rStyle w:val="IndexLink"/>
              </w:rPr>
              <w:t>Annexe A – Variables des modèles principaux</w:t>
              <w:tab/>
              <w:t>66</w:t>
            </w:r>
          </w:hyperlink>
        </w:p>
        <w:p>
          <w:pPr>
            <w:pStyle w:val="TOC2"/>
            <w:tabs>
              <w:tab w:val="clear" w:pos="8743"/>
              <w:tab w:val="right" w:pos="9025" w:leader="dot"/>
            </w:tabs>
            <w:rPr/>
          </w:pPr>
          <w:hyperlink w:anchor="__RefHeading___Toc19526_3183596538">
            <w:r>
              <w:rPr>
                <w:webHidden/>
                <w:rStyle w:val="IndexLink"/>
              </w:rPr>
              <w:t>Annexe B – Détail des extensions E1 à E20</w:t>
              <w:tab/>
              <w:t>66</w:t>
            </w:r>
          </w:hyperlink>
        </w:p>
        <w:p>
          <w:pPr>
            <w:pStyle w:val="TOC2"/>
            <w:tabs>
              <w:tab w:val="clear" w:pos="8743"/>
              <w:tab w:val="right" w:pos="9025" w:leader="dot"/>
            </w:tabs>
            <w:rPr/>
          </w:pPr>
          <w:hyperlink w:anchor="__RefHeading___Toc19528_3183596538">
            <w:r>
              <w:rPr>
                <w:webHidden/>
                <w:rStyle w:val="IndexLink"/>
              </w:rPr>
              <w:t>Annexe C – Sensibilité à la graine aléatoire</w:t>
              <w:tab/>
              <w:t>78</w:t>
            </w:r>
          </w:hyperlink>
        </w:p>
        <w:p>
          <w:pPr>
            <w:pStyle w:val="TOC2"/>
            <w:tabs>
              <w:tab w:val="clear" w:pos="8743"/>
              <w:tab w:val="right" w:pos="9025" w:leader="dot"/>
            </w:tabs>
            <w:rPr/>
          </w:pPr>
          <w:hyperlink w:anchor="__RefHeading___Toc19530_3183596538">
            <w:r>
              <w:rPr>
                <w:webHidden/>
                <w:rStyle w:val="IndexLink"/>
              </w:rPr>
              <w:t>Annexe D – Contrôle négatif : dépenses contre variables de bruit</w:t>
              <w:tab/>
              <w:t>78</w:t>
            </w:r>
          </w:hyperlink>
        </w:p>
        <w:p>
          <w:pPr>
            <w:pStyle w:val="TOC2"/>
            <w:tabs>
              <w:tab w:val="clear" w:pos="8743"/>
              <w:tab w:val="right" w:pos="9025" w:leader="dot"/>
            </w:tabs>
            <w:rPr/>
          </w:pPr>
          <w:hyperlink w:anchor="__RefHeading___Toc19532_3183596538">
            <w:r>
              <w:rPr>
                <w:webHidden/>
                <w:rStyle w:val="IndexLink"/>
              </w:rPr>
              <w:t>Annexe E – Robustesse au décalage de publication</w:t>
              <w:tab/>
              <w:t>78</w:t>
            </w:r>
          </w:hyperlink>
        </w:p>
        <w:p>
          <w:pPr>
            <w:pStyle w:val="TOC2"/>
            <w:tabs>
              <w:tab w:val="clear" w:pos="8743"/>
              <w:tab w:val="right" w:pos="9025" w:leader="dot"/>
            </w:tabs>
            <w:rPr/>
          </w:pPr>
          <w:hyperlink w:anchor="__RefHeading___Toc19534_3183596538">
            <w:r>
              <w:rPr>
                <w:webHidden/>
                <w:rStyle w:val="IndexLink"/>
              </w:rPr>
              <w:t>Annexe F – Code et reproductibilité</w:t>
              <w:tab/>
              <w:t>79</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424_3183596538"/>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19536_3183596538">
            <w:bookmarkStart w:id="18" w:name="liste-des-tableaux"/>
            <w:bookmarkEnd w:id="18"/>
            <w:r>
              <w:rPr>
                <w:webHidden/>
                <w:rStyle w:val="IndexLink"/>
              </w:rPr>
              <w:t>Tableau 1.1 – Principaux travaux recensés</w:t>
              <w:tab/>
              <w:t>24</w:t>
            </w:r>
          </w:hyperlink>
        </w:p>
        <w:p>
          <w:pPr>
            <w:pStyle w:val="TOC1"/>
            <w:tabs>
              <w:tab w:val="clear" w:pos="9026"/>
              <w:tab w:val="right" w:pos="9025" w:leader="dot"/>
            </w:tabs>
            <w:rPr/>
          </w:pPr>
          <w:hyperlink w:anchor="__RefHeading___Toc19578_3183596538">
            <w:r>
              <w:rPr>
                <w:webHidden/>
                <w:rStyle w:val="IndexLink"/>
              </w:rPr>
              <w:t>Tableau 2.1 – Sources des données</w:t>
              <w:tab/>
              <w:t>28</w:t>
            </w:r>
          </w:hyperlink>
        </w:p>
        <w:p>
          <w:pPr>
            <w:pStyle w:val="TOC1"/>
            <w:tabs>
              <w:tab w:val="clear" w:pos="9026"/>
              <w:tab w:val="right" w:pos="9025" w:leader="dot"/>
            </w:tabs>
            <w:rPr/>
          </w:pPr>
          <w:hyperlink w:anchor="__RefHeading___Toc19576_3183596538">
            <w:r>
              <w:rPr>
                <w:webHidden/>
                <w:rStyle w:val="IndexLink"/>
              </w:rPr>
              <w:t>Tableau 2.2 – Soldes annuels reconstitués</w:t>
              <w:tab/>
              <w:t>31</w:t>
            </w:r>
          </w:hyperlink>
        </w:p>
        <w:p>
          <w:pPr>
            <w:pStyle w:val="TOC1"/>
            <w:tabs>
              <w:tab w:val="clear" w:pos="9026"/>
              <w:tab w:val="right" w:pos="9025" w:leader="dot"/>
            </w:tabs>
            <w:rPr/>
          </w:pPr>
          <w:hyperlink w:anchor="__RefHeading___Toc19574_3183596538">
            <w:r>
              <w:rPr>
                <w:webHidden/>
                <w:rStyle w:val="IndexLink"/>
              </w:rPr>
              <w:t>Tableau 2.3 – Variables cibles</w:t>
              <w:tab/>
              <w:t>32</w:t>
            </w:r>
          </w:hyperlink>
        </w:p>
        <w:p>
          <w:pPr>
            <w:pStyle w:val="TOC1"/>
            <w:tabs>
              <w:tab w:val="clear" w:pos="9026"/>
              <w:tab w:val="right" w:pos="9025" w:leader="dot"/>
            </w:tabs>
            <w:rPr/>
          </w:pPr>
          <w:hyperlink w:anchor="__RefHeading___Toc19572_3183596538">
            <w:r>
              <w:rPr>
                <w:webHidden/>
                <w:rStyle w:val="IndexLink"/>
              </w:rPr>
              <w:t>Tableau 2.4 – Test de stationnarité (Dickey-Fuller augmenté)</w:t>
              <w:tab/>
              <w:t>33</w:t>
            </w:r>
          </w:hyperlink>
        </w:p>
        <w:p>
          <w:pPr>
            <w:pStyle w:val="TOC1"/>
            <w:tabs>
              <w:tab w:val="clear" w:pos="9026"/>
              <w:tab w:val="right" w:pos="9025" w:leader="dot"/>
            </w:tabs>
            <w:rPr/>
          </w:pPr>
          <w:hyperlink w:anchor="__RefHeading___Toc19570_3183596538">
            <w:r>
              <w:rPr>
                <w:webHidden/>
                <w:rStyle w:val="IndexLink"/>
              </w:rPr>
              <w:t>Tableau 2.5 – Jeux de variables emboîtés</w:t>
              <w:tab/>
              <w:t>33</w:t>
            </w:r>
          </w:hyperlink>
        </w:p>
        <w:p>
          <w:pPr>
            <w:pStyle w:val="TOC1"/>
            <w:tabs>
              <w:tab w:val="clear" w:pos="9026"/>
              <w:tab w:val="right" w:pos="9025" w:leader="dot"/>
            </w:tabs>
            <w:rPr/>
          </w:pPr>
          <w:hyperlink w:anchor="__RefHeading___Toc19568_3183596538">
            <w:r>
              <w:rPr>
                <w:webHidden/>
                <w:rStyle w:val="IndexLink"/>
              </w:rPr>
              <w:t>Tableau 2.6 – Modèles comparés</w:t>
              <w:tab/>
              <w:t>35</w:t>
            </w:r>
          </w:hyperlink>
        </w:p>
        <w:p>
          <w:pPr>
            <w:pStyle w:val="TOC1"/>
            <w:tabs>
              <w:tab w:val="clear" w:pos="9026"/>
              <w:tab w:val="right" w:pos="9025" w:leader="dot"/>
            </w:tabs>
            <w:rPr/>
          </w:pPr>
          <w:hyperlink w:anchor="__RefHeading___Toc19566_3183596538">
            <w:r>
              <w:rPr>
                <w:webHidden/>
                <w:rStyle w:val="IndexLink"/>
              </w:rPr>
              <w:t>Tableau 2.7 – Mesures de performance</w:t>
              <w:tab/>
              <w:t>37</w:t>
            </w:r>
          </w:hyperlink>
        </w:p>
        <w:p>
          <w:pPr>
            <w:pStyle w:val="TOC1"/>
            <w:tabs>
              <w:tab w:val="clear" w:pos="9026"/>
              <w:tab w:val="right" w:pos="9025" w:leader="dot"/>
            </w:tabs>
            <w:rPr/>
          </w:pPr>
          <w:hyperlink w:anchor="__RefHeading___Toc19564_3183596538">
            <w:r>
              <w:rPr>
                <w:webHidden/>
                <w:rStyle w:val="IndexLink"/>
              </w:rPr>
              <w:t>Tableau 2.8 – Extensions testées</w:t>
              <w:tab/>
              <w:t>39</w:t>
            </w:r>
          </w:hyperlink>
        </w:p>
        <w:p>
          <w:pPr>
            <w:pStyle w:val="TOC1"/>
            <w:tabs>
              <w:tab w:val="clear" w:pos="9026"/>
              <w:tab w:val="right" w:pos="9025" w:leader="dot"/>
            </w:tabs>
            <w:rPr/>
          </w:pPr>
          <w:hyperlink w:anchor="__RefHeading___Toc19562_3183596538">
            <w:r>
              <w:rPr>
                <w:webHidden/>
                <w:rStyle w:val="IndexLink"/>
              </w:rPr>
              <w:t>Tableau 3.1 – Statistiques des variables cibles (mars 2014 – juillet 2026, 149 mois)</w:t>
              <w:tab/>
              <w:t>42</w:t>
            </w:r>
          </w:hyperlink>
        </w:p>
        <w:p>
          <w:pPr>
            <w:pStyle w:val="TOC1"/>
            <w:tabs>
              <w:tab w:val="clear" w:pos="9026"/>
              <w:tab w:val="right" w:pos="9025" w:leader="dot"/>
            </w:tabs>
            <w:rPr/>
          </w:pPr>
          <w:hyperlink w:anchor="__RefHeading___Toc19560_3183596538">
            <w:r>
              <w:rPr>
                <w:webHidden/>
                <w:rStyle w:val="IndexLink"/>
              </w:rPr>
              <w:t>Tableau 3.2 – R² hors échantillon par rapport à la moyenne historique (%), janvier 2020 – juillet 2026</w:t>
              <w:tab/>
              <w:t>43</w:t>
            </w:r>
          </w:hyperlink>
        </w:p>
        <w:p>
          <w:pPr>
            <w:pStyle w:val="TOC1"/>
            <w:tabs>
              <w:tab w:val="clear" w:pos="9026"/>
              <w:tab w:val="right" w:pos="9025" w:leader="dot"/>
            </w:tabs>
            <w:rPr/>
          </w:pPr>
          <w:hyperlink w:anchor="__RefHeading___Toc19558_3183596538">
            <w:r>
              <w:rPr>
                <w:webHidden/>
                <w:rStyle w:val="IndexLink"/>
              </w:rPr>
              <w:t>Tableau 3.3 – Tests de Diebold-Mariano (p-values bilatérales)</w:t>
              <w:tab/>
              <w:t>44</w:t>
            </w:r>
          </w:hyperlink>
        </w:p>
        <w:p>
          <w:pPr>
            <w:pStyle w:val="TOC1"/>
            <w:tabs>
              <w:tab w:val="clear" w:pos="9026"/>
              <w:tab w:val="right" w:pos="9025" w:leader="dot"/>
            </w:tabs>
            <w:rPr/>
          </w:pPr>
          <w:hyperlink w:anchor="__RefHeading___Toc19556_3183596538">
            <w:r>
              <w:rPr>
                <w:webHidden/>
                <w:rStyle w:val="IndexLink"/>
              </w:rPr>
              <w:t>Tableau 3.4 – Contrôle positif : part des tirages où le signal est retrouvé (Ridge, 10 tirages)</w:t>
              <w:tab/>
              <w:t>45</w:t>
            </w:r>
          </w:hyperlink>
        </w:p>
        <w:p>
          <w:pPr>
            <w:pStyle w:val="TOC1"/>
            <w:tabs>
              <w:tab w:val="clear" w:pos="9026"/>
              <w:tab w:val="right" w:pos="9025" w:leader="dot"/>
            </w:tabs>
            <w:rPr/>
          </w:pPr>
          <w:hyperlink w:anchor="__RefHeading___Toc19554_3183596538">
            <w:r>
              <w:rPr>
                <w:webHidden/>
                <w:rStyle w:val="IndexLink"/>
              </w:rPr>
              <w:t>Tableau 3.5 – Part de l’importance SHAP des sept variables ajoutées à M0 (%)</w:t>
              <w:tab/>
              <w:t>46</w:t>
            </w:r>
          </w:hyperlink>
        </w:p>
        <w:p>
          <w:pPr>
            <w:pStyle w:val="TOC1"/>
            <w:tabs>
              <w:tab w:val="clear" w:pos="9026"/>
              <w:tab w:val="right" w:pos="9025" w:leader="dot"/>
            </w:tabs>
            <w:rPr/>
          </w:pPr>
          <w:hyperlink w:anchor="__RefHeading___Toc19552_3183596538">
            <w:r>
              <w:rPr>
                <w:webHidden/>
                <w:rStyle w:val="IndexLink"/>
              </w:rPr>
              <w:t>Tableau 3.6 – Meilleur R² hors échantillon sans / avec dépenses, par extension (%)</w:t>
              <w:tab/>
              <w:t>47</w:t>
            </w:r>
          </w:hyperlink>
        </w:p>
        <w:p>
          <w:pPr>
            <w:pStyle w:val="TOC1"/>
            <w:tabs>
              <w:tab w:val="clear" w:pos="9026"/>
              <w:tab w:val="right" w:pos="9025" w:leader="dot"/>
            </w:tabs>
            <w:rPr/>
          </w:pPr>
          <w:hyperlink w:anchor="__RefHeading___Toc19550_3183596538">
            <w:r>
              <w:rPr>
                <w:webHidden/>
                <w:rStyle w:val="IndexLink"/>
              </w:rPr>
              <w:t>Tableau 3.7 – E16 : niveau du spread, comparaison à la marche aléatoire (avec finances publiques)</w:t>
              <w:tab/>
              <w:t>50</w:t>
            </w:r>
          </w:hyperlink>
        </w:p>
        <w:p>
          <w:pPr>
            <w:pStyle w:val="TOC1"/>
            <w:tabs>
              <w:tab w:val="clear" w:pos="9026"/>
              <w:tab w:val="right" w:pos="9025" w:leader="dot"/>
            </w:tabs>
            <w:rPr/>
          </w:pPr>
          <w:hyperlink w:anchor="__RefHeading___Toc19548_3183596538">
            <w:r>
              <w:rPr>
                <w:webHidden/>
                <w:rStyle w:val="IndexLink"/>
              </w:rPr>
              <w:t>Tableau 3.8 – État des hypothèses</w:t>
              <w:tab/>
              <w:t>50</w:t>
            </w:r>
          </w:hyperlink>
        </w:p>
        <w:p>
          <w:pPr>
            <w:pStyle w:val="TOC1"/>
            <w:tabs>
              <w:tab w:val="clear" w:pos="9026"/>
              <w:tab w:val="right" w:pos="9025" w:leader="dot"/>
            </w:tabs>
            <w:rPr/>
          </w:pPr>
          <w:hyperlink w:anchor="__RefHeading___Toc19546_3183596538">
            <w:r>
              <w:rPr>
                <w:webHidden/>
                <w:rStyle w:val="IndexLink"/>
              </w:rPr>
              <w:t>Tableau A.1 – Variables des jeux emboîtés M0, M1 et M2</w:t>
              <w:tab/>
              <w:t>66</w:t>
            </w:r>
          </w:hyperlink>
        </w:p>
        <w:p>
          <w:pPr>
            <w:pStyle w:val="TOC1"/>
            <w:tabs>
              <w:tab w:val="clear" w:pos="9026"/>
              <w:tab w:val="right" w:pos="9025" w:leader="dot"/>
            </w:tabs>
            <w:rPr/>
          </w:pPr>
          <w:hyperlink w:anchor="__RefHeading___Toc19544_3183596538">
            <w:r>
              <w:rPr>
                <w:webHidden/>
                <w:rStyle w:val="IndexLink"/>
              </w:rPr>
              <w:t>Tableau B.1 – Résultats des 210 comparaisons</w:t>
              <w:tab/>
              <w:t>66</w:t>
            </w:r>
          </w:hyperlink>
        </w:p>
        <w:p>
          <w:pPr>
            <w:pStyle w:val="TOC1"/>
            <w:tabs>
              <w:tab w:val="clear" w:pos="9026"/>
              <w:tab w:val="right" w:pos="9025" w:leader="dot"/>
            </w:tabs>
            <w:rPr/>
          </w:pPr>
          <w:hyperlink w:anchor="__RefHeading___Toc19542_3183596538">
            <w:r>
              <w:rPr>
                <w:webHidden/>
                <w:rStyle w:val="IndexLink"/>
              </w:rPr>
              <w:t>Tableau C.1 – R² hors échantillon (%) selon la graine</w:t>
              <w:tab/>
              <w:t>78</w:t>
            </w:r>
          </w:hyperlink>
        </w:p>
        <w:p>
          <w:pPr>
            <w:pStyle w:val="TOC1"/>
            <w:tabs>
              <w:tab w:val="clear" w:pos="9026"/>
              <w:tab w:val="right" w:pos="9025" w:leader="dot"/>
            </w:tabs>
            <w:rPr/>
          </w:pPr>
          <w:hyperlink w:anchor="__RefHeading___Toc19540_3183596538">
            <w:r>
              <w:rPr>
                <w:webHidden/>
                <w:rStyle w:val="IndexLink"/>
              </w:rPr>
              <w:t>Tableau D.1 – Gain de R² par rapport à M0 (points) : vraies dépenses et sept variables de bruit</w:t>
              <w:tab/>
              <w:t>78</w:t>
            </w:r>
          </w:hyperlink>
        </w:p>
        <w:p>
          <w:pPr>
            <w:pStyle w:val="TOC1"/>
            <w:tabs>
              <w:tab w:val="clear" w:pos="9026"/>
              <w:tab w:val="right" w:pos="9025" w:leader="dot"/>
            </w:tabs>
            <w:rPr/>
          </w:pPr>
          <w:hyperlink w:anchor="__RefHeading___Toc19538_3183596538">
            <w:r>
              <w:rPr>
                <w:webHidden/>
                <w:rStyle w:val="IndexLink"/>
              </w:rPr>
              <w:t>Tableau E.1 – Modèles principaux avec un décalage budgétaire de 1, 2 et 3 mois</w:t>
              <w:tab/>
              <w:t>78</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bCs/>
          <w:i w:val="false"/>
          <w:i w:val="false"/>
          <w:color w:val="000000"/>
          <w:sz w:val="28"/>
          <w:szCs w:val="32"/>
        </w:rPr>
      </w:pPr>
      <w:bookmarkStart w:id="19" w:name="__RefHeading___Toc19426_3183596538"/>
      <w:bookmarkStart w:id="20" w:name="liste-des-figures"/>
      <w:bookmarkEnd w:id="19"/>
      <w:bookmarkEnd w:id="20"/>
      <w:r>
        <w:rPr>
          <w:rFonts w:eastAsia="Times New Roman" w:cs="Times New Roman"/>
          <w:b/>
          <w:bCs/>
          <w:i w:val="false"/>
          <w:color w:val="000000"/>
          <w:sz w:val="28"/>
          <w:szCs w:val="32"/>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19580_3183596538">
            <w:r>
              <w:rPr>
                <w:webHidden/>
                <w:rStyle w:val="IndexLink"/>
              </w:rPr>
              <w:t>Figure 3.1 – Distribution des trois cibles</w:t>
              <w:tab/>
              <w:t>43</w:t>
            </w:r>
          </w:hyperlink>
        </w:p>
        <w:p>
          <w:pPr>
            <w:pStyle w:val="TOC1"/>
            <w:tabs>
              <w:tab w:val="clear" w:pos="9026"/>
              <w:tab w:val="right" w:pos="9025" w:leader="dot"/>
            </w:tabs>
            <w:rPr/>
          </w:pPr>
          <w:hyperlink w:anchor="__RefHeading___Toc19586_3183596538">
            <w:r>
              <w:rPr>
                <w:webHidden/>
                <w:rStyle w:val="IndexLink"/>
              </w:rPr>
              <w:t>Figure 3.2 – RMSE relatif à la moyenne historique</w:t>
              <w:tab/>
              <w:t>45</w:t>
            </w:r>
          </w:hyperlink>
        </w:p>
        <w:p>
          <w:pPr>
            <w:pStyle w:val="TOC1"/>
            <w:tabs>
              <w:tab w:val="clear" w:pos="9026"/>
              <w:tab w:val="right" w:pos="9025" w:leader="dot"/>
            </w:tabs>
            <w:rPr/>
          </w:pPr>
          <w:hyperlink w:anchor="__RefHeading___Toc19584_3183596538">
            <w:r>
              <w:rPr>
                <w:webHidden/>
                <w:rStyle w:val="IndexLink"/>
              </w:rPr>
              <w:t>Figure 3.3 – Importance SHAP des variables</w:t>
              <w:tab/>
              <w:t>47</w:t>
            </w:r>
          </w:hyperlink>
        </w:p>
        <w:p>
          <w:pPr>
            <w:pStyle w:val="TOC1"/>
            <w:tabs>
              <w:tab w:val="clear" w:pos="9026"/>
              <w:tab w:val="right" w:pos="9025" w:leader="dot"/>
            </w:tabs>
            <w:rPr/>
          </w:pPr>
          <w:hyperlink w:anchor="__RefHeading___Toc19582_3183596538">
            <w:r>
              <w:rPr>
                <w:webHidden/>
                <w:rStyle w:val="IndexLink"/>
              </w:rPr>
              <w:t>Figure 3.4 – Synthèse des extensions</w:t>
              <w:tab/>
              <w:t>49</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428_3183596538"/>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(gradient boosting)</w:t>
            </w:r>
            <w:bookmarkStart w:id="24" w:name="liste-des-abréviations"/>
            <w:bookmarkEnd w:id="24"/>
          </w:p>
        </w:tc>
      </w:tr>
    </w:tbl>
    <w:p>
      <w:pPr>
        <w:pStyle w:val="Heading1"/>
        <w:rPr/>
      </w:pPr>
      <w:bookmarkStart w:id="25" w:name="__RefHeading___Toc19430_3183596538"/>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19432_3183596538"/>
      <w:bookmarkStart w:id="27" w:name="introduction-générale"/>
      <w:bookmarkEnd w:id="26"/>
      <w:bookmarkEnd w:id="27"/>
      <w:r>
        <w:rPr/>
        <w:t>Introduction générale</w:t>
      </w:r>
    </w:p>
    <w:p>
      <w:pPr>
        <w:pStyle w:val="Heading2"/>
        <w:rPr/>
      </w:pPr>
      <w:bookmarkStart w:id="28" w:name="__RefHeading___Toc19434_3183596538"/>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bookmarkStart w:id="30" w:name="contexte"/>
      <w:r>
        <w:rPr/>
        <w:t>Enfin, les méthodes de machine learning sont de plus en plus utilisées pour prévoir les variables financières. Des travaux récents annoncent de très bonnes performances pour la prévision des spreads souverains européens (Bouillot et al., 2025).</w:t>
      </w:r>
      <w:bookmarkEnd w:id="30"/>
    </w:p>
    <w:p>
      <w:pPr>
        <w:pStyle w:val="Heading2"/>
        <w:rPr/>
      </w:pPr>
      <w:bookmarkStart w:id="31" w:name="__RefHeading___Toc19436_3183596538"/>
      <w:bookmarkStart w:id="32" w:name="problématique"/>
      <w:bookmarkEnd w:id="31"/>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bookmarkStart w:id="33" w:name="problématique"/>
      <w:r>
        <w:rPr/>
        <w:t>La réponse n’est pas évidente. D’un côté, les études européennes montrent que les finances publiques expliquent une partie du niveau des spreads, surtout en période de crise (Afonso et al., 2015). De l’autre, la théorie des marchés efficients (Fama, 1970) et les travaux sur l’anticipation des dépenses (Ramey, 2011) suggèrent qu’une information connue, ou prévisible, est déjà dans les prix. Un résultat négatif est donc aussi plausible qu’un résultat positif, et les deux seraient instructifs.</w:t>
      </w:r>
      <w:bookmarkEnd w:id="33"/>
    </w:p>
    <w:p>
      <w:pPr>
        <w:pStyle w:val="Heading2"/>
        <w:rPr/>
      </w:pPr>
      <w:bookmarkStart w:id="34" w:name="__RefHeading___Toc19438_3183596538"/>
      <w:bookmarkStart w:id="35" w:name="objectif-et-démarche"/>
      <w:bookmarkEnd w:id="34"/>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6" w:name="objectif-et-démarche"/>
      <w:r>
        <w:rPr/>
        <w:t>Une attention particulière est portée à la rigueur de l’évaluation. Les données budgétaires sont décalées de leur délai réel de publication, pour ne jamais utiliser une information qui n’était pas encore connue. Vingt extensions testent d’autres horizons, d’autres cibles et un panel de cinq pays européens. Enfin, des contrôles avec un signal fictif et avec des variables de bruit permettent de savoir ce que notre dispositif est capable de détecter.</w:t>
      </w:r>
      <w:bookmarkEnd w:id="36"/>
    </w:p>
    <w:p>
      <w:pPr>
        <w:pStyle w:val="Heading2"/>
        <w:rPr/>
      </w:pPr>
      <w:bookmarkStart w:id="37" w:name="__RefHeading___Toc19440_3183596538"/>
      <w:bookmarkStart w:id="38" w:name="apports"/>
      <w:bookmarkEnd w:id="37"/>
      <w:r>
        <w:rPr/>
        <w:t>Apports</w:t>
      </w:r>
    </w:p>
    <w:p>
      <w:pPr>
        <w:pStyle w:val="FirstParagraph"/>
        <w:rPr/>
      </w:pPr>
      <w:bookmarkStart w:id="39" w:name="apports"/>
      <w:r>
        <w:rPr/>
        <w:t>Ce travail apporte trois contributions. D’abord, il isole l’apport des dépenses publiques, que les études de prévision mélangent habituellement à des centaines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9"/>
    </w:p>
    <w:p>
      <w:pPr>
        <w:pStyle w:val="Heading2"/>
        <w:rPr/>
      </w:pPr>
      <w:bookmarkStart w:id="40" w:name="__RefHeading___Toc19442_3183596538"/>
      <w:bookmarkStart w:id="41" w:name="plan-du-mémoire"/>
      <w:bookmarkEnd w:id="40"/>
      <w:bookmarkEnd w:id="41"/>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limites et pistes de recherche. La conclusion résume les apports du travail.</w:t>
      </w:r>
    </w:p>
    <w:p>
      <w:pPr>
        <w:pStyle w:val="Normal"/>
        <w:rPr/>
      </w:pPr>
      <w:r>
        <w:rPr/>
      </w:r>
      <w:bookmarkStart w:id="42" w:name="introduction-générale"/>
      <w:bookmarkStart w:id="43" w:name="plan-du-mémoire"/>
      <w:bookmarkStart w:id="44" w:name="introduction-générale"/>
      <w:bookmarkStart w:id="45" w:name="plan-du-mémoire"/>
      <w:bookmarkEnd w:id="44"/>
      <w:bookmarkEnd w:id="45"/>
      <w:r>
        <w:br w:type="page"/>
      </w:r>
    </w:p>
    <w:p>
      <w:pPr>
        <w:pStyle w:val="Heading1"/>
        <w:spacing w:before="0" w:after="240"/>
        <w:rPr/>
      </w:pPr>
      <w:bookmarkStart w:id="46" w:name="__RefHeading___Toc19444_3183596538"/>
      <w:bookmarkStart w:id="47" w:name="chapitre-1-état-de-lart"/>
      <w:bookmarkEnd w:id="46"/>
      <w:bookmarkEnd w:id="47"/>
      <w:r>
        <w:rPr/>
        <w:t>Chapitre 1 – État de l’art</w:t>
      </w:r>
    </w:p>
    <w:p>
      <w:pPr>
        <w:pStyle w:val="Heading2"/>
        <w:rPr/>
      </w:pPr>
      <w:bookmarkStart w:id="48" w:name="__RefHeading___Toc19446_3183596538"/>
      <w:bookmarkStart w:id="49" w:name="introduction-du-chapitre"/>
      <w:bookmarkEnd w:id="48"/>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50"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50"/>
    </w:p>
    <w:p>
      <w:pPr>
        <w:pStyle w:val="Heading2"/>
        <w:rPr/>
      </w:pPr>
      <w:bookmarkStart w:id="51" w:name="__RefHeading___Toc19448_3183596538"/>
      <w:bookmarkStart w:id="52" w:name="cadre-théorique-ce-que-lon-peut-attendre"/>
      <w:bookmarkEnd w:id="51"/>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3" w:name="dépenses-publiques-et-taux-deux-visions"/>
      <w:r>
        <w:rPr/>
        <w:t>1.1.1 Dépenses publiques et taux : deux visions.</w:t>
      </w:r>
    </w:p>
    <w:p>
      <w:pPr>
        <w:pStyle w:val="FirstParagraph"/>
        <w:rPr/>
      </w:pPr>
      <w:bookmarkStart w:id="54" w:name="dépenses-publiques-et-taux-deux-visions"/>
      <w:r>
        <w:rPr/>
        <w:t>Dans la vision keynésienne, une hausse des dépenses financée par l’emprunt augmente la demande de fonds et fait monter les taux d’intérêt. Elle peut alors évincer une partie de l’investissement privé. À l’inverse, l’équivalence ricardienne de Barro (1974) suppose que les ménages anticipent les impôts futurs et épargnent davantage, ce qui annule l’effet sur les taux. La théorie ne tranche donc pas : la question est empirique.</w:t>
      </w:r>
      <w:bookmarkEnd w:id="54"/>
    </w:p>
    <w:p>
      <w:pPr>
        <w:pStyle w:val="Heading3"/>
        <w:rPr/>
      </w:pPr>
      <w:bookmarkStart w:id="55" w:name="lefficience-des-marchés-fama-1970"/>
      <w:r>
        <w:rPr/>
        <w:t>1.1.2 L’efficience des marchés (Fama, 1970).</w:t>
      </w:r>
    </w:p>
    <w:p>
      <w:pPr>
        <w:pStyle w:val="FirstParagraph"/>
        <w:rPr/>
      </w:pPr>
      <w:r>
        <w:rPr/>
        <w:t>Selon l’hypothèse d’efficience, dans sa forme semi-forte, les prix reflètent déjà toute l’information publique. Aucune donnée publique ne devrait alors permettre de prévoir de façon régulière les variations des prix.</w:t>
      </w:r>
    </w:p>
    <w:p>
      <w:pPr>
        <w:pStyle w:val="BodyText"/>
        <w:rPr/>
      </w:pPr>
      <w:bookmarkStart w:id="56" w:name="lefficience-des-marchés-fama-1970"/>
      <w:r>
        <w:rPr/>
        <w:t>Cela nous concerne directement. Les situations budgétaires de l’État sont publiques. Si le marché obligataire est efficient, elles sont intégrées dans le spread dès leur publication, et elles ne servent plus à prévoir le mois suivant.</w:t>
      </w:r>
      <w:bookmarkEnd w:id="56"/>
    </w:p>
    <w:p>
      <w:pPr>
        <w:pStyle w:val="Heading3"/>
        <w:rPr/>
      </w:pPr>
      <w:bookmarkStart w:id="57" w:name="les-dépenses-sont-anticipées-ramey-2011"/>
      <w:r>
        <w:rPr/>
        <w:t>1.1.3 Les dépenses sont anticipées (Ramey, 2011).</w:t>
      </w:r>
    </w:p>
    <w:p>
      <w:pPr>
        <w:pStyle w:val="FirstParagraph"/>
        <w:rPr/>
      </w:pPr>
      <w:r>
        <w:rPr/>
        <w:t>Ramey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8" w:name="les-dépenses-sont-anticipées-ramey-2011"/>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8"/>
    </w:p>
    <w:p>
      <w:pPr>
        <w:pStyle w:val="Heading3"/>
        <w:rPr/>
      </w:pPr>
      <w:bookmarkStart w:id="59" w:name="X07aa42a22fbcb3dee6d214c760cc0c20eb897be"/>
      <w:r>
        <w:rPr/>
        <w:t>1.1.4 Peu de prédicteurs résistent hors échantillon (Welch et Goyal, 2008).</w:t>
      </w:r>
    </w:p>
    <w:p>
      <w:pPr>
        <w:pStyle w:val="FirstParagraph"/>
        <w:rPr/>
      </w:pPr>
      <w:bookmarkStart w:id="60" w:name="X07aa42a22fbcb3dee6d214c760cc0c20eb897be"/>
      <w:r>
        <w:rPr/>
        <w:t>Welch et Goyal testent les variables les plus connues pour prévoir le rendement des actions. La plupart semblent fonctionner sur les données qui ont servi à les estimer. Mais sur des données nouvelles, elles font rarement mieux qu’une simple moyenne historique. Campbell et Thompson (2008) nuancent ce constat : avec quelques contraintes de bon sens, certains prédicteurs battent légèrement la moyenne, et même un petit gain peut avoir de la valeur.</w:t>
      </w:r>
      <w:bookmarkEnd w:id="60"/>
    </w:p>
    <w:p>
      <w:pPr>
        <w:pStyle w:val="Heading3"/>
        <w:rPr/>
      </w:pPr>
      <w:bookmarkStart w:id="61" w:name="ce-que-nous-en-retenons"/>
      <w:r>
        <w:rPr/>
        <w:t>1.1.5 Ce que nous en retenons.</w:t>
      </w:r>
    </w:p>
    <w:p>
      <w:pPr>
        <w:pStyle w:val="Compact"/>
        <w:numPr>
          <w:ilvl w:val="0"/>
          <w:numId w:val="18"/>
        </w:numPr>
        <w:rPr/>
      </w:pPr>
      <w:r>
        <w:rPr/>
        <w:t>Un pouvoir prédictif faible, voire nul, est plausible dès le départ. Un résultat négatif serait cohérent avec Fama et Ramey, et il aurait un sens.</w:t>
      </w:r>
    </w:p>
    <w:p>
      <w:pPr>
        <w:pStyle w:val="Compact"/>
        <w:numPr>
          <w:ilvl w:val="0"/>
          <w:numId w:val="19"/>
        </w:numPr>
        <w:rPr/>
      </w:pPr>
      <w:r>
        <w:rPr/>
        <w:t>Il faut évaluer les modèles hors échantillon, sur des mois qu’ils n’ont jamais vus.</w:t>
      </w:r>
    </w:p>
    <w:p>
      <w:pPr>
        <w:pStyle w:val="Compact"/>
        <w:numPr>
          <w:ilvl w:val="0"/>
          <w:numId w:val="20"/>
        </w:numPr>
        <w:rPr/>
      </w:pPr>
      <w:bookmarkStart w:id="62" w:name="cadre-théorique-ce-que-lon-peut-attendre"/>
      <w:bookmarkStart w:id="63" w:name="ce-que-nous-en-retenons"/>
      <w:r>
        <w:rPr/>
        <w:t>La référence à battre est simple : la moyenne historique. Un modèle qui ne la bat pas n’a pas de pouvoir prédictif.</w:t>
      </w:r>
      <w:bookmarkEnd w:id="62"/>
      <w:bookmarkEnd w:id="63"/>
    </w:p>
    <w:p>
      <w:pPr>
        <w:pStyle w:val="Heading2"/>
        <w:rPr/>
      </w:pPr>
      <w:bookmarkStart w:id="64" w:name="__RefHeading___Toc19450_3183596538"/>
      <w:bookmarkStart w:id="65" w:name="Xfb34faa81f8d303ea1b5fa46b3b15873b7555c9"/>
      <w:bookmarkEnd w:id="64"/>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6" w:name="pourquoi-le-spread"/>
      <w:r>
        <w:rPr/>
        <w:t>1.2.1 Pourquoi le spread.</w:t>
      </w:r>
    </w:p>
    <w:p>
      <w:pPr>
        <w:pStyle w:val="FirstParagraph"/>
        <w:rPr/>
      </w:pPr>
      <w:bookmarkStart w:id="67"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7"/>
    </w:p>
    <w:p>
      <w:pPr>
        <w:pStyle w:val="Heading3"/>
        <w:rPr/>
      </w:pPr>
      <w:bookmarkStart w:id="68" w:name="ce-que-montrent-les-travaux-européens"/>
      <w:r>
        <w:rPr/>
        <w:t>1.2.2 Ce que montrent les travaux européens.</w:t>
      </w:r>
    </w:p>
    <w:p>
      <w:pPr>
        <w:pStyle w:val="FirstParagraph"/>
        <w:rPr/>
      </w:pPr>
      <w:r>
        <w:rPr/>
        <w:t>Bernoth, von Hagen et Schuknecht (2012)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(2009)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 xml:space="preserve">Afonso, Arghyrou et Kontonikas (2015)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 xml:space="preserve">Favero (2013)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8"/>
    </w:p>
    <w:p>
      <w:pPr>
        <w:pStyle w:val="Heading3"/>
        <w:rPr/>
      </w:pPr>
      <w:bookmarkStart w:id="69" w:name="le-cas-français"/>
      <w:r>
        <w:rPr/>
        <w:t>1.2.3 Le cas français.</w:t>
      </w:r>
    </w:p>
    <w:p>
      <w:pPr>
        <w:pStyle w:val="FirstParagraph"/>
        <w:rPr/>
      </w:pPr>
      <w:r>
        <w:rPr/>
        <w:t>Les études consacrées à la France sont rares. Garlanda-Longueville (2023)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(2011) : le marché réagit aux annonces.</w:t>
      </w:r>
    </w:p>
    <w:p>
      <w:pPr>
        <w:pStyle w:val="BodyText"/>
        <w:rPr/>
      </w:pPr>
      <w:bookmarkStart w:id="70"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70"/>
    </w:p>
    <w:p>
      <w:pPr>
        <w:pStyle w:val="Heading3"/>
        <w:rPr/>
      </w:pPr>
      <w:bookmarkStart w:id="71" w:name="X631363f92121cb0fbc005b65d04ad7aed35c764"/>
      <w:r>
        <w:rPr/>
        <w:t>1.2.4 Les travaux fondateurs, surtout américains.</w:t>
      </w:r>
    </w:p>
    <w:p>
      <w:pPr>
        <w:pStyle w:val="FirstParagraph"/>
        <w:rPr/>
      </w:pPr>
      <w:bookmarkStart w:id="72" w:name="X631363f92121cb0fbc005b65d04ad7aed35c764"/>
      <w:r>
        <w:rPr/>
        <w:t>Ces travaux européens s’appuient sur une littérature plus ancienne, surtout américaine, que nous résumons brièvement. Blanchard et Perotti (2002) proposent une méthode de référence pour isoler les chocs budgétaires, et trouvent qu’une hausse des dépenses réduit l’investissement privé. Laubach (2009) estime qu’un point de PIB de déficit prévu en plus fait monter les taux longs américains d’environ 25 points de base. Afonso et Sousa (2011) montrent que les chocs de dépenses pèsent sur le prix des actions, et Ardagna (2009) que les fortes consolidations budgétaires dans l’OCDE s’accompagnent d’une baisse des taux et d’une hausse des actions.</w:t>
      </w:r>
      <w:bookmarkEnd w:id="72"/>
    </w:p>
    <w:p>
      <w:pPr>
        <w:pStyle w:val="Heading3"/>
        <w:rPr/>
      </w:pPr>
      <w:bookmarkStart w:id="73" w:name="ce-que-nous-en-retenons-1"/>
      <w:r>
        <w:rPr/>
        <w:t>1.2.5 Ce que nous en retenons.</w:t>
      </w:r>
    </w:p>
    <w:p>
      <w:pPr>
        <w:pStyle w:val="Compact"/>
        <w:numPr>
          <w:ilvl w:val="0"/>
          <w:numId w:val="21"/>
        </w:numPr>
        <w:rPr/>
      </w:pPr>
      <w:r>
        <w:rPr/>
        <w:t>Le spread OAT–Bund est la cible la plus directement liée aux finances publiques françaises.</w:t>
      </w:r>
    </w:p>
    <w:p>
      <w:pPr>
        <w:pStyle w:val="Compact"/>
        <w:numPr>
          <w:ilvl w:val="0"/>
          <w:numId w:val="22"/>
        </w:numPr>
        <w:rPr/>
      </w:pPr>
      <w:r>
        <w:rPr/>
        <w:t>L’aversion au risque et la liquidité comptent beaucoup : elles doivent être dans le modèle comme variables de contrôle.</w:t>
      </w:r>
    </w:p>
    <w:p>
      <w:pPr>
        <w:pStyle w:val="Compact"/>
        <w:numPr>
          <w:ilvl w:val="0"/>
          <w:numId w:val="23"/>
        </w:numPr>
        <w:rPr/>
      </w:pPr>
      <w:r>
        <w:rPr/>
        <w:t>L’effet des finances publiques dépend de la période. Il faudra regarder séparément les périodes calmes et agitées.</w:t>
      </w:r>
    </w:p>
    <w:p>
      <w:pPr>
        <w:pStyle w:val="Compact"/>
        <w:numPr>
          <w:ilvl w:val="0"/>
          <w:numId w:val="24"/>
        </w:numPr>
        <w:rPr/>
      </w:pPr>
      <w:bookmarkStart w:id="74" w:name="Xfb34faa81f8d303ea1b5fa46b3b15873b7555c9"/>
      <w:bookmarkStart w:id="75"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74"/>
      <w:bookmarkEnd w:id="75"/>
    </w:p>
    <w:p>
      <w:pPr>
        <w:pStyle w:val="Heading2"/>
        <w:rPr/>
      </w:pPr>
      <w:bookmarkStart w:id="76" w:name="__RefHeading___Toc19452_3183596538"/>
      <w:bookmarkStart w:id="77" w:name="X27f0006f940c23a763f89cc3f723417490f25ae"/>
      <w:bookmarkEnd w:id="76"/>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8" w:name="les-travaux-européens"/>
      <w:r>
        <w:rPr/>
        <w:t>1.3.1 Les travaux européens.</w:t>
      </w:r>
    </w:p>
    <w:p>
      <w:pPr>
        <w:pStyle w:val="FirstParagraph"/>
        <w:rPr/>
      </w:pPr>
      <w:r>
        <w:rPr/>
        <w:t>Belly et al. (2023)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(2025)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bookmarkStart w:id="79" w:name="les-travaux-européens"/>
      <w:r>
        <w:rPr/>
        <w:t>Enfin, Barbier-Gauchard et Sofianos (2025) appliquent le machine learning aux finances publiques elles-mêmes. Ils prévoient la dette publique de 17 pays de la zone euro, et XGBoost y fait mieux que les projections de la Commission européenne et du FMI.</w:t>
      </w:r>
      <w:bookmarkEnd w:id="79"/>
    </w:p>
    <w:p>
      <w:pPr>
        <w:pStyle w:val="Heading3"/>
        <w:rPr/>
      </w:pPr>
      <w:bookmarkStart w:id="80" w:name="le-contexte-américain-en-bref"/>
      <w:r>
        <w:rPr/>
        <w:t>1.3.2 Le contexte américain, en bref.</w:t>
      </w:r>
    </w:p>
    <w:p>
      <w:pPr>
        <w:pStyle w:val="FirstParagraph"/>
        <w:rPr/>
      </w:pPr>
      <w:bookmarkStart w:id="81" w:name="le-contexte-américain-en-bref"/>
      <w:r>
        <w:rPr/>
        <w:t>Ces travaux européens suivent une littérature américaine plus large. Gu, Kelly et Xiu (2020) montrent que les arbres de décision et les réseaux de neurones prévoient mieux les rendements des actions que les modèles linéaires, grâce aux effets non linéaires. Bianchi, Büchner et Tamoni (2021) trouvent le même type de gain pour les obligations d’État. En macroéconomie, Medeiros et al. (2021) et Goulet Coulombe et al. (2022) montrent que les forêts aléatoires prévoient bien l’inflation, surtout en période d’incertitude.</w:t>
      </w:r>
      <w:bookmarkEnd w:id="81"/>
    </w:p>
    <w:p>
      <w:pPr>
        <w:pStyle w:val="Heading3"/>
        <w:rPr/>
      </w:pPr>
      <w:bookmarkStart w:id="82" w:name="quels-modèles-avec-peu-de-données"/>
      <w:r>
        <w:rPr/>
        <w:t>1.3.3 Quels modèles avec peu de données.</w:t>
      </w:r>
    </w:p>
    <w:p>
      <w:pPr>
        <w:pStyle w:val="FirstParagraph"/>
        <w:rPr/>
      </w:pPr>
      <w:bookmarkStart w:id="83" w:name="quels-modèles-avec-peu-de-données"/>
      <w:r>
        <w:rPr/>
        <w:t>Les modèles à base d’arbres, comme les forêts aléatoires (Breiman, 2001) et XGBoost (Chen et Guestrin, 2016), fonctionnent bien sur des tableaux de données de taille moyenne. Le deep learning demande beaucoup plus d’observations : Fischer et Krauss (2018) obtiennent de bons résultats avec des réseaux LSTM, mais sur des données quotidiennes de centaines d’actions pendant plus de vingt ans. Avec environ 150 mois, un tel modèle apprendrait surtout le bruit.</w:t>
      </w:r>
      <w:bookmarkEnd w:id="83"/>
    </w:p>
    <w:p>
      <w:pPr>
        <w:pStyle w:val="Heading3"/>
        <w:rPr/>
      </w:pPr>
      <w:bookmarkStart w:id="84" w:name="ce-que-nous-en-retenons-2"/>
      <w:r>
        <w:rPr/>
        <w:t>1.3.4 Ce que nous en retenons.</w:t>
      </w:r>
    </w:p>
    <w:p>
      <w:pPr>
        <w:pStyle w:val="Compact"/>
        <w:numPr>
          <w:ilvl w:val="0"/>
          <w:numId w:val="25"/>
        </w:numPr>
        <w:rPr/>
      </w:pPr>
      <w:r>
        <w:rPr/>
        <w:t>Il faut comparer le machine learning à des références simples : la moyenne historique, la variation nulle et un modèle linéaire.</w:t>
      </w:r>
    </w:p>
    <w:p>
      <w:pPr>
        <w:pStyle w:val="Compact"/>
        <w:numPr>
          <w:ilvl w:val="0"/>
          <w:numId w:val="26"/>
        </w:numPr>
        <w:rPr/>
      </w:pPr>
      <w:r>
        <w:rPr/>
        <w:t>Le spread passé, principal prédicteur chez Bouillot et al. (2025), doit être dans tous les modèles. Sinon, on attribuerait aux dépenses ce qui vient en réalité du spread lui-même.</w:t>
      </w:r>
    </w:p>
    <w:p>
      <w:pPr>
        <w:pStyle w:val="Compact"/>
        <w:numPr>
          <w:ilvl w:val="0"/>
          <w:numId w:val="27"/>
        </w:numPr>
        <w:rPr/>
      </w:pPr>
      <w:r>
        <w:rPr/>
        <w:t>La forêt aléatoire et XGBoost sont adaptés à notre volume de données ; le deep learning ne l’est pas.</w:t>
      </w:r>
    </w:p>
    <w:p>
      <w:pPr>
        <w:pStyle w:val="Compact"/>
        <w:numPr>
          <w:ilvl w:val="0"/>
          <w:numId w:val="28"/>
        </w:numPr>
        <w:rPr/>
      </w:pPr>
      <w:bookmarkStart w:id="85" w:name="X27f0006f940c23a763f89cc3f723417490f25ae"/>
      <w:bookmarkStart w:id="86" w:name="ce-que-nous-en-retenons-2"/>
      <w:r>
        <w:rPr/>
        <w:t>Aucun de ces travaux ne mesure séparément ce qu’apportent les dépenses publiques. C’est la question précise de ce mémoire.</w:t>
      </w:r>
      <w:bookmarkEnd w:id="85"/>
      <w:bookmarkEnd w:id="86"/>
    </w:p>
    <w:p>
      <w:pPr>
        <w:pStyle w:val="Heading2"/>
        <w:rPr/>
      </w:pPr>
      <w:bookmarkStart w:id="87" w:name="__RefHeading___Toc19454_3183596538"/>
      <w:bookmarkStart w:id="88" w:name="X9ae88ff3dd35a976078ba2fe427ef8b5284b26c"/>
      <w:bookmarkEnd w:id="87"/>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9" w:name="lopen-data-budgétaire"/>
      <w:r>
        <w:rPr/>
        <w:t>1.4.1 L’open data budgétaire.</w:t>
      </w:r>
    </w:p>
    <w:p>
      <w:pPr>
        <w:pStyle w:val="FirstParagraph"/>
        <w:rPr/>
      </w:pPr>
      <w:r>
        <w:rPr/>
        <w:t>Janssen, Charalabidis et Zuiderwijk (2012)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90" w:name="lopen-data-budgétaire"/>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90"/>
    </w:p>
    <w:p>
      <w:pPr>
        <w:pStyle w:val="Heading3"/>
        <w:rPr/>
      </w:pPr>
      <w:bookmarkStart w:id="91" w:name="calendrier-de-publication-et-révisions"/>
      <w:r>
        <w:rPr/>
        <w:t>1.4.2 Calendrier de publication et révisions.</w:t>
      </w:r>
    </w:p>
    <w:p>
      <w:pPr>
        <w:pStyle w:val="FirstParagraph"/>
        <w:rPr/>
      </w:pPr>
      <w:r>
        <w:rPr/>
        <w:t>Giannone, Reichlin et Small (2008) montrent qu’une donnée n’apporte de l’information qu’à partir du moment où elle est publiée : son calendrier compte autant que son contenu. Croushore (2011)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bookmarkStart w:id="92" w:name="calendrier-de-publication-et-révisions"/>
      <w:r>
        <w:rPr/>
        <w:t>Aux États-Unis, McCracken et Ng (2016) ont construit FRED-MD, une base mensuelle de plus d’une centaine d’indicateurs macroéconomiques. Il n’existe pas d’équivalent français qui intègre l’exécution budgétaire.</w:t>
      </w:r>
      <w:bookmarkEnd w:id="92"/>
    </w:p>
    <w:p>
      <w:pPr>
        <w:pStyle w:val="Heading3"/>
        <w:rPr/>
      </w:pPr>
      <w:bookmarkStart w:id="93" w:name="éviter-de-se-tromper-soi-même"/>
      <w:r>
        <w:rPr/>
        <w:t>1.4.3 Éviter de se tromper soi-même.</w:t>
      </w:r>
    </w:p>
    <w:p>
      <w:pPr>
        <w:pStyle w:val="FirstParagraph"/>
        <w:rPr/>
      </w:pPr>
      <w:bookmarkStart w:id="94" w:name="éviter-de-se-tromper-soi-même"/>
      <w:r>
        <w:rPr/>
        <w:t>Bailey et al. (2014)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(1995) permet de le vérifier.</w:t>
      </w:r>
      <w:bookmarkEnd w:id="94"/>
    </w:p>
    <w:p>
      <w:pPr>
        <w:pStyle w:val="Heading3"/>
        <w:rPr/>
      </w:pPr>
      <w:bookmarkStart w:id="95" w:name="ce-que-nous-en-retenons-3"/>
      <w:r>
        <w:rPr/>
        <w:t>1.4.4 Ce que nous en retenons.</w:t>
      </w:r>
    </w:p>
    <w:p>
      <w:pPr>
        <w:pStyle w:val="Compact"/>
        <w:numPr>
          <w:ilvl w:val="0"/>
          <w:numId w:val="29"/>
        </w:numPr>
        <w:rPr/>
      </w:pPr>
      <w:r>
        <w:rPr/>
        <w:t>Les données budgétaires d’un mois ne peuvent servir qu’après leur publication : nous les décalons de deux mois.</w:t>
      </w:r>
    </w:p>
    <w:p>
      <w:pPr>
        <w:pStyle w:val="Compact"/>
        <w:numPr>
          <w:ilvl w:val="0"/>
          <w:numId w:val="30"/>
        </w:numPr>
        <w:rPr/>
      </w:pPr>
      <w:r>
        <w:rPr/>
        <w:t>Les montants cumulés doivent être transformés pour enlever la saisonnalité.</w:t>
      </w:r>
    </w:p>
    <w:p>
      <w:pPr>
        <w:pStyle w:val="Compact"/>
        <w:numPr>
          <w:ilvl w:val="0"/>
          <w:numId w:val="31"/>
        </w:numPr>
        <w:rPr/>
      </w:pPr>
      <w:r>
        <w:rPr/>
        <w:t>Les révisions seront discutées comme une limite.</w:t>
      </w:r>
    </w:p>
    <w:p>
      <w:pPr>
        <w:pStyle w:val="Compact"/>
        <w:numPr>
          <w:ilvl w:val="0"/>
          <w:numId w:val="32"/>
        </w:numPr>
        <w:rPr/>
      </w:pPr>
      <w:bookmarkStart w:id="96" w:name="X9ae88ff3dd35a976078ba2fe427ef8b5284b26c"/>
      <w:bookmarkStart w:id="97" w:name="ce-que-nous-en-retenons-3"/>
      <w:r>
        <w:rPr/>
        <w:t>Construire un jeu de données mensuel français qui croise budget et marchés est déjà, en soi, une contribution.</w:t>
      </w:r>
      <w:bookmarkEnd w:id="96"/>
      <w:bookmarkEnd w:id="97"/>
    </w:p>
    <w:p>
      <w:pPr>
        <w:pStyle w:val="Heading2"/>
        <w:rPr/>
      </w:pPr>
      <w:bookmarkStart w:id="98" w:name="__RefHeading___Toc19456_3183596538"/>
      <w:bookmarkStart w:id="99" w:name="synthèse-et-positionnement-du-mémoire"/>
      <w:bookmarkEnd w:id="98"/>
      <w:bookmarkEnd w:id="9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100" w:name="__RefHeading___Toc19536_3183596538"/>
      <w:bookmarkEnd w:id="10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Bouillot, Candelon et Kool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Apport des finances publiques non isolé (1 des 50 variables principales) ; cible en niveau, sans comparaison à la marche aléatoire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Belly et al.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Favero (2013)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Afonso, Arghyrou et Kontonikas (2015)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Bernoth, von Hagen et Schuknecht (2012)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Attinasi, Checherita et Nickel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Garlanda-Longueville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18"/>
                <w:szCs w:val="24"/>
                <w:lang w:val="en-US" w:eastAsia="en-US" w:bidi="ar-SA"/>
              </w:rPr>
              <w:t>France</w:t>
            </w:r>
            <w:r>
              <w:rPr>
                <w:kern w:val="0"/>
                <w:sz w:val="18"/>
                <w:szCs w:val="24"/>
                <w:lang w:val="en-US" w:eastAsia="en-US"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annonces budgétaires font bouger actions et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Barbier-Gauchard et Sofianos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Fama (1970)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Ramey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Welch et Goyal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Gu, Kelly et Xiu (2020)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Bianchi, Büchner et Tamoni (2021)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Giannone, Reichlin et Small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Croushore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101" w:name="le-vide-identifié"/>
      <w:r>
        <w:rPr/>
        <w:t>1.5.1 Le vide identifié.</w:t>
      </w:r>
    </w:p>
    <w:p>
      <w:pPr>
        <w:pStyle w:val="FirstParagraph"/>
        <w:rPr/>
      </w:pPr>
      <w:r>
        <w:rPr/>
        <w:t>La littérature se partage en deux blocs qui se croisent peu :</w:t>
      </w:r>
    </w:p>
    <w:p>
      <w:pPr>
        <w:pStyle w:val="Compact"/>
        <w:numPr>
          <w:ilvl w:val="0"/>
          <w:numId w:val="33"/>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4"/>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(2023), se concentre sur la France, et il porte sur les annonces, pas sur les dépenses exécutées. Même Bouillot et al. (2025)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(2025) commencent à rapprocher les deux blocs. Notre travail s’en distingue sur trois points :</w:t>
      </w:r>
    </w:p>
    <w:p>
      <w:pPr>
        <w:pStyle w:val="Compact"/>
        <w:numPr>
          <w:ilvl w:val="0"/>
          <w:numId w:val="35"/>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6"/>
        </w:numPr>
        <w:rPr/>
      </w:pPr>
      <w:r>
        <w:rPr>
          <w:b/>
          <w:bCs/>
        </w:rPr>
        <w:t>Nous utilisons les données détaillées d’exécution du budget français</w:t>
      </w:r>
      <w:r>
        <w:rPr/>
        <w:t>, par catégorie de dépense, en open data.</w:t>
      </w:r>
    </w:p>
    <w:p>
      <w:pPr>
        <w:pStyle w:val="Compact"/>
        <w:numPr>
          <w:ilvl w:val="0"/>
          <w:numId w:val="37"/>
        </w:numPr>
        <w:rPr/>
      </w:pPr>
      <w:r>
        <w:rPr>
          <w:b/>
          <w:bCs/>
        </w:rPr>
        <w:t>Nous comparons trois indicateurs</w:t>
      </w:r>
      <w:r>
        <w:rPr/>
        <w:t xml:space="preserve"> plus ou moins exposés au risque souverain : le spread, le taux OAT et le CAC 40.</w:t>
      </w:r>
      <w:bookmarkEnd w:id="101"/>
    </w:p>
    <w:p>
      <w:pPr>
        <w:pStyle w:val="Heading3"/>
        <w:rPr/>
      </w:pPr>
      <w:bookmarkStart w:id="102" w:name="problématique-et-hypothèses"/>
      <w:bookmarkEnd w:id="10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8"/>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39"/>
        </w:numPr>
        <w:rPr/>
      </w:pPr>
      <w:r>
        <w:rPr>
          <w:b/>
          <w:bCs/>
        </w:rPr>
        <w:t>H2.</w:t>
      </w:r>
      <w:r>
        <w:rPr/>
        <w:t xml:space="preserve"> L’apport des dépenses diminue du spread au taux OAT, puis au CAC 40, à mesure que l’indicateur est moins exposé au risque souverain.</w:t>
      </w:r>
    </w:p>
    <w:p>
      <w:pPr>
        <w:pStyle w:val="Compact"/>
        <w:numPr>
          <w:ilvl w:val="0"/>
          <w:numId w:val="40"/>
        </w:numPr>
        <w:rPr/>
      </w:pPr>
      <w:r>
        <w:rPr>
          <w:b/>
          <w:bCs/>
        </w:rPr>
        <w:t>H3.</w:t>
      </w:r>
      <w:r>
        <w:rPr/>
        <w:t xml:space="preserve"> Les modèles de machine learning (forêt aléatoire, XGBoost) prévoient mieux que les modèles linéaires.</w:t>
      </w:r>
    </w:p>
    <w:p>
      <w:pPr>
        <w:pStyle w:val="Compact"/>
        <w:numPr>
          <w:ilvl w:val="0"/>
          <w:numId w:val="41"/>
        </w:numPr>
        <w:rPr/>
      </w:pPr>
      <w:r>
        <w:rPr>
          <w:b/>
          <w:bCs/>
        </w:rPr>
        <w:t>H4.</w:t>
      </w:r>
      <w:r>
        <w:rPr/>
        <w:t xml:space="preserve"> Parmi les dépenses, la charge de la dette et les dépenses d’intervention sont les plus prédictives.</w:t>
      </w:r>
    </w:p>
    <w:p>
      <w:pPr>
        <w:pStyle w:val="FirstParagraph"/>
        <w:rPr/>
      </w:pPr>
      <w:r>
        <w:rPr/>
        <w:t>En suivant Fama (1970) et Ramey (2011), un rejet de H1 reste un résultat plausible, et il nous apprendrait quelque chose.</w:t>
      </w:r>
    </w:p>
    <w:p>
      <w:pPr>
        <w:pStyle w:val="Normal"/>
        <w:rPr/>
      </w:pPr>
      <w:r>
        <w:rPr/>
      </w:r>
      <w:bookmarkStart w:id="103" w:name="chapitre-1-état-de-lart"/>
      <w:bookmarkStart w:id="104" w:name="synthèse-et-positionnement-du-mémoire"/>
      <w:bookmarkStart w:id="105" w:name="problématique-et-hypothèses"/>
      <w:bookmarkStart w:id="106" w:name="chapitre-1-état-de-lart"/>
      <w:bookmarkStart w:id="107" w:name="synthèse-et-positionnement-du-mémoire"/>
      <w:bookmarkStart w:id="108" w:name="problématique-et-hypothèses"/>
      <w:bookmarkEnd w:id="106"/>
      <w:bookmarkEnd w:id="107"/>
      <w:bookmarkEnd w:id="108"/>
      <w:r>
        <w:br w:type="page"/>
      </w:r>
    </w:p>
    <w:p>
      <w:pPr>
        <w:pStyle w:val="Heading1"/>
        <w:spacing w:before="0" w:after="240"/>
        <w:rPr/>
      </w:pPr>
      <w:bookmarkStart w:id="109" w:name="__RefHeading___Toc19458_3183596538"/>
      <w:bookmarkStart w:id="110" w:name="chapitre-2-données-et-méthodologie"/>
      <w:bookmarkEnd w:id="109"/>
      <w:bookmarkEnd w:id="110"/>
      <w:r>
        <w:rPr/>
        <w:t>Chapitre 2 – Données et méthodologie</w:t>
      </w:r>
    </w:p>
    <w:p>
      <w:pPr>
        <w:pStyle w:val="Heading2"/>
        <w:rPr/>
      </w:pPr>
      <w:bookmarkStart w:id="111" w:name="__RefHeading___Toc19460_3183596538"/>
      <w:bookmarkStart w:id="112" w:name="introduction-du-chapitre-1"/>
      <w:bookmarkEnd w:id="11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13" w:name="introduction-du-chapitre-1"/>
      <w:r>
        <w:rPr/>
        <w:t>Le code et les données sont publiés sur GitHub. Chaque tableau et chaque figure de ce mémoire peut donc être recalculé à partir des fichiers bruts.</w:t>
      </w:r>
      <w:bookmarkEnd w:id="113"/>
    </w:p>
    <w:p>
      <w:pPr>
        <w:pStyle w:val="Heading2"/>
        <w:rPr/>
      </w:pPr>
      <w:bookmarkStart w:id="114" w:name="__RefHeading___Toc19462_3183596538"/>
      <w:bookmarkStart w:id="115" w:name="sources-des-données"/>
      <w:bookmarkEnd w:id="11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16" w:name="__RefHeading___Toc19578_3183596538"/>
      <w:bookmarkEnd w:id="11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Cibles et 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directeurs de la BCE (refinancement,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2"/>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3"/>
        </w:numPr>
        <w:rPr/>
      </w:pPr>
      <w:r>
        <w:rPr>
          <w:b/>
          <w:bCs/>
        </w:rPr>
        <w:t>Le CAC 40 est un indice de prix</w:t>
      </w:r>
      <w:r>
        <w:rPr/>
        <w:t>, qui ne compte pas les dividendes.</w:t>
      </w:r>
    </w:p>
    <w:p>
      <w:pPr>
        <w:pStyle w:val="Compact"/>
        <w:numPr>
          <w:ilvl w:val="0"/>
          <w:numId w:val="44"/>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5"/>
        </w:numPr>
        <w:rPr/>
      </w:pPr>
      <w:r>
        <w:rPr>
          <w:b/>
          <w:bCs/>
        </w:rPr>
        <w:t>Le budget voté pour 2026 n’est pas dans les fichiers ouverts.</w:t>
      </w:r>
      <w:r>
        <w:rPr/>
        <w:t xml:space="preserve"> L’extension qui l’utilise (E4) s’arrête donc en février 2026.</w:t>
      </w:r>
      <w:bookmarkEnd w:id="115"/>
    </w:p>
    <w:p>
      <w:pPr>
        <w:pStyle w:val="Heading2"/>
        <w:rPr/>
      </w:pPr>
      <w:bookmarkStart w:id="117" w:name="__RefHeading___Toc19464_3183596538"/>
      <w:bookmarkStart w:id="118" w:name="construction-du-jeu-de-données"/>
      <w:bookmarkEnd w:id="11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Heading3"/>
        <w:rPr/>
      </w:pPr>
      <w:bookmarkStart w:id="11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19"/>
    </w:p>
    <w:p>
      <w:pPr>
        <w:pStyle w:val="Heading3"/>
        <w:rPr/>
      </w:pPr>
      <w:bookmarkStart w:id="12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6"/>
        </w:numPr>
        <w:rPr/>
      </w:pPr>
      <w:r>
        <w:rPr>
          <w:b/>
          <w:bCs/>
        </w:rPr>
        <w:t>La somme des 12 derniers mois</w:t>
      </w:r>
      <w:r>
        <w:rPr/>
        <w:t xml:space="preserve"> (en milliards d’euros). Elle donne le niveau annuel, sans effet de saison.</w:t>
      </w:r>
    </w:p>
    <w:p>
      <w:pPr>
        <w:pStyle w:val="Compact"/>
        <w:numPr>
          <w:ilvl w:val="0"/>
          <w:numId w:val="47"/>
        </w:numPr>
        <w:rPr/>
      </w:pPr>
      <w:r>
        <w:rPr>
          <w:b/>
          <w:bCs/>
        </w:rPr>
        <w:t>L’écart du cumul depuis janvier par rapport au même mois de l’année précédente, rapporté au total annuel</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janvier, le cumul est presque nul, et le taux prend des valeurs absurdes : de -902 % à +1 789 % pour l’impôt sur les sociétés. Diviser par le total annuel règle ce problème.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21" w:name="neutraliser-la-saisonnalité"/>
      <w:r>
        <w:rPr/>
        <w:t>Nous avons exclu les opérations financières. Ce sont des prises de participation ou des soutiens exceptionnels, très irréguliers, et non une dépense économique courante. Leur écart annuel atteignait -462 %.</w:t>
      </w:r>
      <w:bookmarkEnd w:id="121"/>
    </w:p>
    <w:p>
      <w:pPr>
        <w:pStyle w:val="Heading3"/>
        <w:rPr/>
      </w:pPr>
      <w:bookmarkStart w:id="12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bookmarkStart w:id="123" w:name="respecter-le-calendrier-de-publication"/>
      <w:r>
        <w:rPr/>
        <w:t>Sans ces décalages, le modèle utiliserait des chiffres que personne ne connaissait encore au moment de la prévision. Ses performances seraient alors gonflées artificiellement. C’est le biais d’anticipation, bien connu pour les données macroéconomiques (Croushore, 2011).</w:t>
      </w:r>
      <w:bookmarkEnd w:id="123"/>
    </w:p>
    <w:p>
      <w:pPr>
        <w:pStyle w:val="Heading3"/>
        <w:rPr/>
      </w:pPr>
      <w:bookmarkStart w:id="124"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25" w:name="__RefHeading___Toc19576_3183596538"/>
      <w:bookmarkEnd w:id="125"/>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31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18"/>
      <w:bookmarkEnd w:id="124"/>
    </w:p>
    <w:p>
      <w:pPr>
        <w:pStyle w:val="Heading2"/>
        <w:rPr/>
      </w:pPr>
      <w:bookmarkStart w:id="126" w:name="__RefHeading___Toc19466_3183596538"/>
      <w:bookmarkStart w:id="127" w:name="variables-cibles-et-stationnarité"/>
      <w:bookmarkEnd w:id="126"/>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8" w:name="__RefHeading___Toc19574_3183596538"/>
      <w:bookmarkEnd w:id="12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9" w:name="X1f226371d223a388ad860388f2edd529dc4d91f"/>
      <w:r>
        <w:rPr/>
        <w:t>Pourquoi prédire des variations plutôt que des niveaux.</w:t>
      </w:r>
    </w:p>
    <w:p>
      <w:pPr>
        <w:pStyle w:val="FirstParagraph"/>
        <w:rPr/>
      </w:pPr>
      <w:r>
        <w:rPr/>
        <w:t>Le test de Dickey-Fuller augmenté (ADF) confirme que les trois cibles, en variations, sont stationnaires, alors que les niveaux ne le sont pas :</w:t>
      </w:r>
    </w:p>
    <w:p>
      <w:pPr>
        <w:pStyle w:val="CaptionTable"/>
        <w:keepNext w:val="true"/>
        <w:spacing w:lineRule="auto" w:line="240" w:before="120" w:after="80"/>
        <w:jc w:val="left"/>
        <w:rPr/>
      </w:pPr>
      <w:bookmarkStart w:id="130" w:name="__RefHeading___Toc19572_3183596538"/>
      <w:bookmarkEnd w:id="13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31" w:name="variables-cibles-et-stationnarité"/>
      <w:bookmarkStart w:id="132" w:name="X1f226371d223a388ad860388f2edd529dc4d91f"/>
      <w:r>
        <w:rPr/>
        <w:t>Nous testons aussi une version plus simple dans les extensions : deviner seulement si le spread va monter ou baisser. Sur notre échantillon, il a monté dans 52 % des mois.</w:t>
      </w:r>
      <w:bookmarkEnd w:id="131"/>
      <w:bookmarkEnd w:id="132"/>
    </w:p>
    <w:p>
      <w:pPr>
        <w:pStyle w:val="Heading2"/>
        <w:rPr/>
      </w:pPr>
      <w:bookmarkStart w:id="133" w:name="__RefHeading___Toc19468_3183596538"/>
      <w:bookmarkStart w:id="134" w:name="variables-explicatives"/>
      <w:bookmarkEnd w:id="133"/>
      <w:r>
        <w:rPr/>
        <w:t>2.4 Variables explicatives</w:t>
      </w:r>
    </w:p>
    <w:p>
      <w:pPr>
        <w:pStyle w:val="FirstParagraph"/>
        <w:rPr/>
      </w:pPr>
      <w:r>
        <w:rPr/>
        <w:t xml:space="preserve">Nous n’avons pas choisi les variables une par une selon leurs corrélations. Nous avons construit trois jeux emboités,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35" w:name="__RefHeading___Toc19570_3183596538"/>
      <w:bookmarkEnd w:id="13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36"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 ADF supérieure à 0,7). </w:t>
      </w:r>
      <w:r>
        <w:rPr>
          <w:b/>
          <w:bCs/>
        </w:rPr>
        <w:t>Nos modèles utilisent donc les écarts annuels, pas les niveaux.</w:t>
      </w:r>
      <w:r>
        <w:rPr/>
        <w:t xml:space="preserve"> Ces écarts sont beaucoup plus proches de la stationnarité (p-values ADF entre 0,01 et 0,06).</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a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34"/>
      <w:bookmarkEnd w:id="136"/>
    </w:p>
    <w:p>
      <w:pPr>
        <w:pStyle w:val="Heading2"/>
        <w:rPr/>
      </w:pPr>
      <w:bookmarkStart w:id="137" w:name="__RefHeading___Toc19470_3183596538"/>
      <w:bookmarkStart w:id="138" w:name="modèles-retenus"/>
      <w:bookmarkEnd w:id="137"/>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(Gu, Kelly et Xiu, 2020 ; Bouillot, Candelon et Kool, 2025). Nous comparons cinq approches, des plus simples aux plus flexibles :</w:t>
      </w:r>
    </w:p>
    <w:p>
      <w:pPr>
        <w:pStyle w:val="CaptionTable"/>
        <w:keepNext w:val="true"/>
        <w:spacing w:lineRule="auto" w:line="240" w:before="120" w:after="80"/>
        <w:jc w:val="left"/>
        <w:rPr/>
      </w:pPr>
      <w:bookmarkStart w:id="139" w:name="__RefHeading___Toc19568_3183596538"/>
      <w:bookmarkEnd w:id="139"/>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modèle qui ne la bat pas n’a pas de pouvoir prédictif (Welch et Goyal, 2008 ; 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Capte les effets non linéaires, stable sur de petits échantillons (Breiman, 2001 ; Medeiros et al., 2021)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Meilleur modèle chez Bouillot et al. (2025) pour les spreads européens (Chen et Guestrin, 2016)</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(2018), travaillent sur des données quotidiennes de centaines d’actions, soit des centaines de milliers d’observations.</w:t>
      </w:r>
    </w:p>
    <w:p>
      <w:pPr>
        <w:pStyle w:val="Heading3"/>
        <w:rPr/>
      </w:pPr>
      <w:bookmarkStart w:id="140"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8"/>
        </w:numPr>
        <w:rPr/>
      </w:pPr>
      <w:r>
        <w:rPr>
          <w:b/>
          <w:bCs/>
        </w:rPr>
        <w:t>Ridge</w:t>
      </w:r>
      <w:r>
        <w:rPr/>
        <w:t xml:space="preserve"> : paramètre de régularisation choisi automatiquement sur les données d’entraînement, parmi 40 valeurs entre 0,01 et 1 000 000. La grille initiale s’arrêtait à 1 000 ; lors de la revue du code, nous avons constaté que cette borne était atteinte la plupart des mois pour le CAC 40, et nous l’avons élargie (le R² de Ridge change d’au plus 1,2 point).</w:t>
      </w:r>
    </w:p>
    <w:p>
      <w:pPr>
        <w:pStyle w:val="Compact"/>
        <w:numPr>
          <w:ilvl w:val="0"/>
          <w:numId w:val="49"/>
        </w:numPr>
        <w:rPr/>
      </w:pPr>
      <w:r>
        <w:rPr>
          <w:b/>
          <w:bCs/>
        </w:rPr>
        <w:t>Forêt aléatoire</w:t>
      </w:r>
      <w:r>
        <w:rPr/>
        <w:t xml:space="preserve"> : 300 arbres, profondeur maximale 4, au moins 5 observations par feuille, 50 % des variables tirées à chaque division.</w:t>
      </w:r>
    </w:p>
    <w:p>
      <w:pPr>
        <w:pStyle w:val="Compact"/>
        <w:numPr>
          <w:ilvl w:val="0"/>
          <w:numId w:val="50"/>
        </w:numPr>
        <w:rPr/>
      </w:pPr>
      <w:r>
        <w:rPr>
          <w:b/>
          <w:bCs/>
        </w:rPr>
        <w:t>XGBoost</w:t>
      </w:r>
      <w:r>
        <w:rPr/>
        <w:t xml:space="preserve"> : 200 arbres, profondeur maximale 2, taux d’apprentissage 0,05, sous-échantillonnage de 80 % des observations et des variables.</w:t>
      </w:r>
    </w:p>
    <w:p>
      <w:pPr>
        <w:pStyle w:val="FirstParagraph"/>
        <w:rPr/>
      </w:pPr>
      <w:bookmarkStart w:id="141" w:name="modèles-retenus"/>
      <w:bookmarkStart w:id="142"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41"/>
      <w:bookmarkEnd w:id="142"/>
    </w:p>
    <w:p>
      <w:pPr>
        <w:pStyle w:val="Heading2"/>
        <w:rPr/>
      </w:pPr>
      <w:bookmarkStart w:id="143" w:name="__RefHeading___Toc19472_3183596538"/>
      <w:bookmarkStart w:id="144" w:name="protocole-dévaluation"/>
      <w:bookmarkEnd w:id="143"/>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45"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1"/>
        </w:numPr>
        <w:rPr/>
      </w:pPr>
      <w:r>
        <w:rPr/>
        <w:t>Le modèle est entraîné sur mars 2014 – décembre 2019 (70 mois) et prédit janvier 2020.</w:t>
      </w:r>
    </w:p>
    <w:p>
      <w:pPr>
        <w:pStyle w:val="Compact"/>
        <w:numPr>
          <w:ilvl w:val="0"/>
          <w:numId w:val="12"/>
        </w:numPr>
        <w:rPr/>
      </w:pPr>
      <w:r>
        <w:rPr/>
        <w:t>Il est réentraîné en ajoutant janvier 2020, puis prédit février 2020.</w:t>
      </w:r>
    </w:p>
    <w:p>
      <w:pPr>
        <w:pStyle w:val="Compact"/>
        <w:numPr>
          <w:ilvl w:val="0"/>
          <w:numId w:val="12"/>
        </w:numPr>
        <w:rPr/>
      </w:pPr>
      <w:r>
        <w:rPr/>
        <w:t>L’opération est répétée chaque mois jusqu’à juillet 2026.</w:t>
      </w:r>
    </w:p>
    <w:p>
      <w:pPr>
        <w:pStyle w:val="FirstParagraph"/>
        <w:rPr/>
      </w:pPr>
      <w:r>
        <w:rPr/>
        <w:t xml:space="preserve">La période de test compte </w:t>
      </w:r>
      <w:r>
        <w:rPr>
          <w:b/>
          <w:bCs/>
        </w:rPr>
        <w:t>79 mois</w:t>
      </w:r>
      <w:r>
        <w:rPr/>
        <w:t>, de janvier 2020 à juillet 2026. Elle traverse des contextes très différents : le Covid-19, la hausse des taux de la BCE à partir de 2022, puis les tensions politiques et budgétaires françaises de 2024 à 2026.</w:t>
      </w:r>
      <w:bookmarkEnd w:id="145"/>
    </w:p>
    <w:p>
      <w:pPr>
        <w:pStyle w:val="Heading3"/>
        <w:rPr/>
      </w:pPr>
      <w:bookmarkStart w:id="146" w:name="mesures-de-performance"/>
      <w:r>
        <w:rPr/>
        <w:t>2.6.2 Mesures de performance.</w:t>
      </w:r>
    </w:p>
    <w:p>
      <w:pPr>
        <w:pStyle w:val="CaptionTable"/>
        <w:keepNext w:val="true"/>
        <w:spacing w:lineRule="auto" w:line="240" w:before="120" w:after="80"/>
        <w:jc w:val="left"/>
        <w:rPr/>
      </w:pPr>
      <w:bookmarkStart w:id="147" w:name="__RefHeading___Toc19566_3183596538"/>
      <w:bookmarkEnd w:id="147"/>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gain par rapport à la moyenne historique : positif si le modèle fait mieux, négatif sinon (Campbell et Thompson, 2008)</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2700020" cy="10090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2700020" cy="100901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6"/>
    </w:p>
    <w:p>
      <w:pPr>
        <w:pStyle w:val="Heading3"/>
        <w:rPr/>
      </w:pPr>
      <w:bookmarkStart w:id="148"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(1995)</w:t>
      </w:r>
      <w:r>
        <w:rPr/>
        <w:t>, avec la correction de Harvey, Leybourne et Newbold (1997) pour les petits échantillons. Il nous dit si l’écart d’erreurs entre deux modèles est assez grand pour ne pas être dû au hasard. Nous l’appliquons à trois comparaisons :</w:t>
      </w:r>
    </w:p>
    <w:p>
      <w:pPr>
        <w:pStyle w:val="Compact"/>
        <w:numPr>
          <w:ilvl w:val="0"/>
          <w:numId w:val="52"/>
        </w:numPr>
        <w:rPr/>
      </w:pPr>
      <w:r>
        <w:rPr/>
        <w:t>M1 contre M0 pour chaque modèle (test de l’hypothèse H1) ;</w:t>
      </w:r>
    </w:p>
    <w:p>
      <w:pPr>
        <w:pStyle w:val="Compact"/>
        <w:numPr>
          <w:ilvl w:val="0"/>
          <w:numId w:val="53"/>
        </w:numPr>
        <w:rPr/>
      </w:pPr>
      <w:r>
        <w:rPr/>
        <w:t>chaque modèle contre la moyenne historique ;</w:t>
      </w:r>
    </w:p>
    <w:p>
      <w:pPr>
        <w:pStyle w:val="Compact"/>
        <w:numPr>
          <w:ilvl w:val="0"/>
          <w:numId w:val="54"/>
        </w:numPr>
        <w:rPr/>
      </w:pPr>
      <w:bookmarkStart w:id="149" w:name="tests-statistiques"/>
      <w:r>
        <w:rPr/>
        <w:t>forêt aléatoire et XGBoost contre Ridge (hypothèse H3).</w:t>
      </w:r>
      <w:bookmarkEnd w:id="149"/>
    </w:p>
    <w:p>
      <w:pPr>
        <w:pStyle w:val="Heading3"/>
        <w:rPr/>
      </w:pPr>
      <w:bookmarkStart w:id="150"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(Lundberg et Lee, 2017).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4"/>
      <w:bookmarkEnd w:id="150"/>
    </w:p>
    <w:p>
      <w:pPr>
        <w:pStyle w:val="Heading2"/>
        <w:rPr/>
      </w:pPr>
      <w:bookmarkStart w:id="151" w:name="__RefHeading___Toc19474_3183596538"/>
      <w:bookmarkStart w:id="152" w:name="Xe43980d90f80326a1c3dbbdccb49a1d499f6c02"/>
      <w:bookmarkEnd w:id="151"/>
      <w:r>
        <w:rPr/>
        <w:t>2.7 Extensions pré-enregistrées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(2014)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mais avant leurs propres données. E18 est donc présentée comme exploratoire, car son idée vient directement d’un résultat d’E15.</w:t>
      </w:r>
    </w:p>
    <w:p>
      <w:pPr>
        <w:pStyle w:val="CaptionTable"/>
        <w:keepNext w:val="true"/>
        <w:spacing w:lineRule="auto" w:line="240" w:before="120" w:after="80"/>
        <w:jc w:val="left"/>
        <w:rPr/>
      </w:pPr>
      <w:bookmarkStart w:id="153" w:name="__RefHeading___Toc19564_3183596538"/>
      <w:bookmarkEnd w:id="153"/>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réagit à l’information nouvelle (Ramey, 2011)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sensibilité aux finances publiques varie dans le temps (Afonso et al., 2015)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réglé par validation croisée temporelle emboitée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Répliquer le cadre de Bouillot et al. (2025)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Incertitude de politique économique (indice européen de Baker, Bloom et Davis)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4"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(1995)</w:t>
      </w:r>
      <w:r>
        <w:rPr/>
        <w:t>, avec un taux de fausses découvertes de 10 %. Nous ne considérons comme significatifs que les résultats qui résistent à cette correction.</w:t>
      </w:r>
      <w:bookmarkEnd w:id="152"/>
      <w:bookmarkEnd w:id="154"/>
    </w:p>
    <w:p>
      <w:pPr>
        <w:pStyle w:val="Heading2"/>
        <w:rPr/>
      </w:pPr>
      <w:bookmarkStart w:id="155" w:name="__RefHeading___Toc19476_3183596538"/>
      <w:bookmarkStart w:id="156" w:name="considérations-éthiques"/>
      <w:bookmarkEnd w:id="155"/>
      <w:bookmarkEnd w:id="156"/>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disponibles dans un dépôt GitHub,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(Bailey et al., 2014).</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pPr>
        <w:pStyle w:val="Normal"/>
        <w:rPr/>
      </w:pPr>
      <w:r>
        <w:rPr/>
      </w:r>
      <w:bookmarkStart w:id="157" w:name="chapitre-2-données-et-méthodologie"/>
      <w:bookmarkStart w:id="158" w:name="considérations-éthiques"/>
      <w:bookmarkStart w:id="159" w:name="chapitre-2-données-et-méthodologie"/>
      <w:bookmarkStart w:id="160" w:name="considérations-éthiques"/>
      <w:bookmarkEnd w:id="159"/>
      <w:bookmarkEnd w:id="160"/>
      <w:r>
        <w:br w:type="page"/>
      </w:r>
    </w:p>
    <w:p>
      <w:pPr>
        <w:pStyle w:val="Heading1"/>
        <w:spacing w:before="0" w:after="240"/>
        <w:rPr/>
      </w:pPr>
      <w:bookmarkStart w:id="161" w:name="__RefHeading___Toc19478_3183596538"/>
      <w:bookmarkStart w:id="162" w:name="chapitre-3-résultats"/>
      <w:bookmarkEnd w:id="161"/>
      <w:bookmarkEnd w:id="162"/>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vingt extensions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3" w:name="__RefHeading___Toc19480_3183596538"/>
      <w:bookmarkStart w:id="164" w:name="statistiques-descriptives"/>
      <w:bookmarkEnd w:id="163"/>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5" w:name="__RefHeading___Toc19562_3183596538"/>
      <w:bookmarkEnd w:id="165"/>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6" w:name="__RefHeading___Toc19580_3183596538"/>
      <w:bookmarkEnd w:id="166"/>
      <w:r>
        <w:rPr>
          <w:b/>
          <w:bCs/>
          <w:sz w:val="22"/>
        </w:rPr>
        <w:t>Figure 3.1 – Distribution des trois cibles</w:t>
      </w:r>
    </w:p>
    <w:p>
      <w:pPr>
        <w:pStyle w:val="BodyText"/>
        <w:keepNext w:val="false"/>
        <w:spacing w:lineRule="auto" w:line="240" w:before="40" w:after="240"/>
        <w:jc w:val="left"/>
        <w:rPr/>
      </w:pPr>
      <w:bookmarkStart w:id="167" w:name="statistiques-descriptives"/>
      <w:r>
        <w:rPr>
          <w:i/>
          <w:iCs/>
          <w:sz w:val="20"/>
        </w:rPr>
        <w:t>Source : calculs de l’auteur.</w:t>
      </w:r>
      <w:bookmarkEnd w:id="167"/>
    </w:p>
    <w:p>
      <w:pPr>
        <w:pStyle w:val="Heading2"/>
        <w:rPr/>
      </w:pPr>
      <w:bookmarkStart w:id="168" w:name="__RefHeading___Toc19482_3183596538"/>
      <w:bookmarkStart w:id="169" w:name="modèles-principaux"/>
      <w:bookmarkEnd w:id="168"/>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70" w:name="__RefHeading___Toc19560_3183596538"/>
      <w:bookmarkEnd w:id="170"/>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qui prévoit presque toujours le même signe,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1" w:name="__RefHeading___Toc19558_3183596538"/>
      <w:bookmarkEnd w:id="171"/>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0,03</w:t>
            </w:r>
            <w:r>
              <w:rPr>
                <w:kern w:val="0"/>
                <w:sz w:val="20"/>
                <w:szCs w:val="24"/>
                <w:lang w:val="en-US" w:eastAsia="en-US"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va dans le sens contraire de H3 : sur le CAC 40, XGBoost fait moins bien que Ridge.</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2" w:name="__RefHeading___Toc19586_3183596538"/>
      <w:bookmarkEnd w:id="172"/>
      <w:r>
        <w:rPr>
          <w:b/>
          <w:bCs/>
          <w:sz w:val="22"/>
        </w:rPr>
        <w:t>Figure 3.2 – RMSE relatif à la moyenne historique</w:t>
      </w:r>
    </w:p>
    <w:p>
      <w:pPr>
        <w:pStyle w:val="BodyText"/>
        <w:keepNext w:val="false"/>
        <w:spacing w:lineRule="auto" w:line="240" w:before="40" w:after="240"/>
        <w:jc w:val="left"/>
        <w:rPr/>
      </w:pPr>
      <w:bookmarkStart w:id="173" w:name="modèles-principaux"/>
      <w:r>
        <w:rPr>
          <w:i/>
          <w:iCs/>
          <w:sz w:val="20"/>
        </w:rPr>
        <w:t>Source : calculs de l’auteur.</w:t>
      </w:r>
      <w:bookmarkEnd w:id="173"/>
    </w:p>
    <w:p>
      <w:pPr>
        <w:pStyle w:val="Heading2"/>
        <w:rPr/>
      </w:pPr>
      <w:bookmarkStart w:id="174" w:name="__RefHeading___Toc19484_3183596538"/>
      <w:bookmarkStart w:id="175" w:name="solidité-des-résultats"/>
      <w:bookmarkEnd w:id="174"/>
      <w:r>
        <w:rPr/>
        <w:t>3.3 Solidité des résultats</w:t>
      </w:r>
    </w:p>
    <w:p>
      <w:pPr>
        <w:pStyle w:val="FirstParagraph"/>
        <w:rPr/>
      </w:pPr>
      <w:r>
        <w:rPr/>
        <w:t>Quatre contrôles complètent le tableau 3.2. Ils ont été ajoutés lors de la revue du code, après les premiers résultats.</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(tableau 3.4).</w:t>
      </w:r>
    </w:p>
    <w:p>
      <w:pPr>
        <w:pStyle w:val="CaptionTable"/>
        <w:keepNext w:val="true"/>
        <w:spacing w:lineRule="auto" w:line="240" w:before="120" w:after="80"/>
        <w:jc w:val="left"/>
        <w:rPr/>
      </w:pPr>
      <w:bookmarkStart w:id="176" w:name="__RefHeading___Toc19556_3183596538"/>
      <w:bookmarkEnd w:id="176"/>
      <w:r>
        <w:rPr>
          <w:b/>
          <w:bCs/>
          <w:sz w:val="22"/>
        </w:rPr>
        <w:t>Tableau 3.4 – Contrôle positif : part des tirages où le signal est retrouvé (Ridge, 10 tirages)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Test DM significatif (5 %)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10 %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75"/>
    </w:p>
    <w:p>
      <w:pPr>
        <w:pStyle w:val="Heading2"/>
        <w:rPr/>
      </w:pPr>
      <w:bookmarkStart w:id="177" w:name="__RefHeading___Toc19486_3183596538"/>
      <w:bookmarkStart w:id="178" w:name="importance-des-variables-1"/>
      <w:bookmarkEnd w:id="177"/>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Les dépenses d’intervention arrivent en tête pour le spread et l’OAT, l’investissement pour le CAC 40.</w:t>
      </w:r>
    </w:p>
    <w:p>
      <w:pPr>
        <w:pStyle w:val="BodyText"/>
        <w:rPr/>
      </w:pPr>
      <w:r>
        <w:rPr/>
        <w:t xml:space="preserve">Pour juger ce chiffre, nous avons remplacé les sept dépenses par sept variables de pur bruit, tirées au hasard (10 tirages). Ces variables sans aucune information obtiennent en moyenne </w:t>
      </w:r>
      <w:r>
        <w:rPr>
          <w:b/>
          <w:bCs/>
        </w:rPr>
        <w:t>34 à 38 %</w:t>
      </w:r>
      <w:r>
        <w:rPr/>
        <w:t xml:space="preserve"> de l’importance SHAP.</w:t>
      </w:r>
    </w:p>
    <w:p>
      <w:pPr>
        <w:pStyle w:val="CaptionTable"/>
        <w:keepNext w:val="true"/>
        <w:spacing w:lineRule="auto" w:line="240" w:before="120" w:after="80"/>
        <w:jc w:val="left"/>
        <w:rPr/>
      </w:pPr>
      <w:bookmarkStart w:id="179" w:name="__RefHeading___Toc19554_3183596538"/>
      <w:bookmarkEnd w:id="179"/>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lors de la revue : l’importance par permutation.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80" w:name="__RefHeading___Toc19584_3183596538"/>
      <w:bookmarkEnd w:id="180"/>
      <w:r>
        <w:rPr>
          <w:b/>
          <w:bCs/>
          <w:sz w:val="22"/>
        </w:rPr>
        <w:t>Figure 3.3 – Importance SHAP des variables</w:t>
      </w:r>
    </w:p>
    <w:p>
      <w:pPr>
        <w:pStyle w:val="BodyText"/>
        <w:keepNext w:val="false"/>
        <w:spacing w:lineRule="auto" w:line="240" w:before="40" w:after="240"/>
        <w:jc w:val="left"/>
        <w:rPr/>
      </w:pPr>
      <w:bookmarkStart w:id="181" w:name="importance-des-variables-1"/>
      <w:r>
        <w:rPr>
          <w:i/>
          <w:iCs/>
          <w:sz w:val="20"/>
        </w:rPr>
        <w:t>Source : calculs de l’auteur.</w:t>
      </w:r>
      <w:bookmarkEnd w:id="181"/>
    </w:p>
    <w:p>
      <w:pPr>
        <w:pStyle w:val="Heading2"/>
        <w:rPr/>
      </w:pPr>
      <w:bookmarkStart w:id="182" w:name="__RefHeading___Toc19488_3183596538"/>
      <w:bookmarkStart w:id="183" w:name="X61a4d291439392788f28764514cb69606ca960d"/>
      <w:bookmarkEnd w:id="182"/>
      <w:r>
        <w:rPr/>
        <w:t>3.5 Extensions sur les données françaises (E1 à E13)</w:t>
      </w:r>
    </w:p>
    <w:p>
      <w:pPr>
        <w:pStyle w:val="FirstParagraph"/>
        <w:rPr/>
      </w:pPr>
      <w:r>
        <w:rPr/>
        <w:t>Les treize extensions françaises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Le détail par modèle est en annexe.</w:t>
      </w:r>
    </w:p>
    <w:p>
      <w:pPr>
        <w:pStyle w:val="CaptionTable"/>
        <w:keepNext w:val="true"/>
        <w:spacing w:lineRule="auto" w:line="240" w:before="120" w:after="80"/>
        <w:jc w:val="left"/>
        <w:rPr/>
      </w:pPr>
      <w:bookmarkStart w:id="184" w:name="__RefHeading___Toc19552_3183596538"/>
      <w:bookmarkEnd w:id="184"/>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-7,0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 / -8,7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-30,3 / -39,6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-94,0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-6,7 / -7,7</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-4,0 / -7,5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-10,7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5" w:name="__RefHeading___Toc19582_3183596538"/>
      <w:bookmarkEnd w:id="185"/>
      <w:r>
        <w:rPr>
          <w:b/>
          <w:bCs/>
          <w:sz w:val="22"/>
        </w:rPr>
        <w:t>Figure 3.4 – Synthèse des extensions</w:t>
      </w:r>
    </w:p>
    <w:p>
      <w:pPr>
        <w:pStyle w:val="BodyText"/>
        <w:keepNext w:val="false"/>
        <w:spacing w:lineRule="auto" w:line="240" w:before="40" w:after="240"/>
        <w:jc w:val="left"/>
        <w:rPr/>
      </w:pPr>
      <w:bookmarkStart w:id="186" w:name="X61a4d291439392788f28764514cb69606ca960d"/>
      <w:r>
        <w:rPr>
          <w:i/>
          <w:iCs/>
          <w:sz w:val="20"/>
        </w:rPr>
        <w:t>Source : calculs de l’auteur.</w:t>
      </w:r>
      <w:bookmarkEnd w:id="186"/>
    </w:p>
    <w:p>
      <w:pPr>
        <w:pStyle w:val="Heading2"/>
        <w:rPr/>
      </w:pPr>
      <w:bookmarkStart w:id="187" w:name="__RefHeading___Toc19490_3183596538"/>
      <w:bookmarkStart w:id="188" w:name="X98da76a2dfe6287c3d8c5b97d63fcea983b716d"/>
      <w:bookmarkEnd w:id="187"/>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montre que la cible en moyenne trimestrielle est autocorrélée (0,32, contre 0,07 pour le spread de fin de trimestre). Avec le spread de fin de trimestre, les deux R² deviennent négatifs : -4,1 % sans dépenses et -2,9 % avec.</w:t>
      </w:r>
    </w:p>
    <w:p>
      <w:pPr>
        <w:pStyle w:val="BodyText"/>
        <w:rPr/>
      </w:pPr>
      <w:r>
        <w:rPr>
          <w:b/>
          <w:bCs/>
        </w:rPr>
        <w:t>E16 – réplication élargie de Bouillot et al. (2025).</w:t>
      </w:r>
      <w:r>
        <w:rPr/>
        <w:t xml:space="preserve"> Le panel mensuel compte 150 variables, dont 18 de finances publiques, et 874 prévisions. Sur le </w:t>
      </w:r>
      <w:r>
        <w:rPr>
          <w:b/>
          <w:bCs/>
        </w:rPr>
        <w:t>niveau</w:t>
      </w:r>
      <w:r>
        <w:rPr/>
        <w:t xml:space="preserve"> du spread, le R² par rapport à la moyenne atteint 90 à 97 %.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0,88).</w:t>
      </w:r>
    </w:p>
    <w:p>
      <w:pPr>
        <w:pStyle w:val="CaptionTable"/>
        <w:keepNext w:val="true"/>
        <w:spacing w:lineRule="auto" w:line="240" w:before="120" w:after="80"/>
        <w:jc w:val="left"/>
        <w:rPr/>
      </w:pPr>
      <w:bookmarkStart w:id="189" w:name="__RefHeading___Toc19550_3183596538"/>
      <w:bookmarkEnd w:id="189"/>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-139,6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-45,5 %,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-5,0 % (p = 0,20).</w:t>
      </w:r>
      <w:bookmarkEnd w:id="188"/>
    </w:p>
    <w:p>
      <w:pPr>
        <w:pStyle w:val="Heading2"/>
        <w:rPr/>
      </w:pPr>
      <w:bookmarkStart w:id="190" w:name="__RefHeading___Toc19492_3183596538"/>
      <w:bookmarkStart w:id="191" w:name="synthèse-état-des-hypothèses"/>
      <w:bookmarkEnd w:id="190"/>
      <w:bookmarkEnd w:id="191"/>
      <w:r>
        <w:rPr/>
        <w:t>3.7 Synthèse : état des hypothèses</w:t>
      </w:r>
    </w:p>
    <w:p>
      <w:pPr>
        <w:pStyle w:val="CaptionTable"/>
        <w:keepNext w:val="true"/>
        <w:spacing w:lineRule="auto" w:line="240" w:before="120" w:after="80"/>
        <w:jc w:val="left"/>
        <w:rPr/>
      </w:pPr>
      <w:bookmarkStart w:id="192" w:name="__RefHeading___Toc19548_3183596538"/>
      <w:bookmarkEnd w:id="192"/>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Rejetée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Rejetée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3" w:name="chapitre-3-résultats"/>
      <w:bookmarkStart w:id="194" w:name="synthèse-état-des-hypothèses"/>
      <w:bookmarkStart w:id="195" w:name="chapitre-3-résultats"/>
      <w:bookmarkStart w:id="196" w:name="synthèse-état-des-hypothèses"/>
      <w:bookmarkEnd w:id="195"/>
      <w:bookmarkEnd w:id="196"/>
      <w:r>
        <w:br w:type="page"/>
      </w:r>
    </w:p>
    <w:p>
      <w:pPr>
        <w:pStyle w:val="Heading1"/>
        <w:spacing w:before="0" w:after="240"/>
        <w:rPr/>
      </w:pPr>
      <w:bookmarkStart w:id="197" w:name="__RefHeading___Toc19494_3183596538"/>
      <w:bookmarkStart w:id="198" w:name="chapitre-4-discussion"/>
      <w:bookmarkEnd w:id="197"/>
      <w:bookmarkEnd w:id="198"/>
      <w:r>
        <w:rPr/>
        <w:t>Chapitre 4 – Discussion</w:t>
      </w:r>
    </w:p>
    <w:p>
      <w:pPr>
        <w:pStyle w:val="Heading2"/>
        <w:rPr/>
      </w:pPr>
      <w:bookmarkStart w:id="199" w:name="__RefHeading___Toc19496_3183596538"/>
      <w:bookmarkStart w:id="200" w:name="réponse-à-la-problématique"/>
      <w:bookmarkEnd w:id="199"/>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pour les vingt extensions, avec un décalage de publication de un à trois mois, et après correction pour les tests multiples.</w:t>
      </w:r>
    </w:p>
    <w:p>
      <w:pPr>
        <w:pStyle w:val="BodyText"/>
        <w:rPr/>
      </w:pPr>
      <w:r>
        <w:rPr/>
        <w:t>Cette réponse a une portée précise. Elle ne dit pas que les dépenses n’ont aucun lien avec les marchés. Elle dit que, si ce lien existe, il est trop faible pour être détecté avec 79 mois de test (section 4.3). Elle porte sur l’exécution mensuelle du budget de l’État, et non sur les annonces budgétaires ni sur l’ensemble des administrations publiques. Nous préférons donc écrire « pas de preuve » plutôt que « les dépenses ne permettent pas de prédire » : la première formulation décrit ce que nos tests montrent ; la seconde affirmerait une impossibilité que nos données ne peuvent pas démontrer. C’est une conclusion « pour l’instant » : avec des séries plus longues ou des données quotidiennes, un effet faible pourrait apparaître.</w:t>
      </w:r>
    </w:p>
    <w:p>
      <w:pPr>
        <w:pStyle w:val="BodyText"/>
        <w:rPr/>
      </w:pPr>
      <w:r>
        <w:rPr/>
        <w:t xml:space="preserve">Un second constat dépasse la question des dépenses : </w:t>
      </w:r>
      <w:r>
        <w:rPr>
          <w:b/>
          <w:bCs/>
        </w:rPr>
        <w:t>aucun modèle ne bat la moyenne historique</w:t>
      </w:r>
      <w:r>
        <w:rPr/>
        <w:t>, même sans les dépenses. Pour les taux, la prévision la plus simple, « pas de variation le mois prochain », fait même mieux que la moyenne et que tous nos modèles. À un mois, ces marchés sont donc très difficiles à prévoir, quelles que soient les variables utilisées.</w:t>
      </w:r>
      <w:bookmarkEnd w:id="200"/>
    </w:p>
    <w:p>
      <w:pPr>
        <w:pStyle w:val="Heading2"/>
        <w:rPr/>
      </w:pPr>
      <w:bookmarkStart w:id="201" w:name="__RefHeading___Toc19498_3183596538"/>
      <w:bookmarkStart w:id="202" w:name="Xa5e5ce56c40b921dc4fb73ef6c887ec2a5a3779"/>
      <w:bookmarkEnd w:id="201"/>
      <w:r>
        <w:rPr/>
        <w:t>4.2 Pourquoi les dépenses n’aident pas : trois explications</w:t>
      </w:r>
    </w:p>
    <w:p>
      <w:pPr>
        <w:pStyle w:val="FirstParagraph"/>
        <w:rPr/>
      </w:pPr>
      <w:r>
        <w:rPr/>
        <w:t>Le chapitre 3 montre que les dépenses de l’État n’améliorent la prévision d’aucune des trois cibles. Nous proposons trois explications. Elles ne s’excluent pas.</w:t>
      </w:r>
    </w:p>
    <w:p>
      <w:pPr>
        <w:pStyle w:val="Heading3"/>
        <w:rPr/>
      </w:pPr>
      <w:bookmarkStart w:id="203" w:name="Xb6cbddcd8f5ae7d3e4ba72eb19a3909bfa7b954"/>
      <w:r>
        <w:rPr/>
        <w:t>L’information est déjà connue au moment de la publication.</w:t>
      </w:r>
    </w:p>
    <w:p>
      <w:pPr>
        <w:pStyle w:val="FirstParagraph"/>
        <w:rPr/>
      </w:pPr>
      <w:r>
        <w:rPr/>
        <w:t>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 surtout ce qui était attendu.</w:t>
      </w:r>
    </w:p>
    <w:p>
      <w:pPr>
        <w:pStyle w:val="BodyText"/>
        <w:rPr/>
      </w:pPr>
      <w:r>
        <w:rPr/>
        <w:t>Or un prix de marché réagit à l’information nouvelle, pas à ce qui est déjà prévu (Fama, 1970). Ramey (2011)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(2009) : pendant la crise de 2007-2009, c’est l’annonce des plans de sauvetage bancaire qui a fait monter les spreads, et non le montant engagé.</w:t>
      </w:r>
    </w:p>
    <w:p>
      <w:pPr>
        <w:pStyle w:val="BodyText"/>
        <w:rPr/>
      </w:pPr>
      <w:bookmarkStart w:id="204" w:name="Xb6cbddcd8f5ae7d3e4ba72eb19a3909bfa7b954"/>
      <w:r>
        <w:rPr/>
        <w:t>Cette explication reste une hypothèse. Pour la démontrer, il faudrait observer le spread le jour même de chaque publication (étude d’événement). Cette étude n’a pas pu être réalisée, faute de taux quotidiens accessibles (section 4.6).</w:t>
      </w:r>
      <w:bookmarkEnd w:id="204"/>
    </w:p>
    <w:p>
      <w:pPr>
        <w:pStyle w:val="Heading3"/>
        <w:rPr/>
      </w:pPr>
      <w:bookmarkStart w:id="205" w:name="X57f8577d700eaa38cd6c624300c66f71b06c5e6"/>
      <w:r>
        <w:rPr/>
        <w:t>Ce qui fait bouger le spread n’est pas budgétaire.</w:t>
      </w:r>
    </w:p>
    <w:p>
      <w:pPr>
        <w:pStyle w:val="FirstParagraph"/>
        <w:rPr/>
      </w:pPr>
      <w:r>
        <w:rPr/>
        <w:t>Les plus fortes variations mensuelles du spread OAT–Bund correspondent à des chocs politiques ou mondiaux : mars 2020 (+20,5 pb, Covid), la période de l’élection présidentielle de 2017 (+16,3 pb en février, -18,1 pb en mai), juin 2024 (+15,5 pb, dissolution de l’Assemblée nationale). Ces mouvements s’expliquent par des événements identifiés, sans lien avec le contenu des situations budgétaires mensuelles. [À vérifier avant la version finale : dates et sources de chaque événement.]</w:t>
      </w:r>
    </w:p>
    <w:p>
      <w:pPr>
        <w:pStyle w:val="BodyText"/>
        <w:rPr/>
      </w:pPr>
      <w:bookmarkStart w:id="206" w:name="X57f8577d700eaa38cd6c624300c66f71b06c5e6"/>
      <w:r>
        <w:rPr/>
        <w:t>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bookmarkEnd w:id="206"/>
    </w:p>
    <w:p>
      <w:pPr>
        <w:pStyle w:val="Heading3"/>
        <w:rPr/>
      </w:pPr>
      <w:bookmarkStart w:id="207" w:name="une-variable-lente-pour-une-cible-rapide"/>
      <w:r>
        <w:rPr/>
        <w:t>Une variable lente pour une cible rapide.</w:t>
      </w:r>
    </w:p>
    <w:p>
      <w:pPr>
        <w:pStyle w:val="FirstParagraph"/>
        <w:rPr/>
      </w:pPr>
      <w:r>
        <w:rPr/>
        <w:t>Les dépenses publiques évoluent sur plusieurs années. Le spread, le taux OAT et le CAC 40 réagissent en quelques jours. Nous cherchons donc à prévoir un mouvement rapide avec une information lente, et disponible avec deux mois de retard.</w:t>
      </w:r>
    </w:p>
    <w:p>
      <w:pPr>
        <w:pStyle w:val="BodyText"/>
        <w:rPr/>
      </w:pPr>
      <w:r>
        <w:rPr/>
        <w:t xml:space="preserve">La littérature européenne trouve pourtant un lien entre finances publiques et spreads (Bernoth et al., 2012 ; Afonso et al., 2015). Ce n’est pas une contradiction : ces études </w:t>
      </w:r>
      <w:r>
        <w:rPr>
          <w:b/>
          <w:bCs/>
        </w:rPr>
        <w:t>expliquent le niveau</w:t>
      </w:r>
      <w:r>
        <w:rPr/>
        <w:t xml:space="preserve"> des spreads, en coupe ou en panel, souvent sur des périodes de crise. Nous cherchons à </w:t>
      </w:r>
      <w:r>
        <w:rPr>
          <w:b/>
          <w:bCs/>
        </w:rPr>
        <w:t>prévoir leur variation</w:t>
      </w:r>
      <w:r>
        <w:rPr/>
        <w:t xml:space="preserve"> le mois suivant, hors échantillon. Une variable peut expliquer un niveau sur dix ans sans aider à prévoir le mois prochain. Le panel annuel (E17) teste une fréquence plus basse ; il ne fait pas mieux, mais il ne compte que 75 prévisions.</w:t>
      </w:r>
    </w:p>
    <w:p>
      <w:pPr>
        <w:pStyle w:val="BodyText"/>
        <w:rPr/>
      </w:pPr>
      <w:bookmarkStart w:id="208" w:name="Xa5e5ce56c40b921dc4fb73ef6c887ec2a5a3779"/>
      <w:bookmarkStart w:id="209" w:name="une-variable-lente-pour-une-cible-rapide"/>
      <w:r>
        <w:rPr/>
        <w:t>Enfin, la France n’a pas connu de crise de la dette pendant notre période (2014-2026), contrairement à l’Italie ou à l’Espagne en 2011-2012. Il est possible que les dépenses ne comptent pour les marchés qu’en période de tension (Afonso et al., 2015). Le panel trimestriel allait dans ce sens (+4 points de R² en 2010-2014), mais l’écart n’est pas significatif (p = 0,36) et disparaît avec le spread de fin de trimestre (E18).</w:t>
      </w:r>
      <w:bookmarkEnd w:id="208"/>
      <w:bookmarkEnd w:id="209"/>
    </w:p>
    <w:p>
      <w:pPr>
        <w:pStyle w:val="Heading2"/>
        <w:rPr/>
      </w:pPr>
      <w:bookmarkStart w:id="210" w:name="__RefHeading___Toc19500_3183596538"/>
      <w:bookmarkStart w:id="211" w:name="X4f24273c89b93f863aba17af74a867268801037"/>
      <w:bookmarkEnd w:id="210"/>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12" w:name="X5c4ef77c170152c1e9564333d059fa01c8bab33"/>
      <w:r>
        <w:rPr/>
        <w:t>Ce que le test aurait trouvé : la puissance.</w:t>
      </w:r>
    </w:p>
    <w:p>
      <w:pPr>
        <w:pStyle w:val="FirstParagraph"/>
        <w:rPr/>
      </w:pPr>
      <w:r>
        <w:rPr/>
        <w:t>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rPr/>
      </w:pPr>
      <w:bookmarkStart w:id="213" w:name="X5c4ef77c170152c1e9564333d059fa01c8bab33"/>
      <w:r>
        <w:rPr/>
        <w:t>Cela définit la portée de notre conclusion : les dépenses n’ont pas un pouvoir prédictif fort ; un effet faible reste possible. La cause principale est la taille de l’échantillon : les séries budgétaires ouvertes commencent en 2013, ce qui laisse 79 mois de test. Ce n’est pas un choix de méthode, c’est une limite des données disponibles.</w:t>
      </w:r>
      <w:bookmarkEnd w:id="213"/>
    </w:p>
    <w:p>
      <w:pPr>
        <w:pStyle w:val="Heading3"/>
        <w:rPr/>
      </w:pPr>
      <w:bookmarkStart w:id="214" w:name="X91246e4b4c31707a215f07722d23662805b7573"/>
      <w:r>
        <w:rPr/>
        <w:t>Ce que fait du pur bruit : le contrôle négatif.</w:t>
      </w:r>
    </w:p>
    <w:p>
      <w:pPr>
        <w:pStyle w:val="FirstParagraph"/>
        <w:rPr/>
      </w:pPr>
      <w:r>
        <w:rPr/>
        <w:t>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rPr/>
      </w:pPr>
      <w:bookmarkStart w:id="215" w:name="X91246e4b4c31707a215f07722d23662805b7573"/>
      <w:r>
        <w:rPr/>
        <w:t>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bookmarkEnd w:id="215"/>
    </w:p>
    <w:p>
      <w:pPr>
        <w:pStyle w:val="Heading3"/>
        <w:rPr/>
      </w:pPr>
      <w:bookmarkStart w:id="216" w:name="Xecf3ad6827ba826d0d342eb932b46c5b8115e23"/>
      <w:r>
        <w:rPr/>
        <w:t>Contre quoi comparer : le choix de la référence.</w:t>
      </w:r>
    </w:p>
    <w:p>
      <w:pPr>
        <w:pStyle w:val="FirstParagraph"/>
        <w:rPr/>
      </w:pPr>
      <w:r>
        <w:rPr/>
        <w:t>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(Working, 1960). Avec le spread de fin de trimestre, le R² devient négatif.</w:t>
      </w:r>
    </w:p>
    <w:p>
      <w:pPr>
        <w:pStyle w:val="BodyText"/>
        <w:rPr/>
      </w:pPr>
      <w:bookmarkStart w:id="217" w:name="X4f24273c89b93f863aba17af74a867268801037"/>
      <w:bookmarkStart w:id="218" w:name="Xecf3ad6827ba826d0d342eb932b46c5b8115e23"/>
      <w:r>
        <w:rPr/>
        <w:t>Ces trois points ont un même message : un bon score ne suffit pas. Il faut toujours le comparer à une référence simple et à du bruit, et vérifier que la cible ne contient pas une régularité mécanique.</w:t>
      </w:r>
      <w:bookmarkEnd w:id="217"/>
      <w:bookmarkEnd w:id="218"/>
    </w:p>
    <w:p>
      <w:pPr>
        <w:pStyle w:val="Heading2"/>
        <w:rPr/>
      </w:pPr>
      <w:bookmarkStart w:id="219" w:name="__RefHeading___Toc19502_3183596538"/>
      <w:bookmarkStart w:id="220" w:name="comparaison-avec-la-littérature"/>
      <w:bookmarkEnd w:id="219"/>
      <w:r>
        <w:rPr/>
        <w:t>4.4 Comparaison avec la littérature</w:t>
      </w:r>
    </w:p>
    <w:p>
      <w:pPr>
        <w:pStyle w:val="Heading3"/>
        <w:rPr/>
      </w:pPr>
      <w:bookmarkStart w:id="221" w:name="X38da42998e753696a184ac02ba53813e7b5557d"/>
      <w:r>
        <w:rPr/>
        <w:t>Bouillot, Candelon et Kool (2025) : un R² élevé n’est pas une bonne prévision.</w:t>
      </w:r>
    </w:p>
    <w:p>
      <w:pPr>
        <w:pStyle w:val="FirstParagraph"/>
        <w:rPr/>
      </w:pPr>
      <w:r>
        <w:rPr/>
        <w:t>L’étude la plus proche de la nôtre annonce d’excellents résultats : un R² de 0,81 à 0,99 selon les pays (0,86 pour la France), et une erreur de 7,3 points de base pour la France sur 2020-2025. Nos résultats semblent contraires aux leurs. En réalité, ils ne mesurent pas la même chose.</w:t>
      </w:r>
    </w:p>
    <w:p>
      <w:pPr>
        <w:pStyle w:val="BodyText"/>
        <w:rPr/>
      </w:pPr>
      <w:r>
        <w:rPr/>
        <w:t xml:space="preserve">Bouillot et al. prévoient le </w:t>
      </w:r>
      <w:r>
        <w:rPr>
          <w:b/>
          <w:bCs/>
        </w:rPr>
        <w:t>niveau</w:t>
      </w:r>
      <w:r>
        <w:rPr/>
        <w:t xml:space="preserve"> du spread, et comparent leurs modèles à la moyenne et à des régressions linéaires.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rPr/>
      </w:pPr>
      <w:r>
        <w:rPr/>
        <w:t>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rPr/>
      </w:pPr>
      <w:bookmarkStart w:id="222" w:name="X38da42998e753696a184ac02ba53813e7b5557d"/>
      <w:r>
        <w:rPr/>
        <w:t>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parmi les 50 plus importantes).</w:t>
      </w:r>
      <w:bookmarkEnd w:id="222"/>
    </w:p>
    <w:p>
      <w:pPr>
        <w:pStyle w:val="Heading3"/>
        <w:rPr/>
      </w:pPr>
      <w:bookmarkStart w:id="223" w:name="welch-et-goyal-2008-un-résultat-attendu"/>
      <w:r>
        <w:rPr/>
        <w:t>Welch et Goyal (2008) : un résultat attendu.</w:t>
      </w:r>
    </w:p>
    <w:p>
      <w:pPr>
        <w:pStyle w:val="FirstParagraph"/>
        <w:rPr/>
      </w:pPr>
      <w:bookmarkStart w:id="224" w:name="welch-et-goyal-2008-un-résultat-attendu"/>
      <w:r>
        <w:rPr/>
        <w:t>Welch et Goyal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bookmarkEnd w:id="224"/>
    </w:p>
    <w:p>
      <w:pPr>
        <w:pStyle w:val="Heading3"/>
        <w:rPr/>
      </w:pPr>
      <w:bookmarkStart w:id="225" w:name="X753ea51395fb05b75cf0b45d5b5430777b1a82f"/>
      <w:r>
        <w:rPr/>
        <w:t>Les études européennes sur les finances publiques.</w:t>
      </w:r>
    </w:p>
    <w:p>
      <w:pPr>
        <w:pStyle w:val="FirstParagraph"/>
        <w:rPr/>
      </w:pPr>
      <w:r>
        <w:rPr/>
        <w:t>Afonso et al. (2015) et Bernoth et al. (2012)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rPr/>
      </w:pPr>
      <w:r>
        <w:rPr/>
        <w:t>Belly et al. (2023)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rPr/>
      </w:pPr>
      <w:bookmarkStart w:id="226" w:name="comparaison-avec-la-littérature"/>
      <w:bookmarkStart w:id="227" w:name="X753ea51395fb05b75cf0b45d5b5430777b1a82f"/>
      <w:r>
        <w:rPr/>
        <w:t>Enfin, Garlanda-Longueville (2023) trouve un effet des annonces budgétaires françaises sur le spread, avec des données quotidiennes. Ce résultat est cohérent avec le nôtre : ce sont les annonces, observées au jour le jour, qui font bouger les marchés, et non l’exécution mensuelle publiée deux mois plus tard.</w:t>
      </w:r>
      <w:bookmarkEnd w:id="226"/>
      <w:bookmarkEnd w:id="227"/>
    </w:p>
    <w:p>
      <w:pPr>
        <w:pStyle w:val="Heading2"/>
        <w:rPr/>
      </w:pPr>
      <w:bookmarkStart w:id="228" w:name="__RefHeading___Toc19504_3183596538"/>
      <w:bookmarkStart w:id="229" w:name="limites"/>
      <w:bookmarkEnd w:id="228"/>
      <w:r>
        <w:rPr/>
        <w:t>4.5 Limites</w:t>
      </w:r>
    </w:p>
    <w:p>
      <w:pPr>
        <w:pStyle w:val="Heading3"/>
        <w:rPr/>
      </w:pPr>
      <w:bookmarkStart w:id="230" w:name="limites-des-données"/>
      <w:r>
        <w:rPr/>
        <w:t>Limites des données.</w:t>
      </w:r>
    </w:p>
    <w:p>
      <w:pPr>
        <w:pStyle w:val="Compact"/>
        <w:numPr>
          <w:ilvl w:val="0"/>
          <w:numId w:val="55"/>
        </w:numPr>
        <w:rPr/>
      </w:pPr>
      <w:r>
        <w:rPr>
          <w:b/>
          <w:bCs/>
        </w:rPr>
        <w:t>Données révisées.</w:t>
      </w:r>
      <w:r>
        <w:rPr/>
        <w:t xml:space="preserve"> Nous utilisons la dernière version publiée des situations budgétaires, et non les chiffres tels qu’ils étaient connus à chaque date. Les montants de décembre, en particulier, sont d’abord provisoires puis révisés.</w:t>
      </w:r>
    </w:p>
    <w:p>
      <w:pPr>
        <w:pStyle w:val="Compact"/>
        <w:numPr>
          <w:ilvl w:val="0"/>
          <w:numId w:val="56"/>
        </w:numPr>
        <w:rPr/>
      </w:pPr>
      <w:r>
        <w:rPr>
          <w:b/>
          <w:bCs/>
        </w:rPr>
        <w:t>Date de publication.</w:t>
      </w:r>
      <w:r>
        <w:rPr/>
        <w:t xml:space="preserve"> Le décalage de deux mois est vérifié sur 2023-2026 seulement ; pour 2014-2019, c’est une hypothèse. Les résultats ne changent pas avec un décalage de un ou de trois mois (section 3.3).</w:t>
      </w:r>
    </w:p>
    <w:p>
      <w:pPr>
        <w:pStyle w:val="Compact"/>
        <w:numPr>
          <w:ilvl w:val="0"/>
          <w:numId w:val="57"/>
        </w:numPr>
        <w:rPr/>
      </w:pPr>
      <w:r>
        <w:rPr>
          <w:b/>
          <w:bCs/>
        </w:rPr>
        <w:t>Périmètre.</w:t>
      </w:r>
      <w:r>
        <w:rPr/>
        <w:t xml:space="preserve"> Les données couvrent le budget de l’État, pas la Sécurité sociale ni les collectivités locales. Elles ne sont pas ventilées par mission (défense, éducation, etc.).</w:t>
      </w:r>
    </w:p>
    <w:p>
      <w:pPr>
        <w:pStyle w:val="Compact"/>
        <w:numPr>
          <w:ilvl w:val="0"/>
          <w:numId w:val="58"/>
        </w:numPr>
        <w:rPr/>
      </w:pPr>
      <w:r>
        <w:rPr>
          <w:b/>
          <w:bCs/>
        </w:rPr>
        <w:t>Cibles de taux en moyennes mensuelles.</w:t>
      </w:r>
      <w:r>
        <w:rPr/>
        <w:t xml:space="preserve"> Le spread et le taux OAT sont des moyennes du mois (source OCDE), alors que le CAC 40 est pris en fin de mois. Les variations de moyennes sont légèrement autocorrélées de façon mécanique.</w:t>
      </w:r>
    </w:p>
    <w:p>
      <w:pPr>
        <w:pStyle w:val="Compact"/>
        <w:numPr>
          <w:ilvl w:val="0"/>
          <w:numId w:val="59"/>
        </w:numPr>
        <w:rPr/>
      </w:pPr>
      <w:r>
        <w:rPr>
          <w:b/>
          <w:bCs/>
        </w:rPr>
        <w:t>Variables budgétaires hétérogènes dans l’année.</w:t>
      </w:r>
      <w:r>
        <w:rPr/>
        <w:t xml:space="preserve"> L’écart cumulé depuis janvier varie beaucoup plus en fin d’année qu’en début d’année : en médiane, son écart-type en décembre est 6,3 fois celui de janvier.</w:t>
      </w:r>
      <w:bookmarkEnd w:id="230"/>
    </w:p>
    <w:p>
      <w:pPr>
        <w:pStyle w:val="Heading3"/>
        <w:rPr/>
      </w:pPr>
      <w:bookmarkStart w:id="231" w:name="limites-de-méthode"/>
      <w:r>
        <w:rPr/>
        <w:t>Limites de méthode.</w:t>
      </w:r>
    </w:p>
    <w:p>
      <w:pPr>
        <w:pStyle w:val="Compact"/>
        <w:numPr>
          <w:ilvl w:val="0"/>
          <w:numId w:val="60"/>
        </w:numPr>
        <w:rPr/>
      </w:pPr>
      <w:r>
        <w:rPr>
          <w:b/>
          <w:bCs/>
        </w:rPr>
        <w:t>Petit échantillon.</w:t>
      </w:r>
      <w:r>
        <w:rPr/>
        <w:t xml:space="preserve"> Avec 70 à 148 mois d’entraînement et 79 mois de test, seul un effet fort pouvait être détecté (section 4.3). Les écarts de quelques points de R² entre deux modèles ne sont pas interprétables.</w:t>
      </w:r>
    </w:p>
    <w:p>
      <w:pPr>
        <w:pStyle w:val="Compact"/>
        <w:numPr>
          <w:ilvl w:val="0"/>
          <w:numId w:val="61"/>
        </w:numPr>
        <w:rPr/>
      </w:pPr>
      <w:r>
        <w:rPr>
          <w:b/>
          <w:bCs/>
        </w:rPr>
        <w:t>Hyperparamètres.</w:t>
      </w:r>
      <w:r>
        <w:rPr/>
        <w:t xml:space="preserve"> 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pStyle w:val="Compact"/>
        <w:numPr>
          <w:ilvl w:val="0"/>
          <w:numId w:val="62"/>
        </w:numPr>
        <w:rPr/>
      </w:pPr>
      <w:r>
        <w:rPr>
          <w:b/>
          <w:bCs/>
        </w:rPr>
        <w:t>Instabilité de XGBoost.</w:t>
      </w:r>
      <w:r>
        <w:rPr/>
        <w:t xml:space="preserve"> Son R² varie d’environ 9 points selon la graine aléatoire. Les conclusions ne changent pas, mais les chiffres précis dépendent aussi des versions des librairies.</w:t>
      </w:r>
    </w:p>
    <w:p>
      <w:pPr>
        <w:pStyle w:val="Compact"/>
        <w:numPr>
          <w:ilvl w:val="0"/>
          <w:numId w:val="63"/>
        </w:numPr>
        <w:rPr/>
      </w:pPr>
      <w:r>
        <w:rPr>
          <w:b/>
          <w:bCs/>
        </w:rPr>
        <w:t>Extensions ajoutées en cours de route.</w:t>
      </w:r>
      <w:r>
        <w:rPr/>
        <w:t xml:space="preserve"> Les extensions E15 à E20 ont été décidées après les premiers résultats, et E18 est explicitement exploratoire.</w:t>
      </w:r>
    </w:p>
    <w:p>
      <w:pPr>
        <w:pStyle w:val="Compact"/>
        <w:numPr>
          <w:ilvl w:val="0"/>
          <w:numId w:val="64"/>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65"/>
        </w:numPr>
        <w:rPr/>
      </w:pPr>
      <w:r>
        <w:rPr>
          <w:b/>
          <w:bCs/>
        </w:rPr>
        <w:t>Pas d’étude d’événement.</w:t>
      </w:r>
      <w:r>
        <w:rPr/>
        <w:t xml:space="preserve"> Faute de taux quotidiens accessibles, nous n’avons pas pu mesurer la réaction du marché le jour de chaque publication. L’explication « l’information est déjà connue » (section 4.2) reste donc une hypothèse.</w:t>
      </w:r>
      <w:bookmarkEnd w:id="229"/>
      <w:bookmarkEnd w:id="231"/>
    </w:p>
    <w:p>
      <w:pPr>
        <w:pStyle w:val="Heading2"/>
        <w:rPr/>
      </w:pPr>
      <w:bookmarkStart w:id="232" w:name="__RefHeading___Toc19506_3183596538"/>
      <w:bookmarkStart w:id="233" w:name="recherches-futures"/>
      <w:bookmarkEnd w:id="232"/>
      <w:bookmarkEnd w:id="233"/>
      <w:r>
        <w:rPr/>
        <w:t>4.6 Recherches futures</w:t>
      </w:r>
    </w:p>
    <w:p>
      <w:pPr>
        <w:pStyle w:val="Compact"/>
        <w:numPr>
          <w:ilvl w:val="0"/>
          <w:numId w:val="66"/>
        </w:numPr>
        <w:rPr/>
      </w:pPr>
      <w:r>
        <w:rPr>
          <w:b/>
          <w:bCs/>
        </w:rPr>
        <w:t>Étude d’événement.</w:t>
      </w:r>
      <w:r>
        <w:rPr/>
        <w:t xml:space="preserve"> Avec des taux quotidiens (Banque de France, Bundesbank) et les dates exactes de publication des situations budgétaires, on pourrait mesurer la réaction du spread le jour même. C’est le test direct de l’explication « l’information est déjà connue ». Garlanda-Longueville (2023) montre qu’une telle approche trouve des effets pour les annonces budgétaires.</w:t>
      </w:r>
    </w:p>
    <w:p>
      <w:pPr>
        <w:pStyle w:val="Compact"/>
        <w:numPr>
          <w:ilvl w:val="0"/>
          <w:numId w:val="67"/>
        </w:numPr>
        <w:rPr/>
      </w:pPr>
      <w:r>
        <w:rPr>
          <w:b/>
          <w:bCs/>
        </w:rPr>
        <w:t>Les annonces plutôt que l’exécution.</w:t>
      </w:r>
      <w:r>
        <w:rPr/>
        <w:t xml:space="preserve"> 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pStyle w:val="Compact"/>
        <w:numPr>
          <w:ilvl w:val="0"/>
          <w:numId w:val="68"/>
        </w:numPr>
        <w:rPr/>
      </w:pPr>
      <w:r>
        <w:rPr>
          <w:b/>
          <w:bCs/>
        </w:rPr>
        <w:t>Données en temps réel.</w:t>
      </w:r>
      <w:r>
        <w:rPr/>
        <w:t xml:space="preserve"> Conserver chaque version publiée des situations budgétaires permettrait de travailler avec l’information réellement disponible à chaque date.</w:t>
      </w:r>
    </w:p>
    <w:p>
      <w:pPr>
        <w:pStyle w:val="Compact"/>
        <w:numPr>
          <w:ilvl w:val="0"/>
          <w:numId w:val="69"/>
        </w:numPr>
        <w:rPr/>
      </w:pPr>
      <w:r>
        <w:rPr>
          <w:b/>
          <w:bCs/>
        </w:rPr>
        <w:t>Plus d’observations.</w:t>
      </w:r>
      <w:r>
        <w:rPr/>
        <w:t xml:space="preserve"> Un panel de pays plus long, incluant la crise de 2010-2012, avec des cibles de fin de période (et non des moyennes), augmenterait la puissance des tests.</w:t>
      </w:r>
    </w:p>
    <w:p>
      <w:pPr>
        <w:pStyle w:val="Compact"/>
        <w:numPr>
          <w:ilvl w:val="0"/>
          <w:numId w:val="70"/>
        </w:numPr>
        <w:rPr/>
      </w:pPr>
      <w:r>
        <w:rPr>
          <w:b/>
          <w:bCs/>
        </w:rPr>
        <w:t>Ventilation sectorielle.</w:t>
      </w:r>
      <w:r>
        <w:rPr/>
        <w:t xml:space="preserve"> Les données de la commande publique (marchés publics) permettraient de relier la dépense aux entreprises qui en bénéficient, et de mieux tester le canal des actions sectorielles (E19).</w:t>
      </w:r>
    </w:p>
    <w:p>
      <w:pPr>
        <w:pStyle w:val="Normal"/>
        <w:rPr/>
      </w:pPr>
      <w:r>
        <w:rPr/>
      </w:r>
      <w:bookmarkStart w:id="234" w:name="chapitre-4-discussion"/>
      <w:bookmarkStart w:id="235" w:name="recherches-futures"/>
      <w:bookmarkStart w:id="236" w:name="chapitre-4-discussion"/>
      <w:bookmarkStart w:id="237" w:name="recherches-futures"/>
      <w:bookmarkEnd w:id="236"/>
      <w:bookmarkEnd w:id="237"/>
      <w:r>
        <w:br w:type="page"/>
      </w:r>
    </w:p>
    <w:p>
      <w:pPr>
        <w:pStyle w:val="Heading1"/>
        <w:spacing w:before="0" w:after="240"/>
        <w:rPr/>
      </w:pPr>
      <w:bookmarkStart w:id="238" w:name="__RefHeading___Toc19508_3183596538"/>
      <w:bookmarkStart w:id="239" w:name="conclusion-générale"/>
      <w:bookmarkEnd w:id="238"/>
      <w:bookmarkEnd w:id="239"/>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40" w:name="__RefHeading___Toc19510_3183596538"/>
      <w:bookmarkStart w:id="241" w:name="principaux-résultats"/>
      <w:bookmarkEnd w:id="240"/>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vingt extensions, avec un décalage de publication de un à trois mois, et après correction pour les 168 comparaisons réalisées. Les quatre hypothèses de départ sont rejetées ou non soutenues : les dépenses n’apportent rien (H1), il n’y a donc pas d’apport à classer entre les indicateurs (H2), le machine learning ne fait pas mieux qu’une régression linéaire (H3), et aucune ligne de dépense ne se détache (H4).</w:t>
      </w:r>
    </w:p>
    <w:p>
      <w:pPr>
        <w:pStyle w:val="BodyText"/>
        <w:rPr/>
      </w:pPr>
      <w:bookmarkStart w:id="242" w:name="principaux-résultats"/>
      <w:r>
        <w:rPr/>
        <w:t>Plus largement, aucun modèle ne bat la moyenne historique, et pour les taux, la prévision « pas de variation » fait mieux que tous les modèles. À un mois, ces marchés restent très difficiles à prévoir.</w:t>
      </w:r>
      <w:bookmarkEnd w:id="242"/>
    </w:p>
    <w:p>
      <w:pPr>
        <w:pStyle w:val="Heading2"/>
        <w:rPr/>
      </w:pPr>
      <w:bookmarkStart w:id="243" w:name="__RefHeading___Toc19512_3183596538"/>
      <w:bookmarkStart w:id="244" w:name="apports-1"/>
      <w:bookmarkEnd w:id="243"/>
      <w:r>
        <w:rPr/>
        <w:t>Apports</w:t>
      </w:r>
    </w:p>
    <w:p>
      <w:pPr>
        <w:pStyle w:val="FirstParagraph"/>
        <w:rPr/>
      </w:pPr>
      <w:bookmarkStart w:id="245"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45"/>
    </w:p>
    <w:p>
      <w:pPr>
        <w:pStyle w:val="Heading2"/>
        <w:rPr/>
      </w:pPr>
      <w:bookmarkStart w:id="246" w:name="__RefHeading___Toc19514_3183596538"/>
      <w:bookmarkStart w:id="247" w:name="limites-1"/>
      <w:bookmarkEnd w:id="246"/>
      <w:r>
        <w:rPr/>
        <w:t>Limites</w:t>
      </w:r>
    </w:p>
    <w:p>
      <w:pPr>
        <w:pStyle w:val="FirstParagraph"/>
        <w:rPr/>
      </w:pPr>
      <w:bookmarkStart w:id="248"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48"/>
    </w:p>
    <w:p>
      <w:pPr>
        <w:pStyle w:val="Heading2"/>
        <w:rPr/>
      </w:pPr>
      <w:bookmarkStart w:id="249" w:name="__RefHeading___Toc19516_3183596538"/>
      <w:bookmarkStart w:id="250" w:name="perspectives"/>
      <w:bookmarkEnd w:id="249"/>
      <w:bookmarkEnd w:id="250"/>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n’est pas dans l’exécution mensuelle du budget.</w:t>
      </w:r>
    </w:p>
    <w:p>
      <w:pPr>
        <w:pStyle w:val="Normal"/>
        <w:rPr/>
      </w:pPr>
      <w:r>
        <w:rPr/>
      </w:r>
      <w:bookmarkStart w:id="251" w:name="conclusion-générale"/>
      <w:bookmarkStart w:id="252" w:name="perspectives"/>
      <w:bookmarkStart w:id="253" w:name="conclusion-générale"/>
      <w:bookmarkStart w:id="254" w:name="perspectives"/>
      <w:bookmarkEnd w:id="253"/>
      <w:bookmarkEnd w:id="254"/>
      <w:r>
        <w:br w:type="page"/>
      </w:r>
    </w:p>
    <w:p>
      <w:pPr>
        <w:pStyle w:val="Heading1"/>
        <w:spacing w:before="0" w:after="240"/>
        <w:rPr/>
      </w:pPr>
      <w:bookmarkStart w:id="255" w:name="__RefHeading___Toc19518_3183596538"/>
      <w:bookmarkStart w:id="256" w:name="références"/>
      <w:bookmarkEnd w:id="255"/>
      <w:bookmarkEnd w:id="256"/>
      <w:r>
        <w:rPr/>
        <w:t>Références</w:t>
      </w:r>
    </w:p>
    <w:p>
      <w:pPr>
        <w:pStyle w:val="Bibliography"/>
        <w:rPr/>
      </w:pPr>
      <w:r>
        <w:rPr/>
        <w:t xml:space="preserve">Afonso, A., Arghyrou, M. G., &amp; Kontonikas, A. (2015). </w:t>
      </w:r>
      <w:hyperlink r:id="rId7">
        <w:r>
          <w:rPr>
            <w:rStyle w:val="Hyperlink"/>
            <w:i/>
            <w:iCs/>
          </w:rPr>
          <w:t>The determinants of sovereign bond yield spreads in the EMU</w:t>
        </w:r>
      </w:hyperlink>
      <w:r>
        <w:rPr/>
        <w:t>. ECB Working Paper No. 1781.</w:t>
      </w:r>
    </w:p>
    <w:p>
      <w:pPr>
        <w:pStyle w:val="Bibliography"/>
        <w:rPr/>
      </w:pPr>
      <w:r>
        <w:rPr/>
        <w:t xml:space="preserve">Afonso, A., &amp; Sousa, R. M. (2011). What are the effects of fiscal policy on asset markets? </w:t>
      </w:r>
      <w:r>
        <w:rPr>
          <w:i/>
          <w:iCs/>
        </w:rPr>
        <w:t>Economic Modelling</w:t>
      </w:r>
      <w:r>
        <w:rPr/>
        <w:t>, 28(4), 1871–1890.</w:t>
      </w:r>
    </w:p>
    <w:p>
      <w:pPr>
        <w:pStyle w:val="Bibliography"/>
        <w:rPr/>
      </w:pPr>
      <w:r>
        <w:rPr/>
        <w:t xml:space="preserve">Ardagna, S. (2009). Financial markets’ behavior around episodes of large changes in the fiscal stance. </w:t>
      </w:r>
      <w:r>
        <w:rPr>
          <w:i/>
          <w:iCs/>
        </w:rPr>
        <w:t>European Economic Review</w:t>
      </w:r>
      <w:r>
        <w:rPr/>
        <w:t>, 53(1), 37–55.</w:t>
      </w:r>
    </w:p>
    <w:p>
      <w:pPr>
        <w:pStyle w:val="Bibliography"/>
        <w:rPr/>
      </w:pPr>
      <w:r>
        <w:rPr/>
        <w:t xml:space="preserve">Attinasi, M.-G., Checherita, C., &amp; Nickel, C. (2009). </w:t>
      </w:r>
      <w:r>
        <w:rPr>
          <w:i/>
          <w:iCs/>
        </w:rPr>
        <w:t>What explains the surge in euro area sovereign spreads during the financial crisis of 2007-09?</w:t>
      </w:r>
      <w:r>
        <w:rPr/>
        <w:t xml:space="preserve"> ECB Working Paper No. 1131.</w:t>
      </w:r>
    </w:p>
    <w:p>
      <w:pPr>
        <w:pStyle w:val="Bibliography"/>
        <w:rPr/>
      </w:pPr>
      <w:r>
        <w:rPr/>
        <w:t xml:space="preserve">Bailey, D. H., Borwein, J. M., López de Prado, M., &amp; Zhu, Q. J. (2014). Pseudo-mathematics and financial charlatanism: The effects of backtest overfitting on out-of-sample performance. </w:t>
      </w:r>
      <w:r>
        <w:rPr>
          <w:i/>
          <w:iCs/>
        </w:rPr>
        <w:t>Notices of the American Mathematical Society</w:t>
      </w:r>
      <w:r>
        <w:rPr/>
        <w:t>, 61(5), 458–471.</w:t>
      </w:r>
    </w:p>
    <w:p>
      <w:pPr>
        <w:pStyle w:val="Bibliography"/>
        <w:rPr/>
      </w:pPr>
      <w:r>
        <w:rPr/>
        <w:t xml:space="preserve">Barbier-Gauchard, A., &amp; Sofianos, E. (2025). </w:t>
      </w:r>
      <w:hyperlink r:id="rId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r>
        <w:rPr/>
        <w:t xml:space="preserve">Barro, R. J. (1974). Are government bonds net wealth? </w:t>
      </w:r>
      <w:r>
        <w:rPr>
          <w:i/>
          <w:iCs/>
        </w:rPr>
        <w:t>Journal of Political Economy</w:t>
      </w:r>
      <w:r>
        <w:rPr/>
        <w:t>, 82(6), 1095–1117.</w:t>
      </w:r>
    </w:p>
    <w:p>
      <w:pPr>
        <w:pStyle w:val="Bibliography"/>
        <w:rPr/>
      </w:pPr>
      <w:r>
        <w:rPr/>
        <w:t xml:space="preserve">Belly, G., Boeckelmann, L., Caicedo Graciano, C. M., Di Iorio, A., Istrefi, K., Siakoulis, V., &amp; Stalla-Bourdillon, A. (2023). </w:t>
      </w:r>
      <w:hyperlink r:id="rId9">
        <w:r>
          <w:rPr>
            <w:rStyle w:val="Hyperlink"/>
          </w:rPr>
          <w:t>Forecasting sovereign risk in the Euro area via machine learning</w:t>
        </w:r>
      </w:hyperlink>
      <w:r>
        <w:rPr/>
        <w:t xml:space="preserve">. </w:t>
      </w:r>
      <w:r>
        <w:rPr>
          <w:i/>
          <w:iCs/>
        </w:rPr>
        <w:t>Journal of Forecasting</w:t>
      </w:r>
      <w:r>
        <w:rPr/>
        <w:t>, 42(3), 657–684.</w:t>
      </w:r>
    </w:p>
    <w:p>
      <w:pPr>
        <w:pStyle w:val="Bibliography"/>
        <w:rPr/>
      </w:pPr>
      <w:r>
        <w:rPr/>
        <w:t xml:space="preserve">Benjamini, Y., &amp; Hochberg, Y. (1995). Controlling the false discovery rate: A practical and powerful approach to multiple testing. </w:t>
      </w:r>
      <w:r>
        <w:rPr>
          <w:i/>
          <w:iCs/>
        </w:rPr>
        <w:t>Journal of the Royal Statistical Society: Series B</w:t>
      </w:r>
      <w:r>
        <w:rPr/>
        <w:t>, 57(1), 289–300.</w:t>
      </w:r>
    </w:p>
    <w:p>
      <w:pPr>
        <w:pStyle w:val="Bibliography"/>
        <w:rPr/>
      </w:pPr>
      <w:r>
        <w:rPr/>
        <w:t xml:space="preserve">Bernoth, K., von Hagen, J., &amp; Schuknecht, L. (2012). Sovereign risk premiums in the European government bond market. </w:t>
      </w:r>
      <w:r>
        <w:rPr>
          <w:i/>
          <w:iCs/>
        </w:rPr>
        <w:t>Journal of International Money and Finance</w:t>
      </w:r>
      <w:r>
        <w:rPr/>
        <w:t>, 31(5), 975–995.</w:t>
      </w:r>
    </w:p>
    <w:p>
      <w:pPr>
        <w:pStyle w:val="Bibliography"/>
        <w:rPr/>
      </w:pPr>
      <w:r>
        <w:rPr/>
        <w:t xml:space="preserve">Bianchi, D., Büchner, M., &amp; Tamoni, A. (2021). </w:t>
      </w:r>
      <w:hyperlink r:id="rId10">
        <w:r>
          <w:rPr>
            <w:rStyle w:val="Hyperlink"/>
          </w:rPr>
          <w:t>Bond risk premiums with machine learning</w:t>
        </w:r>
      </w:hyperlink>
      <w:r>
        <w:rPr/>
        <w:t xml:space="preserve">. </w:t>
      </w:r>
      <w:r>
        <w:rPr>
          <w:i/>
          <w:iCs/>
        </w:rPr>
        <w:t>The Review of Financial Studies</w:t>
      </w:r>
      <w:r>
        <w:rPr/>
        <w:t>, 34(2), 1046–1089.</w:t>
      </w:r>
    </w:p>
    <w:p>
      <w:pPr>
        <w:pStyle w:val="Bibliography"/>
        <w:rPr/>
      </w:pPr>
      <w:r>
        <w:rPr/>
        <w:t xml:space="preserve">Blanchard, O., &amp; Perotti, R. (2002). An empirical characterization of the dynamic effects of changes in government spending and taxes on output. </w:t>
      </w:r>
      <w:r>
        <w:rPr>
          <w:i/>
          <w:iCs/>
        </w:rPr>
        <w:t>The Quarterly Journal of Economics</w:t>
      </w:r>
      <w:r>
        <w:rPr/>
        <w:t>, 117(4), 1329–1368.</w:t>
      </w:r>
    </w:p>
    <w:p>
      <w:pPr>
        <w:pStyle w:val="Bibliography"/>
        <w:rPr/>
      </w:pPr>
      <w:r>
        <w:rPr/>
        <w:t xml:space="preserve">Bouillot, R., Candelon, B., &amp; Kool, C. (2025). </w:t>
      </w:r>
      <w:hyperlink r:id="rId11">
        <w:r>
          <w:rPr>
            <w:rStyle w:val="Hyperlink"/>
            <w:i/>
            <w:iCs/>
          </w:rPr>
          <w:t>Forecasting European sovereign spreads using machine learning</w:t>
        </w:r>
      </w:hyperlink>
      <w:r>
        <w:rPr/>
        <w:t>. LIDAM Discussion Paper LFIN 2025/04, UCLouvain.</w:t>
      </w:r>
    </w:p>
    <w:p>
      <w:pPr>
        <w:pStyle w:val="Bibliography"/>
        <w:rPr/>
      </w:pPr>
      <w:r>
        <w:rPr/>
        <w:t xml:space="preserve">Breiman, L. (2001). Random forests. </w:t>
      </w:r>
      <w:r>
        <w:rPr>
          <w:i/>
          <w:iCs/>
        </w:rPr>
        <w:t>Machine Learning</w:t>
      </w:r>
      <w:r>
        <w:rPr/>
        <w:t>, 45(1), 5–32.</w:t>
      </w:r>
    </w:p>
    <w:p>
      <w:pPr>
        <w:pStyle w:val="Bibliography"/>
        <w:rPr/>
      </w:pPr>
      <w:r>
        <w:rPr/>
        <w:t xml:space="preserve">Campbell, J. Y., &amp; Thompson, S. B. (2008). Predicting excess stock returns out of sample: Can anything beat the historical average? </w:t>
      </w:r>
      <w:r>
        <w:rPr>
          <w:i/>
          <w:iCs/>
        </w:rPr>
        <w:t>The Review of Financial Studies</w:t>
      </w:r>
      <w:r>
        <w:rPr/>
        <w:t>, 21(4), 1509–1531.</w:t>
      </w:r>
    </w:p>
    <w:p>
      <w:pPr>
        <w:pStyle w:val="Bibliography"/>
        <w:rPr/>
      </w:pPr>
      <w:r>
        <w:rPr/>
        <w:t xml:space="preserve">Chen, T., &amp; Guestrin, C. (2016). XGBoost: A scalable tree boosting system. </w:t>
      </w:r>
      <w:r>
        <w:rPr>
          <w:i/>
          <w:iCs/>
        </w:rPr>
        <w:t>Proceedings of the 22nd ACM SIGKDD International Conference on Knowledge Discovery and Data Mining</w:t>
      </w:r>
      <w:r>
        <w:rPr/>
        <w:t>, 785–794.</w:t>
      </w:r>
    </w:p>
    <w:p>
      <w:pPr>
        <w:pStyle w:val="Bibliography"/>
        <w:rPr/>
      </w:pPr>
      <w:r>
        <w:rPr/>
        <w:t xml:space="preserve">Croushore, D. (2011). Frontiers of real-time data analysis. </w:t>
      </w:r>
      <w:r>
        <w:rPr>
          <w:i/>
          <w:iCs/>
        </w:rPr>
        <w:t>Journal of Economic Literature</w:t>
      </w:r>
      <w:r>
        <w:rPr/>
        <w:t>, 49(1), 72–100.</w:t>
      </w:r>
    </w:p>
    <w:p>
      <w:pPr>
        <w:pStyle w:val="Bibliography"/>
        <w:rPr/>
      </w:pPr>
      <w:r>
        <w:rPr/>
        <w:t xml:space="preserve">Dickey, D. A., &amp; Fuller, W. A. (1979). Distribution of the estimators for autoregressive time series with a unit root. </w:t>
      </w:r>
      <w:r>
        <w:rPr>
          <w:i/>
          <w:iCs/>
        </w:rPr>
        <w:t>Journal of the American Statistical Association</w:t>
      </w:r>
      <w:r>
        <w:rPr/>
        <w:t>, 74(366), 427–431.</w:t>
      </w:r>
    </w:p>
    <w:p>
      <w:pPr>
        <w:pStyle w:val="Bibliography"/>
        <w:rPr/>
      </w:pPr>
      <w:r>
        <w:rPr/>
        <w:t xml:space="preserve">Diebold, F. X., &amp; Mariano, R. S. (1995). Comparing predictive accuracy. </w:t>
      </w:r>
      <w:r>
        <w:rPr>
          <w:i/>
          <w:iCs/>
        </w:rPr>
        <w:t>Journal of Business &amp; Economic Statistics</w:t>
      </w:r>
      <w:r>
        <w:rPr/>
        <w:t>, 13(3), 253–263.</w:t>
      </w:r>
    </w:p>
    <w:p>
      <w:pPr>
        <w:pStyle w:val="Bibliography"/>
        <w:rPr/>
      </w:pPr>
      <w:r>
        <w:rPr/>
        <w:t xml:space="preserve">Fama, E. F. (1970). Efficient capital markets: A review of theory and empirical work. </w:t>
      </w:r>
      <w:r>
        <w:rPr>
          <w:i/>
          <w:iCs/>
        </w:rPr>
        <w:t>The Journal of Finance</w:t>
      </w:r>
      <w:r>
        <w:rPr/>
        <w:t>, 25(2), 383–417.</w:t>
      </w:r>
    </w:p>
    <w:p>
      <w:pPr>
        <w:pStyle w:val="Bibliography"/>
        <w:rPr/>
      </w:pPr>
      <w:r>
        <w:rPr/>
        <w:t xml:space="preserve">Favero, C. A. (2013). </w:t>
      </w:r>
      <w:hyperlink r:id="rId12">
        <w:r>
          <w:rPr>
            <w:rStyle w:val="Hyperlink"/>
          </w:rPr>
          <w:t>Modelling and forecasting government bond spreads in the euro area: A GVAR model</w:t>
        </w:r>
      </w:hyperlink>
      <w:r>
        <w:rPr/>
        <w:t xml:space="preserve">. </w:t>
      </w:r>
      <w:r>
        <w:rPr>
          <w:i/>
          <w:iCs/>
        </w:rPr>
        <w:t>Journal of Econometrics</w:t>
      </w:r>
      <w:r>
        <w:rPr/>
        <w:t>, 177(2), 343–356.</w:t>
      </w:r>
    </w:p>
    <w:p>
      <w:pPr>
        <w:pStyle w:val="Bibliography"/>
        <w:rPr/>
      </w:pPr>
      <w:r>
        <w:rPr/>
        <w:t xml:space="preserve">Fischer, T., &amp; Krauss, C. (2018). Deep learning with long short-term memory networks for financial market predictions. </w:t>
      </w:r>
      <w:r>
        <w:rPr>
          <w:i/>
          <w:iCs/>
        </w:rPr>
        <w:t>European Journal of Operational Research</w:t>
      </w:r>
      <w:r>
        <w:rPr/>
        <w:t>, 270(2), 654–669.</w:t>
      </w:r>
    </w:p>
    <w:p>
      <w:pPr>
        <w:pStyle w:val="Bibliography"/>
        <w:rPr/>
      </w:pPr>
      <w:r>
        <w:rPr/>
        <w:t xml:space="preserve">Garlanda-Longueville, L. (2023). </w:t>
      </w:r>
      <w:hyperlink r:id="rId13">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r>
        <w:rPr/>
        <w:t xml:space="preserve">Giannone, D., Reichlin, L., &amp; Small, D. (2008). Nowcasting: The real-time informational content of macroeconomic data. </w:t>
      </w:r>
      <w:r>
        <w:rPr>
          <w:i/>
          <w:iCs/>
        </w:rPr>
        <w:t>Journal of Monetary Economics</w:t>
      </w:r>
      <w:r>
        <w:rPr/>
        <w:t>, 55(4), 665–676.</w:t>
      </w:r>
    </w:p>
    <w:p>
      <w:pPr>
        <w:pStyle w:val="Bibliography"/>
        <w:rPr/>
      </w:pPr>
      <w:r>
        <w:rPr/>
        <w:t xml:space="preserve">Goulet Coulombe, P., Leroux, M., Stevanovic, D., &amp; Surprenant, S. (2022). How is machine learning useful for macroeconomic forecasting? </w:t>
      </w:r>
      <w:r>
        <w:rPr>
          <w:i/>
          <w:iCs/>
        </w:rPr>
        <w:t>Journal of Applied Econometrics</w:t>
      </w:r>
      <w:r>
        <w:rPr/>
        <w:t>, 37(5), 920–964.</w:t>
      </w:r>
    </w:p>
    <w:p>
      <w:pPr>
        <w:pStyle w:val="Bibliography"/>
        <w:rPr/>
      </w:pPr>
      <w:r>
        <w:rPr/>
        <w:t xml:space="preserve">Gu, S., Kelly, B., &amp; Xiu, D. (2020). Empirical asset pricing via machine learning. </w:t>
      </w:r>
      <w:r>
        <w:rPr>
          <w:i/>
          <w:iCs/>
        </w:rPr>
        <w:t>The Review of Financial Studies</w:t>
      </w:r>
      <w:r>
        <w:rPr/>
        <w:t>, 33(5), 2223–2273.</w:t>
      </w:r>
    </w:p>
    <w:p>
      <w:pPr>
        <w:pStyle w:val="Bibliography"/>
        <w:rPr/>
      </w:pPr>
      <w:r>
        <w:rPr/>
        <w:t xml:space="preserve">Harvey, D., Leybourne, S., &amp; Newbold, P. (1997). Testing the equality of prediction mean squared errors. </w:t>
      </w:r>
      <w:r>
        <w:rPr>
          <w:i/>
          <w:iCs/>
        </w:rPr>
        <w:t>International Journal of Forecasting</w:t>
      </w:r>
      <w:r>
        <w:rPr/>
        <w:t>, 13(2), 281–291.</w:t>
      </w:r>
    </w:p>
    <w:p>
      <w:pPr>
        <w:pStyle w:val="Bibliography"/>
        <w:rPr/>
      </w:pPr>
      <w:r>
        <w:rPr/>
        <w:t xml:space="preserve">Janssen, M., Charalabidis, Y., &amp; Zuiderwijk, A. (2012). Benefits, adoption barriers and myths of open data and open government. </w:t>
      </w:r>
      <w:r>
        <w:rPr>
          <w:i/>
          <w:iCs/>
        </w:rPr>
        <w:t>Information Systems Management</w:t>
      </w:r>
      <w:r>
        <w:rPr/>
        <w:t>, 29(4), 258–268.</w:t>
      </w:r>
    </w:p>
    <w:p>
      <w:pPr>
        <w:pStyle w:val="Bibliography"/>
        <w:rPr/>
      </w:pPr>
      <w:r>
        <w:rPr/>
        <w:t xml:space="preserve">Laubach, T. (2009). New evidence on the interest rate effects of budget deficits and debt. </w:t>
      </w:r>
      <w:r>
        <w:rPr>
          <w:i/>
          <w:iCs/>
        </w:rPr>
        <w:t>Journal of the European Economic Association</w:t>
      </w:r>
      <w:r>
        <w:rPr/>
        <w:t>, 7(4), 858–885.</w:t>
      </w:r>
    </w:p>
    <w:p>
      <w:pPr>
        <w:pStyle w:val="Bibliography"/>
        <w:rPr/>
      </w:pPr>
      <w:r>
        <w:rPr/>
        <w:t xml:space="preserve">Lundberg, S. M., &amp; Lee, S.-I. (2017). A unified approach to interpreting model predictions. </w:t>
      </w:r>
      <w:r>
        <w:rPr>
          <w:i/>
          <w:iCs/>
        </w:rPr>
        <w:t>Advances in Neural Information Processing Systems</w:t>
      </w:r>
      <w:r>
        <w:rPr/>
        <w:t>, 30.</w:t>
      </w:r>
    </w:p>
    <w:p>
      <w:pPr>
        <w:pStyle w:val="Bibliography"/>
        <w:rPr/>
      </w:pPr>
      <w:r>
        <w:rPr/>
        <w:t xml:space="preserve">McCracken, M. W., &amp; Ng, S. (2016). FRED-MD: A monthly database for macroeconomic research. </w:t>
      </w:r>
      <w:r>
        <w:rPr>
          <w:i/>
          <w:iCs/>
        </w:rPr>
        <w:t>Journal of Business &amp; Economic Statistics</w:t>
      </w:r>
      <w:r>
        <w:rPr/>
        <w:t>, 34(4), 574–589.</w:t>
      </w:r>
    </w:p>
    <w:p>
      <w:pPr>
        <w:pStyle w:val="Bibliography"/>
        <w:rPr/>
      </w:pPr>
      <w:r>
        <w:rPr/>
        <w:t xml:space="preserve">Medeiros, M. C., Vasconcelos, G. F. R., Veiga, Á., &amp; Zilberman, E. (2021). Forecasting inflation in a data-rich environment: The benefits of machine learning methods. </w:t>
      </w:r>
      <w:r>
        <w:rPr>
          <w:i/>
          <w:iCs/>
        </w:rPr>
        <w:t>Journal of Business &amp; Economic Statistics</w:t>
      </w:r>
      <w:r>
        <w:rPr/>
        <w:t>, 39(1), 98–119.</w:t>
      </w:r>
    </w:p>
    <w:p>
      <w:pPr>
        <w:pStyle w:val="Bibliography"/>
        <w:rPr/>
      </w:pPr>
      <w:r>
        <w:rPr/>
        <w:t xml:space="preserve">Ramey, V. A. (2011). Identifying government spending shocks: It’s all in the timing. </w:t>
      </w:r>
      <w:r>
        <w:rPr>
          <w:i/>
          <w:iCs/>
        </w:rPr>
        <w:t>The Quarterly Journal of Economics</w:t>
      </w:r>
      <w:r>
        <w:rPr/>
        <w:t>, 126(1), 1–50.</w:t>
      </w:r>
    </w:p>
    <w:p>
      <w:pPr>
        <w:pStyle w:val="Bibliography"/>
        <w:rPr/>
      </w:pPr>
      <w:r>
        <w:rPr/>
        <w:t xml:space="preserve">Welch, I., &amp; Goyal, A. (2008). A comprehensive look at the empirical performance of equity premium prediction. </w:t>
      </w:r>
      <w:r>
        <w:rPr>
          <w:i/>
          <w:iCs/>
        </w:rPr>
        <w:t>The Review of Financial Studies</w:t>
      </w:r>
      <w:r>
        <w:rPr/>
        <w:t>, 21(4), 1455–1508.</w:t>
      </w:r>
    </w:p>
    <w:p>
      <w:pPr>
        <w:pStyle w:val="Bibliography"/>
        <w:rPr/>
      </w:pPr>
      <w:r>
        <w:rPr/>
        <w:t xml:space="preserve">Working, H. (1960). Note on the correlation of first differences of averages in a random chain. </w:t>
      </w:r>
      <w:r>
        <w:rPr>
          <w:i/>
          <w:iCs/>
        </w:rPr>
        <w:t>Econometrica</w:t>
      </w:r>
      <w:r>
        <w:rPr/>
        <w:t>, 28(4), 916–918.</w:t>
      </w:r>
    </w:p>
    <w:p>
      <w:pPr>
        <w:pStyle w:val="Heading2"/>
        <w:rPr/>
      </w:pPr>
      <w:bookmarkStart w:id="257" w:name="__RefHeading___Toc19520_3183596538"/>
      <w:bookmarkStart w:id="258" w:name="sources-en-ligne"/>
      <w:bookmarkEnd w:id="257"/>
      <w:bookmarkEnd w:id="258"/>
      <w:r>
        <w:rPr/>
        <w:t>Sources en ligne</w:t>
      </w:r>
    </w:p>
    <w:p>
      <w:pPr>
        <w:pStyle w:val="Bibliography"/>
        <w:rPr/>
      </w:pPr>
      <w:r>
        <w:rPr/>
        <w:t xml:space="preserve">Ministère de l’Économie. </w:t>
      </w:r>
      <w:hyperlink r:id="rId14">
        <w:r>
          <w:rPr>
            <w:rStyle w:val="Hyperlink"/>
          </w:rPr>
          <w:t>Situations mensuelles budgétaires de l’État, séries longues depuis 2013</w:t>
        </w:r>
      </w:hyperlink>
      <w:r>
        <w:rPr/>
        <w:t>. data.economie.gouv.fr.</w:t>
      </w:r>
    </w:p>
    <w:p>
      <w:pPr>
        <w:pStyle w:val="Bibliography"/>
        <w:rPr/>
      </w:pPr>
      <w:r>
        <w:rPr/>
        <w:t xml:space="preserve">DGFiP. </w:t>
      </w:r>
      <w:hyperlink r:id="rId15">
        <w:r>
          <w:rPr>
            <w:rStyle w:val="Hyperlink"/>
          </w:rPr>
          <w:t>La situation mensuelle de l’État</w:t>
        </w:r>
      </w:hyperlink>
      <w:r>
        <w:rPr/>
        <w:t>. economie.gouv.fr.</w:t>
      </w:r>
    </w:p>
    <w:p>
      <w:pPr>
        <w:pStyle w:val="Bibliography"/>
        <w:rPr/>
      </w:pPr>
      <w:hyperlink r:id="rId16">
        <w:r>
          <w:rPr>
            <w:rStyle w:val="Hyperlink"/>
          </w:rPr>
          <w:t>Dépôt du projet</w:t>
        </w:r>
      </w:hyperlink>
      <w:r>
        <w:rPr/>
        <w:t xml:space="preserve">, GitHub (code, données, plan pré-enregistré </w:t>
      </w:r>
      <w:r>
        <w:rPr>
          <w:rStyle w:val="VerbatimChar"/>
        </w:rPr>
        <w:t>docs/plan_extensions.md</w:t>
      </w:r>
      <w:r>
        <w:rPr/>
        <w:t>).</w:t>
      </w:r>
    </w:p>
    <w:p>
      <w:pPr>
        <w:pStyle w:val="Normal"/>
        <w:rPr/>
      </w:pPr>
      <w:r>
        <w:rPr/>
      </w:r>
      <w:bookmarkStart w:id="259" w:name="références"/>
      <w:bookmarkStart w:id="260" w:name="sources-en-ligne"/>
      <w:bookmarkStart w:id="261" w:name="références"/>
      <w:bookmarkStart w:id="262" w:name="sources-en-ligne"/>
      <w:bookmarkEnd w:id="261"/>
      <w:bookmarkEnd w:id="262"/>
      <w:r>
        <w:br w:type="page"/>
      </w:r>
    </w:p>
    <w:p>
      <w:pPr>
        <w:pStyle w:val="Heading1"/>
        <w:spacing w:before="0" w:after="240"/>
        <w:rPr/>
      </w:pPr>
      <w:bookmarkStart w:id="263" w:name="__RefHeading___Toc19522_3183596538"/>
      <w:bookmarkStart w:id="264" w:name="annexes"/>
      <w:bookmarkEnd w:id="263"/>
      <w:r>
        <w:rPr/>
        <w:t>Annexes</w:t>
      </w:r>
    </w:p>
    <w:p>
      <w:pPr>
        <w:pStyle w:val="Heading2"/>
        <w:rPr/>
      </w:pPr>
      <w:bookmarkStart w:id="265" w:name="__RefHeading___Toc19524_3183596538"/>
      <w:bookmarkStart w:id="266" w:name="X3ca383dbffb9d55a756372c83cc12a5ba689804"/>
      <w:bookmarkEnd w:id="265"/>
      <w:r>
        <w:rPr/>
        <w:t>Annexe A – Variables des modèles principaux</w:t>
      </w:r>
    </w:p>
    <w:p>
      <w:pPr>
        <w:pStyle w:val="CaptionTable"/>
        <w:keepNext w:val="true"/>
        <w:spacing w:lineRule="auto" w:line="240" w:before="120" w:after="80"/>
        <w:jc w:val="left"/>
        <w:rPr/>
      </w:pPr>
      <w:bookmarkStart w:id="267" w:name="__RefHeading___Toc19546_3183596538"/>
      <w:bookmarkEnd w:id="267"/>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Écart du cumul depuis janvier par rapport à l’année précédente, en % du total annuel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66"/>
    </w:p>
    <w:p>
      <w:pPr>
        <w:pStyle w:val="Heading2"/>
        <w:rPr/>
      </w:pPr>
      <w:bookmarkStart w:id="268" w:name="__RefHeading___Toc19526_3183596538"/>
      <w:bookmarkStart w:id="269" w:name="annexe-b-détail-des-extensions-e1-à-e20"/>
      <w:bookmarkEnd w:id="268"/>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70" w:name="__RefHeading___Toc19544_3183596538"/>
      <w:bookmarkEnd w:id="270"/>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réglé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réglé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réglé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logit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logit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logit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vs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vs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vs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enet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enet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enet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69"/>
    </w:p>
    <w:p>
      <w:pPr>
        <w:pStyle w:val="Heading2"/>
        <w:rPr/>
      </w:pPr>
      <w:bookmarkStart w:id="271" w:name="__RefHeading___Toc19528_3183596538"/>
      <w:bookmarkStart w:id="272" w:name="Xb3e285cc14b2fbc3f04dfc3a545449b954bfbe1"/>
      <w:bookmarkEnd w:id="271"/>
      <w:r>
        <w:rPr/>
        <w:t>Annexe C – Sensibilité à la graine aléatoire</w:t>
      </w:r>
    </w:p>
    <w:p>
      <w:pPr>
        <w:pStyle w:val="CaptionTable"/>
        <w:keepNext w:val="true"/>
        <w:spacing w:lineRule="auto" w:line="240" w:before="120" w:after="80"/>
        <w:jc w:val="left"/>
        <w:rPr/>
      </w:pPr>
      <w:bookmarkStart w:id="273" w:name="__RefHeading___Toc19542_3183596538"/>
      <w:bookmarkEnd w:id="273"/>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72"/>
    </w:p>
    <w:p>
      <w:pPr>
        <w:pStyle w:val="Heading2"/>
        <w:rPr/>
      </w:pPr>
      <w:bookmarkStart w:id="274" w:name="__RefHeading___Toc19530_3183596538"/>
      <w:bookmarkStart w:id="275" w:name="Xd68da8618e318907bf0faf326720b285d49eebd"/>
      <w:bookmarkEnd w:id="274"/>
      <w:r>
        <w:rPr/>
        <w:t>Annexe D – Contrôle négatif : dépenses contre variables de bruit</w:t>
      </w:r>
    </w:p>
    <w:p>
      <w:pPr>
        <w:pStyle w:val="CaptionTable"/>
        <w:keepNext w:val="true"/>
        <w:spacing w:lineRule="auto" w:line="240" w:before="120" w:after="80"/>
        <w:jc w:val="left"/>
        <w:rPr/>
      </w:pPr>
      <w:bookmarkStart w:id="276" w:name="__RefHeading___Toc19540_3183596538"/>
      <w:bookmarkEnd w:id="276"/>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275"/>
    </w:p>
    <w:p>
      <w:pPr>
        <w:pStyle w:val="Heading2"/>
        <w:rPr/>
      </w:pPr>
      <w:bookmarkStart w:id="277" w:name="__RefHeading___Toc19532_3183596538"/>
      <w:bookmarkStart w:id="278" w:name="Xe4aa703dc8ae53bd5a3baef5b8de368c6e05d88"/>
      <w:bookmarkEnd w:id="277"/>
      <w:r>
        <w:rPr/>
        <w:t>Annexe E – Robustesse au décalage de publication</w:t>
      </w:r>
    </w:p>
    <w:p>
      <w:pPr>
        <w:pStyle w:val="CaptionTable"/>
        <w:keepNext w:val="true"/>
        <w:spacing w:lineRule="auto" w:line="240" w:before="120" w:after="80"/>
        <w:jc w:val="left"/>
        <w:rPr/>
      </w:pPr>
      <w:bookmarkStart w:id="279" w:name="__RefHeading___Toc19538_3183596538"/>
      <w:bookmarkEnd w:id="279"/>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DM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0,86</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nan</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nan</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nan</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w:t>
      </w:r>
      <w:bookmarkEnd w:id="278"/>
    </w:p>
    <w:p>
      <w:pPr>
        <w:pStyle w:val="Heading2"/>
        <w:rPr/>
      </w:pPr>
      <w:bookmarkStart w:id="280" w:name="__RefHeading___Toc19534_3183596538"/>
      <w:bookmarkStart w:id="281" w:name="annexe-f-code-et-reproductibilité"/>
      <w:bookmarkEnd w:id="280"/>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librairies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librairies ; les conclusions n’en dépendent pas.</w:t>
      </w:r>
      <w:bookmarkEnd w:id="264"/>
      <w:bookmarkEnd w:id="281"/>
    </w:p>
    <w:sectPr>
      <w:footerReference w:type="even" r:id="rId17"/>
      <w:footerReference w:type="default" r:id="rId18"/>
      <w:footerReference w:type="first" r:id="rId1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79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79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2"/>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240" w:before="360" w:after="240"/>
      <w:ind w:left="0"/>
      <w:jc w:val="center"/>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lineRule="auto" w:line="240" w:before="360" w:after="240"/>
      <w:ind w:left="0"/>
      <w:jc w:val="left"/>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lineRule="auto" w:line="240" w:before="240" w:after="120"/>
      <w:ind w:left="720"/>
      <w:jc w:val="left"/>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ecb.europa.eu/pub/pdf/scpwps/ecbwp1781.en.pdf" TargetMode="External"/><Relationship Id="rId8" Type="http://schemas.openxmlformats.org/officeDocument/2006/relationships/hyperlink" Target="https://link.springer.com/article/10.1007/s10614-025-11106-9" TargetMode="External"/><Relationship Id="rId9" Type="http://schemas.openxmlformats.org/officeDocument/2006/relationships/hyperlink" Target="https://ideas.repec.org/a/wly/jforec/v42y2023i3p657-684.html" TargetMode="External"/><Relationship Id="rId10" Type="http://schemas.openxmlformats.org/officeDocument/2006/relationships/hyperlink" Target="https://academic.oup.com/rfs/article-abstract/34/2/1046/5843806" TargetMode="External"/><Relationship Id="rId11" Type="http://schemas.openxmlformats.org/officeDocument/2006/relationships/hyperlink" Target="https://research.dial.uclouvain.be/server/api/core/bitstreams/f99c9d92-b208-429f-84ec-256595aa55a5/content" TargetMode="External"/><Relationship Id="rId12" Type="http://schemas.openxmlformats.org/officeDocument/2006/relationships/hyperlink" Target="https://www.sciencedirect.com/science/article/abs/pii/S030440761300081X" TargetMode="External"/><Relationship Id="rId13" Type="http://schemas.openxmlformats.org/officeDocument/2006/relationships/hyperlink" Target="https://theses.fr/2023PA100145" TargetMode="External"/><Relationship Id="rId14" Type="http://schemas.openxmlformats.org/officeDocument/2006/relationships/hyperlink" Target="https://data.economie.gouv.fr/explore/assets/situations-mensuelles-budgetaires-series-longues/" TargetMode="External"/><Relationship Id="rId15" Type="http://schemas.openxmlformats.org/officeDocument/2006/relationships/hyperlink" Target="https://www.economie.gouv.fr/dgfip/la-situation-mensuelle-de-letat" TargetMode="External"/><Relationship Id="rId16" Type="http://schemas.openxmlformats.org/officeDocument/2006/relationships/hyperlink" Target="https://github.com/lyaminedb1/public-spending-market-prediction"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76</Pages>
  <Words>19532</Words>
  <Characters>95026</Characters>
  <CharactersWithSpaces>111476</CharactersWithSpaces>
  <Paragraphs>3037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2026-09-30T17:00:49Z</dcterms:created>
  <dc:creator>Abdellah Elyamine DALI BRAHAM</dc:creator>
  <dc:description/>
  <dc:language>en-US</dc:language>
  <cp:lastModifiedBy/>
  <dcterms:modified xsi:type="dcterms:W3CDTF">2026-09-30T19:00:53Z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